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37" w:rsidRDefault="00480237">
      <w:pPr>
        <w:pStyle w:val="1"/>
        <w:spacing w:before="140" w:line="360" w:lineRule="auto"/>
        <w:ind w:firstLine="0"/>
        <w:jc w:val="center"/>
        <w:rPr>
          <w:b/>
          <w:bCs/>
          <w:caps/>
          <w:sz w:val="52"/>
          <w:szCs w:val="28"/>
        </w:rPr>
      </w:pPr>
    </w:p>
    <w:p w:rsidR="00480237" w:rsidRDefault="00480237">
      <w:pPr>
        <w:pStyle w:val="1"/>
        <w:spacing w:before="140" w:line="360" w:lineRule="auto"/>
        <w:ind w:firstLine="0"/>
        <w:jc w:val="center"/>
        <w:rPr>
          <w:b/>
          <w:bCs/>
          <w:caps/>
          <w:sz w:val="52"/>
          <w:szCs w:val="28"/>
        </w:rPr>
      </w:pPr>
    </w:p>
    <w:p w:rsidR="00480237" w:rsidRDefault="00480237">
      <w:pPr>
        <w:pStyle w:val="1"/>
        <w:spacing w:before="140" w:line="360" w:lineRule="auto"/>
        <w:ind w:firstLine="0"/>
        <w:jc w:val="center"/>
        <w:rPr>
          <w:b/>
          <w:bCs/>
          <w:caps/>
          <w:sz w:val="52"/>
          <w:szCs w:val="28"/>
        </w:rPr>
      </w:pPr>
    </w:p>
    <w:p w:rsidR="00480237" w:rsidRDefault="00480237">
      <w:pPr>
        <w:pStyle w:val="1"/>
        <w:spacing w:before="140" w:line="360" w:lineRule="auto"/>
        <w:ind w:firstLine="0"/>
        <w:jc w:val="center"/>
        <w:rPr>
          <w:b/>
          <w:bCs/>
          <w:caps/>
          <w:sz w:val="52"/>
          <w:szCs w:val="28"/>
        </w:rPr>
      </w:pPr>
    </w:p>
    <w:p w:rsidR="00480237" w:rsidRDefault="000E607A">
      <w:pPr>
        <w:pStyle w:val="1"/>
        <w:spacing w:before="140" w:line="360" w:lineRule="auto"/>
        <w:ind w:firstLine="0"/>
        <w:jc w:val="center"/>
        <w:rPr>
          <w:b/>
          <w:bCs/>
          <w:caps/>
          <w:sz w:val="52"/>
          <w:szCs w:val="28"/>
        </w:rPr>
      </w:pPr>
      <w:r>
        <w:rPr>
          <w:b/>
          <w:bCs/>
          <w:caps/>
          <w:sz w:val="52"/>
          <w:szCs w:val="28"/>
        </w:rPr>
        <w:t xml:space="preserve">Реферат </w:t>
      </w:r>
    </w:p>
    <w:p w:rsidR="00480237" w:rsidRDefault="000E607A">
      <w:pPr>
        <w:pStyle w:val="1"/>
        <w:spacing w:before="140" w:line="360" w:lineRule="auto"/>
        <w:ind w:firstLine="0"/>
        <w:jc w:val="center"/>
        <w:rPr>
          <w:b/>
          <w:bCs/>
          <w:sz w:val="52"/>
          <w:szCs w:val="28"/>
        </w:rPr>
      </w:pPr>
      <w:r>
        <w:rPr>
          <w:b/>
          <w:bCs/>
          <w:sz w:val="52"/>
          <w:szCs w:val="28"/>
        </w:rPr>
        <w:t>на тему:</w:t>
      </w:r>
    </w:p>
    <w:p w:rsidR="00480237" w:rsidRDefault="000E607A">
      <w:pPr>
        <w:pStyle w:val="1"/>
        <w:spacing w:before="140" w:line="360" w:lineRule="auto"/>
        <w:ind w:firstLine="0"/>
        <w:jc w:val="center"/>
        <w:rPr>
          <w:rFonts w:ascii="Arial" w:hAnsi="Arial" w:cs="Arial"/>
          <w:b/>
          <w:bCs/>
          <w:sz w:val="52"/>
          <w:szCs w:val="28"/>
        </w:rPr>
      </w:pPr>
      <w:r>
        <w:rPr>
          <w:rFonts w:ascii="Arial" w:hAnsi="Arial" w:cs="Arial"/>
          <w:b/>
          <w:bCs/>
          <w:sz w:val="52"/>
          <w:szCs w:val="28"/>
        </w:rPr>
        <w:t>Конституційні правовідносини</w:t>
      </w:r>
    </w:p>
    <w:p w:rsidR="00480237" w:rsidRDefault="000E607A">
      <w:pPr>
        <w:pStyle w:val="1"/>
        <w:spacing w:before="140" w:line="360" w:lineRule="auto"/>
        <w:ind w:left="40"/>
        <w:rPr>
          <w:sz w:val="28"/>
        </w:rPr>
      </w:pPr>
      <w:r>
        <w:rPr>
          <w:sz w:val="28"/>
        </w:rPr>
        <w:br w:type="page"/>
        <w:t xml:space="preserve">Учасниками конституційно-правових відносин можуть бути тільки суб'єкти. </w:t>
      </w:r>
      <w:r>
        <w:rPr>
          <w:i/>
          <w:sz w:val="28"/>
        </w:rPr>
        <w:t>Суб'єкт конституційного права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потенційний носій прав і обов'язків, передбачених нормами галузі.</w:t>
      </w:r>
    </w:p>
    <w:p w:rsidR="00480237" w:rsidRDefault="000E607A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 xml:space="preserve">Суб'єктом конституційного права виступає </w:t>
      </w:r>
      <w:r>
        <w:rPr>
          <w:i/>
          <w:sz w:val="28"/>
        </w:rPr>
        <w:t>держава в цілому.</w:t>
      </w:r>
      <w:r>
        <w:rPr>
          <w:sz w:val="28"/>
        </w:rPr>
        <w:t xml:space="preserve"> Вона є учасником правовідносин, які безпосередньо виражають її суверенітет. Як носій суверенітету держава сама визначає коло відносин, учасником яких вона є. Ці відносини мають особливий характер і нерідко правлять за основу розвитку інших конституційно-правових відносин.</w:t>
      </w:r>
    </w:p>
    <w:p w:rsidR="00480237" w:rsidRDefault="000E607A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Держава в цілому є учасником конституційно-правових відносин у сфері судочинства. З цим пов'язані процесуальні гарантії прав і свобод, реалізація яких забезпечується авторитетом держави. Такий підхід відо</w:t>
      </w:r>
      <w:r>
        <w:rPr>
          <w:sz w:val="28"/>
        </w:rPr>
        <w:softHyphen/>
        <w:t>бражає</w:t>
      </w:r>
      <w:r>
        <w:rPr>
          <w:noProof/>
          <w:sz w:val="28"/>
        </w:rPr>
        <w:t xml:space="preserve"> no-справжньому</w:t>
      </w:r>
      <w:r>
        <w:rPr>
          <w:sz w:val="28"/>
        </w:rPr>
        <w:t xml:space="preserve"> демократичне ставлення у суспільстві до прав та інтересів особи. У зазначених правовідносинах державні органи і посадові особи виступають як представники держави в цілому.</w:t>
      </w:r>
    </w:p>
    <w:p w:rsidR="00480237" w:rsidRDefault="000E607A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Ще одним прикладом конституційно-правових відносин за участю держави в цілому є правовідносини, пов'язані з громадянством. Грома</w:t>
      </w:r>
      <w:r>
        <w:rPr>
          <w:sz w:val="28"/>
        </w:rPr>
        <w:softHyphen/>
        <w:t>дянство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специфічний юридичний зв'язок між державою і особою, який зумовлює наявність взаємних прав і обов'язків. Держава в цілому бере участь в усіх правовідносинах у зв'язку з набуттям і припиненням громадянства. Відповідні державні органи і посадові особи, здійснюючи свої повноваження, також виступають не як самостійні учасники пра</w:t>
      </w:r>
      <w:r>
        <w:rPr>
          <w:sz w:val="28"/>
        </w:rPr>
        <w:softHyphen/>
        <w:t>вовідносин, а як представники держави.</w:t>
      </w:r>
    </w:p>
    <w:p w:rsidR="00480237" w:rsidRDefault="000E607A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 xml:space="preserve">Правоздатність держави в цілому грунтується на її суверенітеті і є первинною. Основу правоздатності </w:t>
      </w:r>
      <w:r>
        <w:rPr>
          <w:i/>
          <w:sz w:val="28"/>
        </w:rPr>
        <w:t>державних органів</w:t>
      </w:r>
      <w:r>
        <w:rPr>
          <w:sz w:val="28"/>
        </w:rPr>
        <w:t xml:space="preserve"> становить визначе</w:t>
      </w:r>
      <w:r>
        <w:rPr>
          <w:sz w:val="28"/>
        </w:rPr>
        <w:softHyphen/>
        <w:t>на суверенною державною владою їхня юридичне закріплена компетенція. І тому вона вторинна. Це саме можна сказати і про конституційну право</w:t>
      </w:r>
      <w:r>
        <w:rPr>
          <w:sz w:val="28"/>
        </w:rPr>
        <w:softHyphen/>
        <w:t xml:space="preserve">здатність таких суб'єктів, як </w:t>
      </w:r>
      <w:r>
        <w:rPr>
          <w:i/>
          <w:sz w:val="28"/>
        </w:rPr>
        <w:t>члени (суб'єкти) федерації, автономні й адміністративно-територіальні одиниці.</w:t>
      </w:r>
    </w:p>
    <w:p w:rsidR="00480237" w:rsidRDefault="000E607A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Найбільш динамічними суб'єктами конституційного права є дер</w:t>
      </w:r>
      <w:r>
        <w:rPr>
          <w:sz w:val="28"/>
        </w:rPr>
        <w:softHyphen/>
        <w:t>жавні органи. Вони найчастіше виступають у ролі учасників консти</w:t>
      </w:r>
      <w:r>
        <w:rPr>
          <w:sz w:val="28"/>
        </w:rPr>
        <w:softHyphen/>
        <w:t>туційно-правових відносин. До державних органів у даному випадку відне</w:t>
      </w:r>
      <w:r>
        <w:rPr>
          <w:sz w:val="28"/>
        </w:rPr>
        <w:softHyphen/>
        <w:t>сені й органи місцевого самоврядування, хоч останні іноді не включають</w:t>
      </w:r>
      <w:r>
        <w:rPr>
          <w:sz w:val="28"/>
        </w:rPr>
        <w:softHyphen/>
        <w:t>ся до державного механізму.</w:t>
      </w:r>
    </w:p>
    <w:p w:rsidR="00480237" w:rsidRDefault="000E607A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Серед державних органів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суб'єктів конституційного права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слід виділити вищі органи держави, а саме: главу держави, парламент, уряд, вищі суди. Суб'єктами конституційного права виступають вищі органи членів федерацій. Конституційною правоздатністю наділені не тільки самі вищі органи, а й окремі їх структурні елементи. Це, наприклад, па</w:t>
      </w:r>
      <w:r>
        <w:rPr>
          <w:sz w:val="28"/>
        </w:rPr>
        <w:softHyphen/>
        <w:t>лати парламентів, комісії (комітети) палат тощо. Всі вони діють у рамках компетенції відповідного державного органу, але реалізують тільки свої повноваження. Все це певною мірою може бути віднесене і до державних органів, що функціонують на рівні автономних та адміністративно-тери</w:t>
      </w:r>
      <w:r>
        <w:rPr>
          <w:sz w:val="28"/>
        </w:rPr>
        <w:softHyphen/>
        <w:t>торіальних одиниць, включаючи органи місцевого самоврядування. Од</w:t>
      </w:r>
      <w:r>
        <w:rPr>
          <w:sz w:val="28"/>
        </w:rPr>
        <w:softHyphen/>
        <w:t>нак за обсягом конституційної правоздатності їх не можна порівнювати з вищими органами держави, які здійснюють політичні функції.</w:t>
      </w:r>
    </w:p>
    <w:p w:rsidR="00480237" w:rsidRDefault="000E607A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Особливістю конституційної правоздатності державних органів, включаючи органи місцевого самоврядування, є наявність у них владних повноважень. Тільки ці органи, а також посадові особи мають публічно-владні права. Громадяни також беруть участь у здійсненні влади. Це, зо</w:t>
      </w:r>
      <w:r>
        <w:rPr>
          <w:sz w:val="28"/>
        </w:rPr>
        <w:softHyphen/>
        <w:t>крема, відбувається у процесі формування на основі виборів того чи іншо</w:t>
      </w:r>
      <w:r>
        <w:rPr>
          <w:sz w:val="28"/>
        </w:rPr>
        <w:softHyphen/>
        <w:t>го державного органу, в ході референдуму тощо. Але громадяни самі по собі звичайно не наділені правами, щоб безпосередньо здійснювати владу.</w:t>
      </w:r>
    </w:p>
    <w:p w:rsidR="00480237" w:rsidRDefault="000E607A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 xml:space="preserve">Серед суб'єктів конституційного права слід виділити </w:t>
      </w:r>
      <w:r>
        <w:rPr>
          <w:i/>
          <w:sz w:val="28"/>
        </w:rPr>
        <w:t xml:space="preserve">фізичних осіб. </w:t>
      </w:r>
      <w:r>
        <w:rPr>
          <w:sz w:val="28"/>
        </w:rPr>
        <w:t>Особливий характер має конституційна правосуб'єктність депутатів пред</w:t>
      </w:r>
      <w:r>
        <w:rPr>
          <w:sz w:val="28"/>
        </w:rPr>
        <w:softHyphen/>
        <w:t>ставницьких органів, насамперед депутатів загальнонаціональних пред</w:t>
      </w:r>
      <w:r>
        <w:rPr>
          <w:sz w:val="28"/>
        </w:rPr>
        <w:softHyphen/>
        <w:t>ставницьких органів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парламентів та установчих зборів (конституційних асамблей). Конституційна правосуб'єктність депутатів пов'язана з компе</w:t>
      </w:r>
      <w:r>
        <w:rPr>
          <w:sz w:val="28"/>
        </w:rPr>
        <w:softHyphen/>
        <w:t>тенцією відповідного органу. Депутати не є посадовими особами. Вони ре</w:t>
      </w:r>
      <w:r>
        <w:rPr>
          <w:sz w:val="28"/>
        </w:rPr>
        <w:softHyphen/>
        <w:t>презентують представницький орган і водночас є його органічною части</w:t>
      </w:r>
      <w:r>
        <w:rPr>
          <w:sz w:val="28"/>
        </w:rPr>
        <w:softHyphen/>
        <w:t>ною. Іноді конституційною правосуб'єктністю наділяються групи депутатів. Наприклад, певні групи депутатів мають право утворювати парламентську фракцію або звертатися з інтерпеляцією (запитом) до уряду. В ряді країн визнається лише групова депутатська законодавча ініціатива.</w:t>
      </w:r>
    </w:p>
    <w:p w:rsidR="00480237" w:rsidRDefault="000E607A">
      <w:pPr>
        <w:pStyle w:val="1"/>
        <w:spacing w:line="360" w:lineRule="auto"/>
        <w:ind w:left="280"/>
        <w:rPr>
          <w:sz w:val="28"/>
        </w:rPr>
      </w:pPr>
      <w:r>
        <w:rPr>
          <w:sz w:val="28"/>
        </w:rPr>
        <w:t xml:space="preserve"> Спеціальна правоздатність характеризує конституційно-правовий статус виборців. До того ж у деяких країнах групи виборців також висту</w:t>
      </w:r>
      <w:r>
        <w:rPr>
          <w:sz w:val="28"/>
        </w:rPr>
        <w:softHyphen/>
        <w:t>пають у ролі суб'єкта конституційного права, будучи наділеними правом так званої народної законодавчої ініціативи.</w:t>
      </w:r>
    </w:p>
    <w:p w:rsidR="00480237" w:rsidRDefault="000E607A">
      <w:pPr>
        <w:pStyle w:val="1"/>
        <w:spacing w:line="360" w:lineRule="auto"/>
        <w:ind w:left="280"/>
        <w:rPr>
          <w:sz w:val="28"/>
        </w:rPr>
      </w:pPr>
      <w:r>
        <w:rPr>
          <w:sz w:val="28"/>
        </w:rPr>
        <w:t>На відміну від депутатів і виборців, громадяни мають не спеціаль</w:t>
      </w:r>
      <w:r>
        <w:rPr>
          <w:sz w:val="28"/>
        </w:rPr>
        <w:softHyphen/>
        <w:t>ну, а загальну політичну (конституційну) правоздатність. Суб'єктами кон</w:t>
      </w:r>
      <w:r>
        <w:rPr>
          <w:sz w:val="28"/>
        </w:rPr>
        <w:softHyphen/>
        <w:t>ституційного права є також іноземці й особи без громадянства. Вони наділені певними правами і несуть обов'язки. Обсяг конституційної пра</w:t>
      </w:r>
      <w:r>
        <w:rPr>
          <w:sz w:val="28"/>
        </w:rPr>
        <w:softHyphen/>
        <w:t>воздатності громадян у цьому випадку є вихідним і звичайно ширшим, ніж у інших відповідних категорій населення.</w:t>
      </w:r>
    </w:p>
    <w:p w:rsidR="00480237" w:rsidRDefault="000E607A">
      <w:pPr>
        <w:pStyle w:val="1"/>
        <w:spacing w:line="360" w:lineRule="auto"/>
        <w:ind w:left="280"/>
        <w:rPr>
          <w:sz w:val="28"/>
        </w:rPr>
      </w:pPr>
      <w:r>
        <w:rPr>
          <w:sz w:val="28"/>
        </w:rPr>
        <w:t xml:space="preserve">Нарешті, суб'єктами конституційного права є </w:t>
      </w:r>
      <w:r>
        <w:rPr>
          <w:i/>
          <w:sz w:val="28"/>
        </w:rPr>
        <w:t>політичні партії.</w:t>
      </w:r>
      <w:r>
        <w:rPr>
          <w:sz w:val="28"/>
        </w:rPr>
        <w:t xml:space="preserve"> Це відбиває відносно нове явище в державно-політичному житті, відоме як інституціалізація партій, тобто створення конституційно-правової основи їх організації та діяльності. В окремих країнах суб'єктами консти</w:t>
      </w:r>
      <w:r>
        <w:rPr>
          <w:sz w:val="28"/>
        </w:rPr>
        <w:softHyphen/>
        <w:t xml:space="preserve">туційного права фактично визнані деякі </w:t>
      </w:r>
      <w:r>
        <w:rPr>
          <w:i/>
          <w:sz w:val="28"/>
        </w:rPr>
        <w:t>інші громадські об'єднання,</w:t>
      </w:r>
      <w:r>
        <w:rPr>
          <w:sz w:val="28"/>
        </w:rPr>
        <w:t xml:space="preserve"> зок</w:t>
      </w:r>
      <w:r>
        <w:rPr>
          <w:sz w:val="28"/>
        </w:rPr>
        <w:softHyphen/>
        <w:t>рема профспілки.</w:t>
      </w:r>
    </w:p>
    <w:p w:rsidR="00480237" w:rsidRDefault="000E607A">
      <w:pPr>
        <w:pStyle w:val="1"/>
        <w:spacing w:line="360" w:lineRule="auto"/>
        <w:ind w:left="280"/>
        <w:rPr>
          <w:sz w:val="28"/>
        </w:rPr>
      </w:pPr>
      <w:r>
        <w:rPr>
          <w:sz w:val="28"/>
        </w:rPr>
        <w:t>Дії й акти суб'єктів можуть створювати підстави для виникнення і припинення конституційно-правових відносин, а також до консти</w:t>
      </w:r>
      <w:r>
        <w:rPr>
          <w:sz w:val="28"/>
        </w:rPr>
        <w:softHyphen/>
        <w:t>туційно-правової відповідальності і застосування санкцій.</w:t>
      </w:r>
    </w:p>
    <w:p w:rsidR="00480237" w:rsidRDefault="00480237">
      <w:pPr>
        <w:spacing w:line="360" w:lineRule="auto"/>
        <w:rPr>
          <w:sz w:val="28"/>
          <w:lang w:val="uk-UA"/>
        </w:rPr>
      </w:pPr>
    </w:p>
    <w:p w:rsidR="00480237" w:rsidRDefault="00480237">
      <w:pPr>
        <w:spacing w:line="360" w:lineRule="auto"/>
        <w:rPr>
          <w:sz w:val="28"/>
          <w:lang w:val="uk-UA"/>
        </w:rPr>
      </w:pPr>
    </w:p>
    <w:p w:rsidR="00480237" w:rsidRDefault="000E607A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Використана література:</w:t>
      </w:r>
    </w:p>
    <w:p w:rsidR="00480237" w:rsidRDefault="000E607A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Основи конституційного права. Підручник. – К., 2000.</w:t>
      </w:r>
    </w:p>
    <w:p w:rsidR="00480237" w:rsidRDefault="000E607A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Словник-довідник юриста. – К., 1999.</w:t>
      </w:r>
      <w:bookmarkStart w:id="0" w:name="_GoBack"/>
      <w:bookmarkEnd w:id="0"/>
    </w:p>
    <w:sectPr w:rsidR="004802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41E4C"/>
    <w:multiLevelType w:val="hybridMultilevel"/>
    <w:tmpl w:val="A182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07A"/>
    <w:rsid w:val="000E607A"/>
    <w:rsid w:val="0046009B"/>
    <w:rsid w:val="004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4550-3BED-45EE-BEB7-3B5E6B57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line="280" w:lineRule="auto"/>
      <w:ind w:firstLine="560"/>
      <w:jc w:val="both"/>
    </w:pPr>
    <w:rPr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Право. Міжнародні відносини</Manager>
  <Company> Право. Міжнародні відносини</Company>
  <LinksUpToDate>false</LinksUpToDate>
  <CharactersWithSpaces>5493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2014-08-18T10:34:00Z</dcterms:created>
  <dcterms:modified xsi:type="dcterms:W3CDTF">2014-08-18T10:34:00Z</dcterms:modified>
  <cp:category>Право. Міжнародні відносини</cp:category>
</cp:coreProperties>
</file>