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10" w:rsidRDefault="002B3510" w:rsidP="008233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smallCaps/>
          <w:kern w:val="36"/>
          <w:sz w:val="26"/>
          <w:szCs w:val="26"/>
          <w:lang w:eastAsia="ru-RU"/>
        </w:rPr>
      </w:pPr>
    </w:p>
    <w:p w:rsidR="0082334A" w:rsidRPr="0082334A" w:rsidRDefault="0082334A" w:rsidP="008233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smallCaps/>
          <w:kern w:val="36"/>
          <w:sz w:val="26"/>
          <w:szCs w:val="26"/>
          <w:lang w:eastAsia="ru-RU"/>
        </w:rPr>
      </w:pPr>
      <w:r w:rsidRPr="0082334A">
        <w:rPr>
          <w:rFonts w:ascii="Arial" w:eastAsia="Times New Roman" w:hAnsi="Arial" w:cs="Arial"/>
          <w:b/>
          <w:bCs/>
          <w:smallCaps/>
          <w:kern w:val="36"/>
          <w:sz w:val="26"/>
          <w:szCs w:val="26"/>
          <w:lang w:eastAsia="ru-RU"/>
        </w:rPr>
        <w:t xml:space="preserve">Налоговая система Канады. </w:t>
      </w:r>
    </w:p>
    <w:p w:rsidR="000126D4" w:rsidRPr="0082334A" w:rsidRDefault="0082334A" w:rsidP="008233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Налоговая система в Канаде имеет трехступенчатую структуру, соответствующую схеме организации исполнительной власти. Каждый из трех уровней власти - (1) федеральное правительство. (2) правительства девяти провинций и двух территорий, (3) муниципалитеты - формируют собственный бюджет, устанавливая налоги и другие сборы. Полученные средства расходуются в соответствии с конституционно закрепленными полномочиями.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В федеральном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налогообложении главную роль играют прямые налоги на доходы населения - налог на доходы физических лиц и обязательные взносы в государственный фонд страхования занятости и государственный пенсионный фонд. В 1997 г. на них приходилось порядка 60% всех поступлений в федеральный бюджет. Следующая по величине статья его доходов - косвенные налоги (около 23%), из которых наиболее "весом" налог на товары и услуги. Налоги на доходы юридических лиц включают налог на прибыль корпораций и налог на капитал крупных корпораций. В сумме они дают около 15,5 доходов федерального бюджета.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Структура налоговых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поступлений в бюджеты провинций аналогична федеральной, но кроме этого важным источником для них являются трансферты (переводы средств) федерального правительства. Доля трансфертов составляет в среднем 19% бюджетов провинций.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Доходы местных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органов власти примерно на 47% складываются за счет местных косвенных налогов и продажи различных лицензий и разрешений. Еще 47% дают трансферты правительства провинции, на территории которой расположен тот или иной муниципальный округ. Небольшие субсидии поступают целевым назначением и от федерального правительства.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Ниже даны некоторые сведения о размерах и способах уплаты основных видов налогов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Федеральный налог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на доходы физических лиц (federal personal income tax) и провинциальный налог на доходы физических лиц (provincial personal income tax). Платятся непосредственно физическим лицом или некорпорированным бизнесом один раз в год с общей суммы доходов из всех источников. В 1997 г. шкала федерального налога выглядела следующим образом: 17% на годовой доход в размере до 29 590 долларов; 26% на доходы от 29 590 до 59 180 долларов; 29% на доходы свыше 59 180 долларов.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Во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всех провинциях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, за исключением Квебека, провинциальный налог на доходы физических лиц (сокращенно - PPIT) взимается по ставкам, которые исчисляются как процент от аналогичного федерального налога. Ставки РРIТ в различных провинциях неодинаковы - они колеблются от 43% в Северных территориях до 60% в Ньюфаундленде, однако в большинстве провинций они установлены в интервале 50-55%. По соглашению между двумя уровнями власти сбор провинциальных подоходных налогов осуществляет федеральная налоговая служба на основании данных, включенных гражданами в декларацию о доходах. Собранные средства затем передаются в бюджеты провинций.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Индивидуальные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налогоплательщики могут воспользоваться целым рядом льгот. Почти все они имеют форму скидок с расчетных сумм самих подоходных налогов. При этом с целью упрощения расчетов после реформы 1988 г. в Канаде устранен минимальный не облагаемый налогом доход и вычеты из налогооблагаемых сумм.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На всех без исключения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налогоплательщиков распространяется так называемая базовая скидка (basic personal tax credit). Она уменьшает подлежащую уплате сумму подоходных налогов на более чем 1 тыс. долларов и, соответственно, фактически освобождает от этих налогов наиболее низкодоходные слои населения. Кроме того существуют дополнительные скидки для граждан старше 65 лет, для инвалидов и лиц, имеющих на иждивении инвалидов, для одиноких матерей и отцов. Скидки с подоходных налогов предоставляются также получателям различных видов пенсий и пособий по безработице. Существуют скидки в связи с затратами на образование и услуги медицинского характера.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В целом система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льгот достаточно сложна, а ежегодная налоговая декларация - так называемая "голубая книга" ("blue book") представляет собой многостраничную брошюру, содержащую большой объем инструкций, разъяснений и таблиц. Налоговые декларации оформляют абсолютное большинство канадских граждан, за исключением самых малообеспеченных. Вместе с тем, налоговую декларацию могут предложить заполнить и человеку, прибывшему в Канаду с временной трудовой визой и работающему там за плату. Декларация должна быть заполнена и представлена в налоговую службу до 30 апреля. В нее включают сведения о доходах за предыдущий финансовый год, а также данные, необходимые для получения скидок с подоходных налогов. Финансовый год в Канаде начинается 1 апреля и заканчивается 31 марта.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К числу прямых налогов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, уплачиваемых как личный подоходный или корпорационный, относится налог на прирост капитальных активов (capital gains tax). Им облагается доход, полученный от различных операций с имуществом - продажи или обмена земельных участков, строений, ценных бумаг и т.п. Кроме того после отмены в 1972 г. федерального налога на наследство и дарения налог на прирост капитальных активов уплачивается при переходе имущества от одного собственника к другому. В налогооблагаемый доход включается три четверти суммы, составляющей разницу между рыночной ценой и ценой приобретения.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Обязательные взносы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в государственный фонд страхования занятости и государственный пенсионный фонд отчисляется в форме вычета из заработной платы. При отчислении средств в фонд занятости работодатели ежемесячно платят 4,06 доллара с каждых 100 долларов фонда заработной платы. У работников вычитаются суммы из расчета 2,90 доллара на каждые 100 долларов заработка. Взносы в государственный пенсионный фонд отчисляются по ставке 5,6% от суммы заработка (к 2003 г. ставка будет постепенно поднята до 9,9%). От уплаты пенсионных взносов освобождены работники, получающие менее 3,5 тыс. долларов в год. Вместе с тем такие взносы не взимаются и с сумм, превышающих определенный максимум. В 1997 г. он был установлен на уровне 39000 долларов в год.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Федеральный налог на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товары и услуги (goods and services tax - сокращенно GST). Аналогичен налогу на добавленную стоимость, но фактически его платит конечный потребитель по ставке 7%. Приобретая различные товары или платя за проживание в отеле, услуги химчисток, парикмахерских, фотоателье и т.п. надо иметь в виду, что к цене, указанной в прейскуранте следует прибавить еще 7% налога GST. На товарных чеках или квитанциях за услуги он будет указан отдельной строкой. Заметное исключение составляют продукты питания и лекарства, плата за проезд в городском общественном транспорте - на них GST не распространяется.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При покупке тех товаров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и услуг, на которые налог GST установлен, его платят все без исключения потребители. Однако, если Вы прибыли в Канаду на срок до трех месяцев и после визита в эту страну возвращаетесь на постоянное место жительства, то при определенных условиях имеется возможность получить обратно средства, затраченные на уплату GST. Это делается в соответствии с программой возврата налогов (Tax Refund Program).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Провинциальные налоги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на продажи (provincial sales tax - сокращенно PST) аналогичны федеральному GST. Они взимаются по различным ставкам во всех провинциях, кроме Альберты. Ставки PST колеблются от 6% в Британской Колумбии до 12% в Ньюфаундленде. Так же как GST, налог PST указывается на товарных чеках отдельной строкой и уплачивается потребителями товаров и услуг как надбавка к цене. В качестве меры поощрения иностранного туризма власти провинций Квебек и Манитоба присоединились к федеральной программе возврата иностранным гражданам сумм, уплаченных в виде налогов PST при покупке товаров и услуг в Канаде.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Покупая бензин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, потребители платят федеральный налог по твердой ставке 8 центов за литр. Аналогичный провинциальный налог (provincial gasoline tax) взимается в провинциях либо по твердой ставке, либо как процентная надбавка к цене.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Федеральный налог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на доходы корпораций (federal corporate income tax). Платится непосредственно корпорациями на основании ежегодно представляемых ими финансовых отчетов. Базовая ставка налога составляет 29%. Более льготным режимом налогообложения пользуются только две категории компаний. Во-первых, это предприятия обрабатывающей промышленности - для них налог установлен на уровне 21%. Во-вторых, предприятия малого бизнеса в любой отрасли платят налог по ставке 12%.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Провинциальны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й налог на доходы корпораций (provincial corporate income tax) взимается в провинциях по различным ставкам, уровень которых колеблется от 5 до 17%.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Основной из муниципальных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налогов ( а все они относятся к разряду косвенных) - налог на недвижимую собственность (real estate tax). Он уплачивается собственниками недвижимости как некоторый, установленный конкретным муниципалитетом процент от ее стоимости. В ряде провинций муниципалитетам предоставлено право собирать дополнительные налоги на продажи спиртного, при взимании платы за услуги гостиниц и ресторанов. Значительную часть поступлений в бюджеты муниципалитетов - в среднем примерно половину - составляет плата за различного рода лицензии и разрешения.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В целом современная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налоговая система Канады достаточно типична для государств с развитой рыночной экономикой. По уровню налогообложения корпораций Канада занимает среднее положение среди семи ведущих индустриальных стран. Суммарная федерально-провинциальная ставка налога на доходы корпораций составляет в Канаде около 42%, при 39-40% в США, около 30% во Франции и Великобритании, более 50% в Японии, Германии и Италии.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По уровню налогообложения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физических лиц Канада занимает среди стран Группы семи одно из первых мест. Вместе с тем, гибкая система интеграции личного подоходного и корпорационного налогов позволяет избегать двойного обложения прибыли, имеющего место в США. В 1996-1997 г. такие провинции как Онтарио, Новая Шотландия, Нью-Брансуик и Британская Колумбия снизили ставки подоходных налогов и намерены продолжать аналогичные реформы в будущем. Наиболее решительно это делает правительство провинции Онтарио: в 1998 г. ставка налога на доходы физических лиц снижена до 45% от уровня аналогичного федерального налога (49% в 1996 г.), а в 1999г. она опустится до 40,5%. </w:t>
      </w:r>
      <w:r w:rsidRPr="0082334A">
        <w:rPr>
          <w:rFonts w:ascii="Arial" w:eastAsia="Times New Roman" w:hAnsi="Arial" w:cs="Arial"/>
          <w:sz w:val="20"/>
          <w:szCs w:val="20"/>
          <w:highlight w:val="red"/>
          <w:lang w:eastAsia="ru-RU"/>
        </w:rPr>
        <w:t>По состоянию на</w:t>
      </w:r>
      <w:r w:rsidRPr="0082334A">
        <w:rPr>
          <w:rFonts w:ascii="Arial" w:eastAsia="Times New Roman" w:hAnsi="Arial" w:cs="Arial"/>
          <w:sz w:val="20"/>
          <w:szCs w:val="20"/>
          <w:lang w:eastAsia="ru-RU"/>
        </w:rPr>
        <w:t xml:space="preserve"> 1997 г. проживающая в Онтарио семья из четырех человек с двумя детьми и одним неработающим супругом должна была выплатить налоги в следующем размере. При годовом доходе порядка 56 тыс. долларов (примерно таков был доход среднестатистической канадской семьи) на уплату всех налогов и обязательных взносов ушло примерно 27 тыс. долларов. Семья аналогичного состава с годовым доходом в 100 тыс. долларов должна была выплатить в виде налогов и обязательных взносов более 36 тыс. долларов. </w:t>
      </w:r>
      <w:bookmarkStart w:id="0" w:name="_GoBack"/>
      <w:bookmarkEnd w:id="0"/>
    </w:p>
    <w:sectPr w:rsidR="000126D4" w:rsidRPr="0082334A" w:rsidSect="0001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34A"/>
    <w:rsid w:val="000126D4"/>
    <w:rsid w:val="002B3510"/>
    <w:rsid w:val="0082334A"/>
    <w:rsid w:val="008C580D"/>
    <w:rsid w:val="00E4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416FC-A0AA-4D1B-A011-B76223C9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23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mallCaps/>
      <w:color w:val="000080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34A"/>
    <w:rPr>
      <w:rFonts w:ascii="Times New Roman" w:eastAsia="Times New Roman" w:hAnsi="Times New Roman" w:cs="Times New Roman"/>
      <w:b/>
      <w:bCs/>
      <w:smallCaps/>
      <w:color w:val="000080"/>
      <w:kern w:val="36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823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</dc:creator>
  <cp:keywords/>
  <cp:lastModifiedBy>admin</cp:lastModifiedBy>
  <cp:revision>2</cp:revision>
  <dcterms:created xsi:type="dcterms:W3CDTF">2014-04-15T22:54:00Z</dcterms:created>
  <dcterms:modified xsi:type="dcterms:W3CDTF">2014-04-15T22:54:00Z</dcterms:modified>
</cp:coreProperties>
</file>