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5AD" w:rsidRDefault="003155AD" w:rsidP="00A42C80">
      <w:pPr>
        <w:jc w:val="center"/>
      </w:pPr>
    </w:p>
    <w:p w:rsidR="00A42C80" w:rsidRDefault="00A42C80" w:rsidP="00A42C80">
      <w:pPr>
        <w:jc w:val="center"/>
      </w:pPr>
    </w:p>
    <w:p w:rsidR="000358EE" w:rsidRDefault="000358EE" w:rsidP="00A42C80">
      <w:pPr>
        <w:jc w:val="center"/>
      </w:pPr>
    </w:p>
    <w:p w:rsidR="000358EE" w:rsidRDefault="000358EE" w:rsidP="00A42C80">
      <w:pPr>
        <w:jc w:val="center"/>
        <w:rPr>
          <w:b/>
          <w:sz w:val="20"/>
          <w:szCs w:val="20"/>
        </w:rPr>
      </w:pPr>
    </w:p>
    <w:p w:rsidR="00A42C80" w:rsidRDefault="00A42C80" w:rsidP="00A42C80">
      <w:pPr>
        <w:jc w:val="right"/>
        <w:rPr>
          <w:sz w:val="20"/>
          <w:szCs w:val="20"/>
        </w:rPr>
      </w:pPr>
    </w:p>
    <w:p w:rsidR="00A42C80" w:rsidRDefault="00A42C80" w:rsidP="00A42C80">
      <w:pPr>
        <w:jc w:val="right"/>
        <w:rPr>
          <w:sz w:val="20"/>
          <w:szCs w:val="20"/>
        </w:rPr>
      </w:pPr>
    </w:p>
    <w:p w:rsidR="00A42C80" w:rsidRDefault="00A42C80" w:rsidP="00A42C80">
      <w:pPr>
        <w:jc w:val="right"/>
        <w:rPr>
          <w:sz w:val="20"/>
          <w:szCs w:val="20"/>
        </w:rPr>
      </w:pPr>
    </w:p>
    <w:p w:rsidR="00A42C80" w:rsidRDefault="00A42C80" w:rsidP="00A42C80">
      <w:pPr>
        <w:jc w:val="right"/>
      </w:pPr>
      <w:r w:rsidRPr="002A322D">
        <w:t>«УТВЕРЖДАЮ»</w:t>
      </w:r>
    </w:p>
    <w:p w:rsidR="00A42C80" w:rsidRDefault="00A42C80" w:rsidP="000358EE"/>
    <w:p w:rsidR="00A42C80" w:rsidRPr="004E2D50" w:rsidRDefault="00BC242F" w:rsidP="00A42C80">
      <w:pPr>
        <w:jc w:val="right"/>
        <w:rPr>
          <w:u w:val="single"/>
        </w:rPr>
      </w:pPr>
      <w:r>
        <w:rPr>
          <w:u w:val="single"/>
        </w:rPr>
        <w:t xml:space="preserve">       </w:t>
      </w:r>
      <w:r w:rsidR="00A42C80">
        <w:rPr>
          <w:u w:val="single"/>
        </w:rPr>
        <w:t xml:space="preserve">    </w:t>
      </w:r>
      <w:r w:rsidRPr="004E2D50">
        <w:rPr>
          <w:u w:val="single"/>
        </w:rPr>
        <w:t>П</w:t>
      </w:r>
      <w:r w:rsidR="00A42C80" w:rsidRPr="004E2D50">
        <w:rPr>
          <w:u w:val="single"/>
        </w:rPr>
        <w:t>рофессор</w:t>
      </w:r>
      <w:r>
        <w:rPr>
          <w:u w:val="single"/>
        </w:rPr>
        <w:t>_</w:t>
      </w:r>
      <w:r w:rsidR="00326350">
        <w:rPr>
          <w:u w:val="single"/>
        </w:rPr>
        <w:t>_</w:t>
      </w:r>
      <w:r>
        <w:rPr>
          <w:u w:val="single"/>
        </w:rPr>
        <w:t>______</w:t>
      </w:r>
    </w:p>
    <w:p w:rsidR="00A42C80" w:rsidRDefault="00A42C80" w:rsidP="00A42C80">
      <w:pPr>
        <w:jc w:val="right"/>
      </w:pPr>
    </w:p>
    <w:p w:rsidR="00A42C80" w:rsidRPr="00345FA7" w:rsidRDefault="00326350" w:rsidP="00A42C80">
      <w:pPr>
        <w:jc w:val="right"/>
      </w:pPr>
      <w:r>
        <w:rPr>
          <w:b/>
          <w:u w:val="single"/>
        </w:rPr>
        <w:t xml:space="preserve"> ______________________</w:t>
      </w:r>
      <w:r w:rsidR="009C3E36">
        <w:rPr>
          <w:b/>
          <w:u w:val="single"/>
        </w:rPr>
        <w:t xml:space="preserve">    </w:t>
      </w:r>
      <w:r w:rsidR="00BC242F">
        <w:rPr>
          <w:b/>
          <w:u w:val="single"/>
        </w:rPr>
        <w:t xml:space="preserve">     </w:t>
      </w:r>
    </w:p>
    <w:p w:rsidR="00A42C80" w:rsidRDefault="00A42C80" w:rsidP="00A42C80">
      <w:pPr>
        <w:jc w:val="right"/>
      </w:pPr>
    </w:p>
    <w:p w:rsidR="00A42C80" w:rsidRPr="002A322D" w:rsidRDefault="00863B96" w:rsidP="00A42C80">
      <w:pPr>
        <w:jc w:val="right"/>
      </w:pPr>
      <w:r>
        <w:t xml:space="preserve"> «___</w:t>
      </w:r>
      <w:r w:rsidR="00A42C80" w:rsidRPr="002A322D">
        <w:t>»</w:t>
      </w:r>
      <w:r w:rsidR="00A42C80">
        <w:t xml:space="preserve"> ___________</w:t>
      </w:r>
      <w:r w:rsidR="00A42C80" w:rsidRPr="00240181">
        <w:t>2009 г.</w:t>
      </w:r>
    </w:p>
    <w:p w:rsidR="00A42C80" w:rsidRDefault="00A42C80" w:rsidP="00A42C80">
      <w:pPr>
        <w:jc w:val="right"/>
        <w:rPr>
          <w:sz w:val="20"/>
          <w:szCs w:val="20"/>
        </w:rPr>
      </w:pPr>
    </w:p>
    <w:p w:rsidR="00A42C80" w:rsidRDefault="00A42C80" w:rsidP="00A42C80">
      <w:pPr>
        <w:jc w:val="right"/>
        <w:rPr>
          <w:sz w:val="20"/>
          <w:szCs w:val="20"/>
        </w:rPr>
      </w:pPr>
    </w:p>
    <w:p w:rsidR="00A42C80" w:rsidRDefault="00A42C80" w:rsidP="00A42C80">
      <w:pPr>
        <w:rPr>
          <w:sz w:val="20"/>
          <w:szCs w:val="20"/>
        </w:rPr>
      </w:pPr>
    </w:p>
    <w:p w:rsidR="00A42C80" w:rsidRDefault="00A42C80" w:rsidP="00A42C80">
      <w:pPr>
        <w:jc w:val="right"/>
        <w:rPr>
          <w:sz w:val="20"/>
          <w:szCs w:val="20"/>
        </w:rPr>
      </w:pPr>
    </w:p>
    <w:p w:rsidR="00A42C80" w:rsidRDefault="00A42C80" w:rsidP="00A42C80">
      <w:pPr>
        <w:jc w:val="right"/>
        <w:rPr>
          <w:sz w:val="20"/>
          <w:szCs w:val="20"/>
        </w:rPr>
      </w:pPr>
    </w:p>
    <w:p w:rsidR="00A42C80" w:rsidRDefault="00A42C80" w:rsidP="00A42C80">
      <w:pPr>
        <w:jc w:val="right"/>
        <w:rPr>
          <w:sz w:val="20"/>
          <w:szCs w:val="20"/>
        </w:rPr>
      </w:pPr>
    </w:p>
    <w:p w:rsidR="00AA27E7" w:rsidRDefault="00AA27E7" w:rsidP="00AA27E7">
      <w:pPr>
        <w:jc w:val="center"/>
        <w:rPr>
          <w:sz w:val="28"/>
          <w:szCs w:val="28"/>
        </w:rPr>
      </w:pPr>
      <w:r>
        <w:rPr>
          <w:sz w:val="28"/>
          <w:szCs w:val="28"/>
        </w:rPr>
        <w:t>К У Р С О В А Я  Р А Б О Т А</w:t>
      </w:r>
    </w:p>
    <w:p w:rsidR="00AA27E7" w:rsidRDefault="00AA27E7" w:rsidP="00AA27E7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 «Деньги, кредит, банки»</w:t>
      </w:r>
    </w:p>
    <w:p w:rsidR="00A42C80" w:rsidRDefault="00A42C80" w:rsidP="00A42C80">
      <w:pPr>
        <w:jc w:val="center"/>
        <w:rPr>
          <w:b/>
          <w:sz w:val="28"/>
          <w:szCs w:val="28"/>
        </w:rPr>
      </w:pPr>
    </w:p>
    <w:p w:rsidR="00A42C80" w:rsidRPr="00AA27E7" w:rsidRDefault="00B254D0" w:rsidP="00A42C80">
      <w:pPr>
        <w:jc w:val="center"/>
        <w:rPr>
          <w:b/>
          <w:sz w:val="28"/>
          <w:szCs w:val="28"/>
        </w:rPr>
      </w:pPr>
      <w:r w:rsidRPr="00AA27E7">
        <w:rPr>
          <w:b/>
          <w:sz w:val="28"/>
          <w:szCs w:val="28"/>
        </w:rPr>
        <w:t>Ямайская валютная система</w:t>
      </w:r>
    </w:p>
    <w:p w:rsidR="00A42C80" w:rsidRDefault="00A42C80" w:rsidP="00A42C80">
      <w:pPr>
        <w:jc w:val="center"/>
        <w:rPr>
          <w:b/>
          <w:sz w:val="28"/>
          <w:szCs w:val="28"/>
        </w:rPr>
      </w:pPr>
    </w:p>
    <w:p w:rsidR="00A42C80" w:rsidRDefault="00A42C80" w:rsidP="00A42C80">
      <w:pPr>
        <w:jc w:val="center"/>
        <w:rPr>
          <w:b/>
          <w:sz w:val="28"/>
          <w:szCs w:val="28"/>
        </w:rPr>
      </w:pPr>
    </w:p>
    <w:p w:rsidR="00A42C80" w:rsidRPr="002A322D" w:rsidRDefault="00A42C80" w:rsidP="00A42C80">
      <w:pPr>
        <w:jc w:val="center"/>
        <w:rPr>
          <w:b/>
          <w:sz w:val="20"/>
          <w:szCs w:val="20"/>
        </w:rPr>
      </w:pPr>
    </w:p>
    <w:p w:rsidR="00A42C80" w:rsidRDefault="00A42C80" w:rsidP="00A42C80">
      <w:pPr>
        <w:jc w:val="center"/>
        <w:rPr>
          <w:b/>
          <w:sz w:val="28"/>
          <w:szCs w:val="28"/>
        </w:rPr>
      </w:pPr>
    </w:p>
    <w:p w:rsidR="00A42C80" w:rsidRDefault="00A42C80" w:rsidP="00A42C80">
      <w:pPr>
        <w:jc w:val="right"/>
        <w:rPr>
          <w:sz w:val="20"/>
          <w:szCs w:val="20"/>
        </w:rPr>
      </w:pPr>
    </w:p>
    <w:p w:rsidR="00A42C80" w:rsidRDefault="00A42C80" w:rsidP="00A42C80">
      <w:pPr>
        <w:jc w:val="right"/>
        <w:rPr>
          <w:sz w:val="20"/>
          <w:szCs w:val="20"/>
        </w:rPr>
      </w:pPr>
    </w:p>
    <w:p w:rsidR="00A42C80" w:rsidRDefault="00A42C80" w:rsidP="00A42C80">
      <w:pPr>
        <w:jc w:val="right"/>
        <w:rPr>
          <w:sz w:val="20"/>
          <w:szCs w:val="20"/>
        </w:rPr>
      </w:pPr>
    </w:p>
    <w:p w:rsidR="00A42C80" w:rsidRDefault="00A42C80" w:rsidP="00A42C80">
      <w:pPr>
        <w:jc w:val="right"/>
        <w:rPr>
          <w:sz w:val="20"/>
          <w:szCs w:val="20"/>
        </w:rPr>
      </w:pPr>
    </w:p>
    <w:p w:rsidR="00A42C80" w:rsidRPr="006E6F8F" w:rsidRDefault="00A42C80" w:rsidP="00A42C80">
      <w:pPr>
        <w:jc w:val="right"/>
      </w:pPr>
      <w:r w:rsidRPr="00792434">
        <w:rPr>
          <w:b/>
        </w:rPr>
        <w:t>Руководител</w:t>
      </w:r>
      <w:r>
        <w:rPr>
          <w:b/>
        </w:rPr>
        <w:t>ь</w:t>
      </w:r>
      <w:r>
        <w:t xml:space="preserve">: </w:t>
      </w:r>
      <w:r w:rsidR="009A407B">
        <w:rPr>
          <w:b/>
        </w:rPr>
        <w:t>ка</w:t>
      </w:r>
      <w:r w:rsidRPr="00A42C80">
        <w:rPr>
          <w:b/>
        </w:rPr>
        <w:t xml:space="preserve">ндидат </w:t>
      </w:r>
    </w:p>
    <w:p w:rsidR="00A42C80" w:rsidRPr="00A42C80" w:rsidRDefault="00A42C80" w:rsidP="00A42C80">
      <w:pPr>
        <w:jc w:val="right"/>
        <w:rPr>
          <w:b/>
        </w:rPr>
      </w:pPr>
      <w:r w:rsidRPr="00A42C80">
        <w:rPr>
          <w:b/>
        </w:rPr>
        <w:t>экономических наук, доцент</w:t>
      </w:r>
    </w:p>
    <w:p w:rsidR="00A42C80" w:rsidRPr="006E6F8F" w:rsidRDefault="00A42C80" w:rsidP="00A42C80">
      <w:pPr>
        <w:jc w:val="right"/>
        <w:rPr>
          <w:b/>
        </w:rPr>
      </w:pPr>
      <w:r w:rsidRPr="00980254">
        <w:rPr>
          <w:b/>
          <w:u w:val="single"/>
        </w:rPr>
        <w:t xml:space="preserve">  </w:t>
      </w:r>
    </w:p>
    <w:p w:rsidR="00A42C80" w:rsidRDefault="00A42C80" w:rsidP="00A42C80">
      <w:pPr>
        <w:jc w:val="right"/>
      </w:pPr>
    </w:p>
    <w:p w:rsidR="00A42C80" w:rsidRPr="002A322D" w:rsidRDefault="00A42C80" w:rsidP="00A42C80">
      <w:pPr>
        <w:jc w:val="right"/>
      </w:pPr>
      <w:r w:rsidRPr="002A322D">
        <w:t xml:space="preserve"> «</w:t>
      </w:r>
      <w:r>
        <w:t xml:space="preserve">___» __________  </w:t>
      </w:r>
      <w:smartTag w:uri="urn:schemas-microsoft-com:office:smarttags" w:element="metricconverter">
        <w:smartTagPr>
          <w:attr w:name="ProductID" w:val="2009 г"/>
        </w:smartTagPr>
        <w:r w:rsidRPr="00240181">
          <w:t>2009 г</w:t>
        </w:r>
      </w:smartTag>
      <w:r w:rsidRPr="00240181">
        <w:t>.</w:t>
      </w:r>
    </w:p>
    <w:p w:rsidR="00A42C80" w:rsidRPr="002A322D" w:rsidRDefault="00A42C80" w:rsidP="00A42C80">
      <w:pPr>
        <w:jc w:val="right"/>
      </w:pPr>
    </w:p>
    <w:p w:rsidR="00A42C80" w:rsidRDefault="00A42C80" w:rsidP="00A42C80">
      <w:pPr>
        <w:jc w:val="right"/>
      </w:pPr>
    </w:p>
    <w:p w:rsidR="00A42C80" w:rsidRDefault="00A42C80" w:rsidP="00A42C80">
      <w:pPr>
        <w:jc w:val="right"/>
      </w:pPr>
      <w:r>
        <w:rPr>
          <w:b/>
        </w:rPr>
        <w:t xml:space="preserve">                                                                                   </w:t>
      </w:r>
      <w:r w:rsidR="00B254D0">
        <w:rPr>
          <w:b/>
        </w:rPr>
        <w:t xml:space="preserve">                </w:t>
      </w:r>
    </w:p>
    <w:p w:rsidR="00A42C80" w:rsidRPr="002A322D" w:rsidRDefault="00A42C80" w:rsidP="00A42C80">
      <w:pPr>
        <w:jc w:val="right"/>
      </w:pPr>
    </w:p>
    <w:p w:rsidR="00A42C80" w:rsidRPr="001D3C9C" w:rsidRDefault="00A42C80" w:rsidP="00A42C80">
      <w:pPr>
        <w:jc w:val="right"/>
      </w:pPr>
      <w:r w:rsidRPr="001D3C9C">
        <w:t>«</w:t>
      </w:r>
      <w:r>
        <w:t>___</w:t>
      </w:r>
      <w:r w:rsidRPr="001D3C9C">
        <w:t xml:space="preserve">» </w:t>
      </w:r>
      <w:r w:rsidR="00B254D0">
        <w:t>декабря</w:t>
      </w:r>
      <w:r w:rsidRPr="001D3C9C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1D3C9C">
          <w:t>2009 г</w:t>
        </w:r>
      </w:smartTag>
      <w:r w:rsidRPr="001D3C9C">
        <w:t>.</w:t>
      </w:r>
    </w:p>
    <w:p w:rsidR="00A42C80" w:rsidRDefault="00A42C80" w:rsidP="00A42C80">
      <w:pPr>
        <w:jc w:val="center"/>
        <w:rPr>
          <w:sz w:val="20"/>
          <w:szCs w:val="20"/>
        </w:rPr>
      </w:pPr>
    </w:p>
    <w:p w:rsidR="00A42C80" w:rsidRDefault="00A42C80" w:rsidP="00A42C80">
      <w:pPr>
        <w:jc w:val="center"/>
        <w:rPr>
          <w:sz w:val="20"/>
          <w:szCs w:val="20"/>
        </w:rPr>
      </w:pPr>
    </w:p>
    <w:p w:rsidR="00A42C80" w:rsidRDefault="00A42C80" w:rsidP="00A42C80">
      <w:pPr>
        <w:jc w:val="center"/>
        <w:rPr>
          <w:sz w:val="20"/>
          <w:szCs w:val="20"/>
        </w:rPr>
      </w:pPr>
    </w:p>
    <w:p w:rsidR="00A42C80" w:rsidRDefault="00A42C80" w:rsidP="00A42C80">
      <w:pPr>
        <w:jc w:val="center"/>
        <w:rPr>
          <w:sz w:val="20"/>
          <w:szCs w:val="20"/>
        </w:rPr>
      </w:pPr>
    </w:p>
    <w:p w:rsidR="00A42C80" w:rsidRDefault="00A42C80" w:rsidP="00A42C80">
      <w:pPr>
        <w:rPr>
          <w:sz w:val="20"/>
          <w:szCs w:val="20"/>
        </w:rPr>
      </w:pPr>
    </w:p>
    <w:p w:rsidR="000358EE" w:rsidRDefault="000358EE" w:rsidP="00377838">
      <w:pPr>
        <w:jc w:val="center"/>
        <w:rPr>
          <w:b/>
        </w:rPr>
      </w:pPr>
    </w:p>
    <w:p w:rsidR="000358EE" w:rsidRDefault="000358EE" w:rsidP="00377838">
      <w:pPr>
        <w:jc w:val="center"/>
        <w:rPr>
          <w:b/>
        </w:rPr>
      </w:pPr>
    </w:p>
    <w:p w:rsidR="000358EE" w:rsidRDefault="000358EE" w:rsidP="00377838">
      <w:pPr>
        <w:jc w:val="center"/>
        <w:rPr>
          <w:b/>
        </w:rPr>
      </w:pPr>
    </w:p>
    <w:p w:rsidR="000358EE" w:rsidRDefault="000358EE" w:rsidP="00377838">
      <w:pPr>
        <w:jc w:val="center"/>
        <w:rPr>
          <w:b/>
        </w:rPr>
      </w:pPr>
    </w:p>
    <w:p w:rsidR="000358EE" w:rsidRDefault="000358EE" w:rsidP="00377838">
      <w:pPr>
        <w:jc w:val="center"/>
        <w:rPr>
          <w:b/>
        </w:rPr>
      </w:pPr>
    </w:p>
    <w:p w:rsidR="000358EE" w:rsidRDefault="000358EE" w:rsidP="00377838">
      <w:pPr>
        <w:jc w:val="center"/>
        <w:rPr>
          <w:b/>
        </w:rPr>
      </w:pPr>
    </w:p>
    <w:p w:rsidR="000358EE" w:rsidRDefault="000358EE" w:rsidP="00377838">
      <w:pPr>
        <w:jc w:val="center"/>
        <w:rPr>
          <w:b/>
        </w:rPr>
      </w:pPr>
    </w:p>
    <w:p w:rsidR="000358EE" w:rsidRDefault="000358EE" w:rsidP="00377838">
      <w:pPr>
        <w:jc w:val="center"/>
        <w:rPr>
          <w:b/>
        </w:rPr>
      </w:pPr>
    </w:p>
    <w:p w:rsidR="00377838" w:rsidRDefault="00377838" w:rsidP="00377838">
      <w:pPr>
        <w:jc w:val="center"/>
        <w:rPr>
          <w:b/>
        </w:rPr>
      </w:pPr>
      <w:r>
        <w:rPr>
          <w:b/>
        </w:rPr>
        <w:t>РЕФЕРАТ</w:t>
      </w:r>
    </w:p>
    <w:p w:rsidR="00377838" w:rsidRDefault="00377838" w:rsidP="00377838">
      <w:pPr>
        <w:ind w:firstLine="709"/>
      </w:pPr>
    </w:p>
    <w:p w:rsidR="00377838" w:rsidRDefault="00377838" w:rsidP="00377838">
      <w:pPr>
        <w:ind w:firstLine="709"/>
      </w:pPr>
    </w:p>
    <w:p w:rsidR="00377838" w:rsidRDefault="00377838" w:rsidP="00377838">
      <w:pPr>
        <w:spacing w:line="360" w:lineRule="auto"/>
        <w:ind w:firstLine="709"/>
      </w:pPr>
      <w:r>
        <w:t>Объем  26 с., 4 ч., 3 табл., 2 формулы, 15 источников, 1 прил.</w:t>
      </w:r>
    </w:p>
    <w:p w:rsidR="00377838" w:rsidRDefault="00377838" w:rsidP="00377838">
      <w:pPr>
        <w:spacing w:line="360" w:lineRule="auto"/>
        <w:ind w:firstLine="709"/>
      </w:pPr>
    </w:p>
    <w:p w:rsidR="00CB5F23" w:rsidRDefault="00CB5F23" w:rsidP="007D573F">
      <w:pPr>
        <w:spacing w:line="360" w:lineRule="auto"/>
        <w:ind w:firstLine="709"/>
        <w:jc w:val="both"/>
      </w:pPr>
      <w:r>
        <w:t xml:space="preserve">МИРОВАЯ ВАЛЮТНАЯ СИСТЕМА (МВС), БРЕТТОНВУТТСКАЯ ВАЛЮТНАЯ СИСТЕМА, МЕЖДУНАРОДНЫЙ ВАЛЮТНЫЙ ФОНД (МВФ), </w:t>
      </w:r>
      <w:r w:rsidR="007D573F">
        <w:t>ЯМАЙСКАЯ ВАЛЮТНАЯ СИСТЕМА, ПОЛИЦЕНТРИЧНОСТЬ, ВАЛЮТНЫЙ КУРС, ФИКСИРОВАННЫЙ ВАЛЮТНЫЙ КУРС, СПЕЦИАЛЬНЫЕ ПРАВА ЗАИМСТВОВАНИЯ (СДР)</w:t>
      </w:r>
    </w:p>
    <w:p w:rsidR="00377838" w:rsidRDefault="00377838" w:rsidP="00377838">
      <w:pPr>
        <w:spacing w:line="360" w:lineRule="auto"/>
        <w:ind w:firstLine="709"/>
        <w:jc w:val="both"/>
      </w:pPr>
      <w:r>
        <w:t xml:space="preserve">Предмет исследования – </w:t>
      </w:r>
      <w:r w:rsidR="007D573F">
        <w:t>факторы, под влиянием которых происходило образование Ямайской валютной системы</w:t>
      </w:r>
      <w:r>
        <w:t>.</w:t>
      </w:r>
    </w:p>
    <w:p w:rsidR="00377838" w:rsidRDefault="00377838" w:rsidP="00377838">
      <w:pPr>
        <w:spacing w:line="360" w:lineRule="auto"/>
        <w:ind w:firstLine="709"/>
        <w:jc w:val="both"/>
      </w:pPr>
      <w:r>
        <w:t>Объектом и</w:t>
      </w:r>
      <w:r w:rsidR="007D573F">
        <w:t>сследования является Ямайская валютная система</w:t>
      </w:r>
      <w:r>
        <w:t>.</w:t>
      </w:r>
    </w:p>
    <w:p w:rsidR="00377838" w:rsidRDefault="007D573F" w:rsidP="00377838">
      <w:pPr>
        <w:spacing w:line="360" w:lineRule="auto"/>
        <w:ind w:firstLine="709"/>
        <w:jc w:val="both"/>
      </w:pPr>
      <w:r w:rsidRPr="00861BCE">
        <w:t>Целью</w:t>
      </w:r>
      <w:r>
        <w:t xml:space="preserve"> является – </w:t>
      </w:r>
      <w:r w:rsidR="00D44675">
        <w:t>изучение теоретических основ</w:t>
      </w:r>
      <w:r>
        <w:t xml:space="preserve"> функционирования Ямайской валютной системы</w:t>
      </w:r>
      <w:r w:rsidR="00377838">
        <w:t>.</w:t>
      </w:r>
    </w:p>
    <w:p w:rsidR="005A0D9B" w:rsidRDefault="00377838" w:rsidP="00377838">
      <w:pPr>
        <w:spacing w:line="360" w:lineRule="auto"/>
        <w:ind w:firstLine="709"/>
        <w:jc w:val="both"/>
      </w:pPr>
      <w:r>
        <w:t xml:space="preserve">В </w:t>
      </w:r>
      <w:r w:rsidR="005A0D9B">
        <w:t>процессе работы было рассмотрено функционирование Ямайской валютной системы</w:t>
      </w:r>
      <w:r>
        <w:t>, на основе литературных источников</w:t>
      </w:r>
      <w:r w:rsidR="005A0D9B">
        <w:t xml:space="preserve"> раскрыты </w:t>
      </w:r>
      <w:r>
        <w:t xml:space="preserve"> </w:t>
      </w:r>
      <w:r w:rsidR="005A0D9B">
        <w:t>факторы образования и принципы функционирования системы, проанализировано положение стран в ныне действующей валютной системе.</w:t>
      </w:r>
    </w:p>
    <w:p w:rsidR="00377838" w:rsidRDefault="00377838" w:rsidP="00377838">
      <w:pPr>
        <w:spacing w:line="360" w:lineRule="auto"/>
        <w:ind w:firstLine="709"/>
        <w:jc w:val="both"/>
      </w:pPr>
      <w:r>
        <w:t>В результате исследования были сформулированы выводы, направленные</w:t>
      </w:r>
      <w:r w:rsidR="005A0D9B">
        <w:t xml:space="preserve"> на дальнейшее функционирование Ямайской валютной системы и предложения о развитие мировой системы в целом</w:t>
      </w:r>
      <w:r w:rsidR="00D44675">
        <w:t xml:space="preserve">. В основном заключающиеся в </w:t>
      </w:r>
      <w:r w:rsidR="003C4DAC">
        <w:t>том, что пока нет очевидных путей решения проблем Ямайской валютной системы, но многие ученые ссылаются на создание новой валютной системы на</w:t>
      </w:r>
      <w:r w:rsidR="00D44675">
        <w:t xml:space="preserve"> примере экономического </w:t>
      </w:r>
      <w:r w:rsidR="003C4DAC">
        <w:t xml:space="preserve">и валютного </w:t>
      </w:r>
      <w:r w:rsidR="00D44675">
        <w:t xml:space="preserve">союза ЕС. </w:t>
      </w:r>
    </w:p>
    <w:p w:rsidR="00377838" w:rsidRDefault="00377838" w:rsidP="00377838">
      <w:pPr>
        <w:spacing w:line="360" w:lineRule="auto"/>
        <w:ind w:firstLine="709"/>
      </w:pPr>
    </w:p>
    <w:p w:rsidR="00377838" w:rsidRDefault="00377838" w:rsidP="00377838">
      <w:pPr>
        <w:spacing w:line="360" w:lineRule="auto"/>
        <w:ind w:firstLine="709"/>
        <w:jc w:val="both"/>
      </w:pPr>
    </w:p>
    <w:p w:rsidR="00377838" w:rsidRDefault="00377838" w:rsidP="00377838">
      <w:pPr>
        <w:spacing w:line="360" w:lineRule="auto"/>
        <w:ind w:firstLine="709"/>
      </w:pPr>
    </w:p>
    <w:p w:rsidR="00A42C80" w:rsidRDefault="00A42C80" w:rsidP="00CA1C54">
      <w:pPr>
        <w:pStyle w:val="6"/>
        <w:jc w:val="center"/>
        <w:rPr>
          <w:rFonts w:ascii="Arial" w:hAnsi="Arial"/>
          <w:sz w:val="28"/>
          <w:szCs w:val="28"/>
        </w:rPr>
      </w:pPr>
    </w:p>
    <w:p w:rsidR="00377838" w:rsidRDefault="00377838" w:rsidP="00377838"/>
    <w:p w:rsidR="00377838" w:rsidRDefault="00377838" w:rsidP="00377838"/>
    <w:p w:rsidR="00377838" w:rsidRDefault="00377838" w:rsidP="00377838"/>
    <w:p w:rsidR="00377838" w:rsidRDefault="00377838" w:rsidP="00377838"/>
    <w:p w:rsidR="00377838" w:rsidRDefault="00377838" w:rsidP="00377838"/>
    <w:p w:rsidR="00377838" w:rsidRDefault="00377838" w:rsidP="00377838"/>
    <w:p w:rsidR="00377838" w:rsidRDefault="00377838" w:rsidP="00377838"/>
    <w:p w:rsidR="00377838" w:rsidRDefault="00377838" w:rsidP="00377838"/>
    <w:p w:rsidR="00377838" w:rsidRDefault="00377838" w:rsidP="00377838"/>
    <w:p w:rsidR="00377838" w:rsidRDefault="00377838" w:rsidP="00377838"/>
    <w:p w:rsidR="00377838" w:rsidRDefault="00377838" w:rsidP="00377838"/>
    <w:p w:rsidR="00377838" w:rsidRDefault="00377838" w:rsidP="00377838"/>
    <w:p w:rsidR="00377838" w:rsidRDefault="00377838" w:rsidP="00377838"/>
    <w:p w:rsidR="00BD54FE" w:rsidRDefault="00BD54FE" w:rsidP="00377838"/>
    <w:p w:rsidR="00BD54FE" w:rsidRPr="00377838" w:rsidRDefault="00BD54FE" w:rsidP="00377838"/>
    <w:p w:rsidR="00CA1C54" w:rsidRPr="00CA1C54" w:rsidRDefault="00CA1C54" w:rsidP="00CA1C54">
      <w:pPr>
        <w:pStyle w:val="6"/>
        <w:jc w:val="center"/>
        <w:rPr>
          <w:b w:val="0"/>
          <w:sz w:val="24"/>
        </w:rPr>
      </w:pPr>
      <w:r w:rsidRPr="00781AF9">
        <w:rPr>
          <w:rFonts w:ascii="Arial" w:hAnsi="Arial"/>
          <w:sz w:val="28"/>
          <w:szCs w:val="28"/>
        </w:rPr>
        <w:t>Содержание</w:t>
      </w:r>
      <w:r w:rsidRPr="00E44E2E">
        <w:t xml:space="preserve"> </w:t>
      </w:r>
    </w:p>
    <w:p w:rsidR="00CA1C54" w:rsidRDefault="00CA1C54" w:rsidP="00014F1B"/>
    <w:p w:rsidR="00E44E2E" w:rsidRPr="00E44E2E" w:rsidRDefault="00E44E2E" w:rsidP="00014F1B">
      <w:pPr>
        <w:spacing w:line="360" w:lineRule="auto"/>
        <w:jc w:val="center"/>
      </w:pPr>
      <w:r w:rsidRPr="00E44E2E">
        <w:t>Введение............................................................................................................</w:t>
      </w:r>
      <w:r w:rsidR="002278F1">
        <w:t>.......................</w:t>
      </w:r>
      <w:r w:rsidRPr="00E44E2E">
        <w:t>......</w:t>
      </w:r>
      <w:r w:rsidR="00A055C8">
        <w:t>.........</w:t>
      </w:r>
      <w:r w:rsidRPr="00E44E2E">
        <w:t>3</w:t>
      </w:r>
    </w:p>
    <w:p w:rsidR="00697302" w:rsidRDefault="00BA5A67" w:rsidP="00697302">
      <w:pPr>
        <w:numPr>
          <w:ilvl w:val="0"/>
          <w:numId w:val="17"/>
        </w:numPr>
        <w:spacing w:line="360" w:lineRule="auto"/>
      </w:pPr>
      <w:r>
        <w:t>Понятие и элементы</w:t>
      </w:r>
      <w:r w:rsidR="00B254D0">
        <w:t xml:space="preserve"> валютн</w:t>
      </w:r>
      <w:r>
        <w:t>ой</w:t>
      </w:r>
      <w:r w:rsidR="00B254D0">
        <w:t xml:space="preserve"> систем</w:t>
      </w:r>
      <w:r>
        <w:t>ы………………</w:t>
      </w:r>
      <w:r w:rsidR="00B254D0">
        <w:t>…….</w:t>
      </w:r>
      <w:r w:rsidR="00014F1B">
        <w:t>……………………</w:t>
      </w:r>
      <w:r w:rsidR="00B254D0">
        <w:t>………….</w:t>
      </w:r>
      <w:r w:rsidR="00E40F9E">
        <w:t>.5</w:t>
      </w:r>
    </w:p>
    <w:p w:rsidR="005C65C6" w:rsidRDefault="00B254D0" w:rsidP="005C65C6">
      <w:pPr>
        <w:numPr>
          <w:ilvl w:val="0"/>
          <w:numId w:val="17"/>
        </w:numPr>
        <w:spacing w:line="360" w:lineRule="auto"/>
      </w:pPr>
      <w:r>
        <w:t>Эволюция мировой валютной системы</w:t>
      </w:r>
      <w:r w:rsidR="00697302">
        <w:t xml:space="preserve">. Предпосылки создания </w:t>
      </w:r>
      <w:r w:rsidR="004026DD">
        <w:t>Ямайской</w:t>
      </w:r>
      <w:r w:rsidR="00697302">
        <w:t xml:space="preserve"> валютной системы</w:t>
      </w:r>
      <w:r>
        <w:t>……………..</w:t>
      </w:r>
      <w:r w:rsidR="00014F1B">
        <w:t>…………………………</w:t>
      </w:r>
      <w:r>
        <w:t>…….......</w:t>
      </w:r>
      <w:r w:rsidR="00E40F9E">
        <w:t>.............................</w:t>
      </w:r>
      <w:r w:rsidR="00100461">
        <w:t>...............................8</w:t>
      </w:r>
    </w:p>
    <w:p w:rsidR="005C65C6" w:rsidRDefault="0037488B" w:rsidP="00836400">
      <w:pPr>
        <w:numPr>
          <w:ilvl w:val="0"/>
          <w:numId w:val="17"/>
        </w:numPr>
        <w:spacing w:line="360" w:lineRule="auto"/>
      </w:pPr>
      <w:r>
        <w:t>Основные характеристики Яма</w:t>
      </w:r>
      <w:r w:rsidR="00836400">
        <w:t xml:space="preserve">йской валютной системы. </w:t>
      </w:r>
      <w:r w:rsidR="001B50FF">
        <w:t xml:space="preserve">Развивающиеся страны в Ямайской валютной системе </w:t>
      </w:r>
      <w:r w:rsidR="00697302">
        <w:t>…………………………………</w:t>
      </w:r>
      <w:r w:rsidR="00100461">
        <w:t>………………………………14</w:t>
      </w:r>
    </w:p>
    <w:p w:rsidR="005C65C6" w:rsidRDefault="005C65C6" w:rsidP="005C65C6">
      <w:pPr>
        <w:numPr>
          <w:ilvl w:val="0"/>
          <w:numId w:val="17"/>
        </w:numPr>
        <w:spacing w:line="360" w:lineRule="auto"/>
      </w:pPr>
      <w:r>
        <w:t>Проблемы Ямайской валютной системы……………………………………</w:t>
      </w:r>
      <w:r w:rsidR="00E40F9E">
        <w:t>………………</w:t>
      </w:r>
      <w:r w:rsidR="00100461">
        <w:t xml:space="preserve"> 22</w:t>
      </w:r>
    </w:p>
    <w:p w:rsidR="00E44E2E" w:rsidRPr="00E44E2E" w:rsidRDefault="00E44E2E" w:rsidP="00014F1B">
      <w:pPr>
        <w:spacing w:line="360" w:lineRule="auto"/>
      </w:pPr>
      <w:r w:rsidRPr="00E44E2E">
        <w:t>Заключение.....................................................................</w:t>
      </w:r>
      <w:r w:rsidR="002278F1">
        <w:t>...........................................</w:t>
      </w:r>
      <w:r w:rsidRPr="00E44E2E">
        <w:t>..................</w:t>
      </w:r>
      <w:r w:rsidR="003C6DE4">
        <w:t>.........</w:t>
      </w:r>
      <w:r w:rsidR="00A055C8">
        <w:t>.</w:t>
      </w:r>
      <w:r w:rsidR="00100461">
        <w:t>.26</w:t>
      </w:r>
    </w:p>
    <w:p w:rsidR="00E44E2E" w:rsidRDefault="00E44E2E" w:rsidP="00014F1B">
      <w:pPr>
        <w:spacing w:line="360" w:lineRule="auto"/>
      </w:pPr>
      <w:r w:rsidRPr="00E44E2E">
        <w:t>Список использованной литературы.............................</w:t>
      </w:r>
      <w:r w:rsidR="002278F1">
        <w:t>....................................</w:t>
      </w:r>
      <w:r w:rsidR="003C6DE4">
        <w:t>..</w:t>
      </w:r>
      <w:r w:rsidR="00B254D0">
        <w:t>...............................</w:t>
      </w:r>
      <w:r w:rsidR="00100461">
        <w:t>..28</w:t>
      </w:r>
    </w:p>
    <w:p w:rsidR="00E818F4" w:rsidRPr="00E44E2E" w:rsidRDefault="00E818F4" w:rsidP="00014F1B">
      <w:pPr>
        <w:spacing w:line="360" w:lineRule="auto"/>
      </w:pPr>
      <w:r>
        <w:t>Приложение 1……………</w:t>
      </w:r>
      <w:r w:rsidR="00100461">
        <w:t>…………………………………………………………………………….29</w:t>
      </w:r>
    </w:p>
    <w:p w:rsidR="00E44E2E" w:rsidRPr="00E44E2E" w:rsidRDefault="00E44E2E" w:rsidP="00E44E2E"/>
    <w:p w:rsidR="00E44E2E" w:rsidRPr="00E44E2E" w:rsidRDefault="00E44E2E" w:rsidP="00E44E2E"/>
    <w:p w:rsidR="00E44E2E" w:rsidRPr="00E44E2E" w:rsidRDefault="00E44E2E" w:rsidP="00E44E2E"/>
    <w:p w:rsidR="00E44E2E" w:rsidRPr="00E44E2E" w:rsidRDefault="00E44E2E" w:rsidP="00E44E2E"/>
    <w:p w:rsidR="00E44E2E" w:rsidRPr="00E44E2E" w:rsidRDefault="00E44E2E" w:rsidP="00E44E2E"/>
    <w:p w:rsidR="00E44E2E" w:rsidRPr="00E44E2E" w:rsidRDefault="00E44E2E" w:rsidP="00E44E2E"/>
    <w:p w:rsidR="00E44E2E" w:rsidRPr="00E44E2E" w:rsidRDefault="00E44E2E" w:rsidP="00E44E2E"/>
    <w:p w:rsidR="00E44E2E" w:rsidRDefault="00E44E2E" w:rsidP="00E44E2E"/>
    <w:p w:rsidR="00E44E2E" w:rsidRPr="00E44E2E" w:rsidRDefault="00E44E2E" w:rsidP="00E44E2E"/>
    <w:p w:rsidR="00E44E2E" w:rsidRPr="00E44E2E" w:rsidRDefault="00E44E2E" w:rsidP="00E44E2E"/>
    <w:p w:rsidR="00E44E2E" w:rsidRPr="00E44E2E" w:rsidRDefault="00E44E2E" w:rsidP="00E44E2E"/>
    <w:p w:rsidR="00E44E2E" w:rsidRPr="00E44E2E" w:rsidRDefault="00E44E2E" w:rsidP="00E44E2E"/>
    <w:p w:rsidR="00E44E2E" w:rsidRPr="00E44E2E" w:rsidRDefault="00E44E2E" w:rsidP="00E44E2E"/>
    <w:p w:rsidR="00E44E2E" w:rsidRPr="00E44E2E" w:rsidRDefault="00E44E2E" w:rsidP="00E44E2E"/>
    <w:p w:rsidR="00E44E2E" w:rsidRPr="00E44E2E" w:rsidRDefault="00E44E2E" w:rsidP="00E44E2E"/>
    <w:p w:rsidR="00E44E2E" w:rsidRPr="00E44E2E" w:rsidRDefault="00E44E2E" w:rsidP="00E44E2E"/>
    <w:p w:rsidR="00E44E2E" w:rsidRDefault="00E44E2E" w:rsidP="00E44E2E"/>
    <w:p w:rsidR="001C298B" w:rsidRPr="00E44E2E" w:rsidRDefault="001C298B" w:rsidP="00E44E2E"/>
    <w:p w:rsidR="00E44E2E" w:rsidRDefault="00E44E2E" w:rsidP="00E44E2E"/>
    <w:p w:rsidR="002A3BD6" w:rsidRDefault="002A3BD6" w:rsidP="00E44E2E"/>
    <w:p w:rsidR="002A3BD6" w:rsidRDefault="002A3BD6" w:rsidP="00E44E2E"/>
    <w:p w:rsidR="00D059E5" w:rsidRDefault="00D059E5" w:rsidP="00E44E2E">
      <w:pPr>
        <w:tabs>
          <w:tab w:val="left" w:pos="975"/>
        </w:tabs>
      </w:pPr>
    </w:p>
    <w:p w:rsidR="00D27504" w:rsidRDefault="00D27504" w:rsidP="00E44E2E">
      <w:pPr>
        <w:tabs>
          <w:tab w:val="left" w:pos="975"/>
        </w:tabs>
      </w:pPr>
    </w:p>
    <w:p w:rsidR="0037488B" w:rsidRDefault="0037488B" w:rsidP="00E44E2E">
      <w:pPr>
        <w:tabs>
          <w:tab w:val="left" w:pos="975"/>
        </w:tabs>
      </w:pPr>
    </w:p>
    <w:p w:rsidR="0037488B" w:rsidRDefault="0037488B" w:rsidP="00E44E2E">
      <w:pPr>
        <w:tabs>
          <w:tab w:val="left" w:pos="975"/>
        </w:tabs>
      </w:pPr>
    </w:p>
    <w:p w:rsidR="0037488B" w:rsidRDefault="0037488B" w:rsidP="00E44E2E">
      <w:pPr>
        <w:tabs>
          <w:tab w:val="left" w:pos="975"/>
        </w:tabs>
      </w:pPr>
    </w:p>
    <w:p w:rsidR="0037488B" w:rsidRDefault="0037488B" w:rsidP="00E44E2E">
      <w:pPr>
        <w:tabs>
          <w:tab w:val="left" w:pos="975"/>
        </w:tabs>
      </w:pPr>
    </w:p>
    <w:p w:rsidR="0037488B" w:rsidRDefault="0037488B" w:rsidP="00E44E2E">
      <w:pPr>
        <w:tabs>
          <w:tab w:val="left" w:pos="975"/>
        </w:tabs>
      </w:pPr>
    </w:p>
    <w:p w:rsidR="0037488B" w:rsidRDefault="0037488B" w:rsidP="00E44E2E">
      <w:pPr>
        <w:tabs>
          <w:tab w:val="left" w:pos="975"/>
        </w:tabs>
      </w:pPr>
    </w:p>
    <w:p w:rsidR="0037488B" w:rsidRDefault="0037488B" w:rsidP="00E44E2E">
      <w:pPr>
        <w:tabs>
          <w:tab w:val="left" w:pos="975"/>
        </w:tabs>
      </w:pPr>
    </w:p>
    <w:p w:rsidR="0037488B" w:rsidRDefault="0037488B" w:rsidP="00E44E2E">
      <w:pPr>
        <w:tabs>
          <w:tab w:val="left" w:pos="975"/>
        </w:tabs>
      </w:pPr>
    </w:p>
    <w:p w:rsidR="0037488B" w:rsidRDefault="0037488B" w:rsidP="00E44E2E">
      <w:pPr>
        <w:tabs>
          <w:tab w:val="left" w:pos="975"/>
        </w:tabs>
      </w:pPr>
    </w:p>
    <w:p w:rsidR="00377838" w:rsidRDefault="00377838" w:rsidP="00E44E2E">
      <w:pPr>
        <w:tabs>
          <w:tab w:val="left" w:pos="975"/>
        </w:tabs>
      </w:pPr>
    </w:p>
    <w:p w:rsidR="00377838" w:rsidRDefault="00377838" w:rsidP="00E44E2E">
      <w:pPr>
        <w:tabs>
          <w:tab w:val="left" w:pos="975"/>
        </w:tabs>
      </w:pPr>
    </w:p>
    <w:p w:rsidR="00377838" w:rsidRDefault="00377838" w:rsidP="00E44E2E">
      <w:pPr>
        <w:tabs>
          <w:tab w:val="left" w:pos="975"/>
        </w:tabs>
      </w:pPr>
    </w:p>
    <w:p w:rsidR="00650FB1" w:rsidRDefault="00014F1B" w:rsidP="00650FB1">
      <w:pPr>
        <w:tabs>
          <w:tab w:val="left" w:pos="930"/>
          <w:tab w:val="left" w:pos="1155"/>
          <w:tab w:val="center" w:pos="4898"/>
        </w:tabs>
        <w:spacing w:line="360" w:lineRule="auto"/>
        <w:jc w:val="center"/>
      </w:pPr>
      <w:r>
        <w:rPr>
          <w:rFonts w:ascii="Arial" w:hAnsi="Arial"/>
          <w:b/>
          <w:sz w:val="28"/>
          <w:szCs w:val="28"/>
        </w:rPr>
        <w:t>Введение</w:t>
      </w:r>
    </w:p>
    <w:p w:rsidR="0087043C" w:rsidRDefault="00863B96" w:rsidP="0087043C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043C">
        <w:rPr>
          <w:rFonts w:ascii="Times New Roman" w:hAnsi="Times New Roman" w:cs="Times New Roman"/>
          <w:sz w:val="24"/>
          <w:szCs w:val="24"/>
        </w:rPr>
        <w:t>Тема курсовой работы  «</w:t>
      </w:r>
      <w:r w:rsidR="0037488B" w:rsidRPr="0087043C">
        <w:rPr>
          <w:rFonts w:ascii="Times New Roman" w:hAnsi="Times New Roman" w:cs="Times New Roman"/>
          <w:sz w:val="24"/>
          <w:szCs w:val="24"/>
        </w:rPr>
        <w:t>Ямайская валютная система</w:t>
      </w:r>
      <w:r w:rsidR="00650FB1" w:rsidRPr="0087043C">
        <w:rPr>
          <w:rFonts w:ascii="Times New Roman" w:hAnsi="Times New Roman" w:cs="Times New Roman"/>
          <w:sz w:val="24"/>
          <w:szCs w:val="24"/>
        </w:rPr>
        <w:t>» очень интересна</w:t>
      </w:r>
      <w:r w:rsidR="005878A8">
        <w:rPr>
          <w:rFonts w:ascii="Times New Roman" w:hAnsi="Times New Roman" w:cs="Times New Roman"/>
          <w:sz w:val="24"/>
          <w:szCs w:val="24"/>
        </w:rPr>
        <w:t xml:space="preserve"> и актуальна</w:t>
      </w:r>
      <w:r w:rsidR="00650FB1" w:rsidRPr="0087043C">
        <w:rPr>
          <w:rFonts w:ascii="Times New Roman" w:hAnsi="Times New Roman" w:cs="Times New Roman"/>
          <w:sz w:val="24"/>
          <w:szCs w:val="24"/>
        </w:rPr>
        <w:t>, так как</w:t>
      </w:r>
      <w:r w:rsidR="009A407B" w:rsidRPr="0087043C">
        <w:rPr>
          <w:rFonts w:ascii="Times New Roman" w:hAnsi="Times New Roman" w:cs="Times New Roman"/>
          <w:sz w:val="24"/>
          <w:szCs w:val="24"/>
        </w:rPr>
        <w:t xml:space="preserve"> валютная система имеет важное значение в мирохозяйственных связях. Мировая валютная система - это совокупность кредитно-денежных отношений, сложившихся на основе интернационализации хозяйственной жизни, международного разделения труда и мирового рынка. </w:t>
      </w:r>
      <w:r w:rsidR="008D4606">
        <w:rPr>
          <w:rFonts w:ascii="Times New Roman" w:hAnsi="Times New Roman" w:cs="Times New Roman"/>
          <w:sz w:val="24"/>
          <w:szCs w:val="24"/>
        </w:rPr>
        <w:t xml:space="preserve">Ямайская – это ныне действующая валютная система. Выявление недостатков которой может способствовать интенсивному экономическому развитию стран и </w:t>
      </w:r>
      <w:r w:rsidR="00861BCE">
        <w:rPr>
          <w:rFonts w:ascii="Times New Roman" w:hAnsi="Times New Roman" w:cs="Times New Roman"/>
          <w:sz w:val="24"/>
          <w:szCs w:val="24"/>
        </w:rPr>
        <w:t xml:space="preserve">укреплению </w:t>
      </w:r>
      <w:r w:rsidR="00861BCE" w:rsidRPr="00861BCE">
        <w:rPr>
          <w:rFonts w:ascii="Times New Roman" w:hAnsi="Times New Roman" w:cs="Times New Roman"/>
          <w:sz w:val="24"/>
          <w:szCs w:val="24"/>
        </w:rPr>
        <w:t>экономических связей между ними.</w:t>
      </w:r>
    </w:p>
    <w:p w:rsidR="003C4DAC" w:rsidRPr="003C4DAC" w:rsidRDefault="003C4DAC" w:rsidP="003C4DAC">
      <w:pPr>
        <w:pStyle w:val="a6"/>
        <w:spacing w:line="360" w:lineRule="auto"/>
        <w:ind w:left="0" w:firstLine="720"/>
        <w:jc w:val="both"/>
        <w:rPr>
          <w:szCs w:val="28"/>
        </w:rPr>
      </w:pPr>
      <w:r w:rsidRPr="00861BCE">
        <w:t>Практической значимостью</w:t>
      </w:r>
      <w:r w:rsidRPr="00C41923">
        <w:t xml:space="preserve"> курсовой работы  является умение и возможность проанализировать </w:t>
      </w:r>
      <w:r>
        <w:t>в сравнении переход от одной Мировой валютной системы к другой, причины перехода. На примере стран оценить ситуации, складывающиеся в мире при Ямайской валютной системе. Охарактеризовать развивающиеся страны, в зависимости от соотношения курсов валют к другим странам.</w:t>
      </w:r>
    </w:p>
    <w:p w:rsidR="00E44E2E" w:rsidRDefault="00AF66CC" w:rsidP="007D573F">
      <w:pPr>
        <w:tabs>
          <w:tab w:val="left" w:pos="930"/>
          <w:tab w:val="left" w:pos="1155"/>
          <w:tab w:val="center" w:pos="4898"/>
        </w:tabs>
        <w:spacing w:line="360" w:lineRule="auto"/>
        <w:jc w:val="both"/>
        <w:rPr>
          <w:b/>
        </w:rPr>
      </w:pPr>
      <w:r>
        <w:t xml:space="preserve">             </w:t>
      </w:r>
      <w:r w:rsidR="00E44E2E" w:rsidRPr="00861BCE">
        <w:t>Целью</w:t>
      </w:r>
      <w:r w:rsidR="00E44E2E">
        <w:t xml:space="preserve"> является – анализ и </w:t>
      </w:r>
      <w:r>
        <w:t>теоретические</w:t>
      </w:r>
      <w:r w:rsidR="00E44E2E">
        <w:t xml:space="preserve"> основы </w:t>
      </w:r>
      <w:r w:rsidR="00AD612E">
        <w:t>функционирования Ямайской валютной системы.</w:t>
      </w:r>
      <w:r w:rsidR="00E44E2E" w:rsidRPr="00AF66CC">
        <w:t xml:space="preserve"> Для достижения определенной цели необходимо решить ряд взаимосвязанных задач:</w:t>
      </w:r>
      <w:r w:rsidR="00E44E2E" w:rsidRPr="008B0640">
        <w:rPr>
          <w:b/>
        </w:rPr>
        <w:t xml:space="preserve"> </w:t>
      </w:r>
    </w:p>
    <w:p w:rsidR="0037488B" w:rsidRDefault="0037488B" w:rsidP="007D573F">
      <w:pPr>
        <w:tabs>
          <w:tab w:val="left" w:pos="930"/>
          <w:tab w:val="left" w:pos="1155"/>
          <w:tab w:val="center" w:pos="4898"/>
        </w:tabs>
        <w:spacing w:line="360" w:lineRule="auto"/>
        <w:jc w:val="both"/>
      </w:pPr>
      <w:r>
        <w:rPr>
          <w:b/>
        </w:rPr>
        <w:t>-</w:t>
      </w:r>
      <w:r w:rsidR="005878A8">
        <w:rPr>
          <w:b/>
        </w:rPr>
        <w:t xml:space="preserve"> </w:t>
      </w:r>
      <w:r w:rsidR="005878A8" w:rsidRPr="005878A8">
        <w:t>дать определение мировой валютной системы</w:t>
      </w:r>
      <w:r w:rsidR="005878A8">
        <w:t>;</w:t>
      </w:r>
    </w:p>
    <w:p w:rsidR="003C4DAC" w:rsidRDefault="005878A8" w:rsidP="007D573F">
      <w:pPr>
        <w:tabs>
          <w:tab w:val="left" w:pos="930"/>
          <w:tab w:val="left" w:pos="1155"/>
          <w:tab w:val="center" w:pos="4898"/>
        </w:tabs>
        <w:spacing w:line="360" w:lineRule="auto"/>
        <w:jc w:val="both"/>
      </w:pPr>
      <w:r>
        <w:t>- охарактеризовать этапы р</w:t>
      </w:r>
      <w:r w:rsidR="000D5812">
        <w:t>азвития мировой валютной системы</w:t>
      </w:r>
      <w:r w:rsidR="003C4DAC">
        <w:t>;</w:t>
      </w:r>
    </w:p>
    <w:p w:rsidR="000D5812" w:rsidRDefault="000D5812" w:rsidP="00863B96">
      <w:pPr>
        <w:tabs>
          <w:tab w:val="left" w:pos="930"/>
          <w:tab w:val="left" w:pos="1155"/>
          <w:tab w:val="center" w:pos="4898"/>
        </w:tabs>
        <w:spacing w:line="360" w:lineRule="auto"/>
        <w:jc w:val="both"/>
      </w:pPr>
      <w:r>
        <w:t xml:space="preserve">- </w:t>
      </w:r>
      <w:r w:rsidR="00861BCE">
        <w:t>изучить</w:t>
      </w:r>
      <w:r>
        <w:t xml:space="preserve"> экономические, внешнеполитические и военные факторы, послужившие распадом Бреттонвудсской валютной системы</w:t>
      </w:r>
      <w:r w:rsidR="00754968">
        <w:t>;</w:t>
      </w:r>
    </w:p>
    <w:p w:rsidR="003C4DAC" w:rsidRDefault="003C4DAC" w:rsidP="00863B96">
      <w:pPr>
        <w:tabs>
          <w:tab w:val="left" w:pos="930"/>
          <w:tab w:val="left" w:pos="1155"/>
          <w:tab w:val="center" w:pos="4898"/>
        </w:tabs>
        <w:spacing w:line="360" w:lineRule="auto"/>
        <w:jc w:val="both"/>
      </w:pPr>
      <w:r>
        <w:t>- сравнение Бреттонвудсской и Ямайской валютных систем;</w:t>
      </w:r>
    </w:p>
    <w:p w:rsidR="00754968" w:rsidRDefault="00754968" w:rsidP="00863B96">
      <w:pPr>
        <w:tabs>
          <w:tab w:val="left" w:pos="930"/>
          <w:tab w:val="left" w:pos="1155"/>
          <w:tab w:val="center" w:pos="4898"/>
        </w:tabs>
        <w:spacing w:line="360" w:lineRule="auto"/>
        <w:jc w:val="both"/>
      </w:pPr>
      <w:r>
        <w:t xml:space="preserve">- </w:t>
      </w:r>
      <w:r w:rsidR="00861BCE">
        <w:t xml:space="preserve">рассмотреть </w:t>
      </w:r>
      <w:r>
        <w:t>создание Ямайской валютной системы, ее функционирование;</w:t>
      </w:r>
    </w:p>
    <w:p w:rsidR="00754968" w:rsidRDefault="00754968" w:rsidP="00863B96">
      <w:pPr>
        <w:tabs>
          <w:tab w:val="left" w:pos="930"/>
          <w:tab w:val="left" w:pos="1155"/>
          <w:tab w:val="center" w:pos="4898"/>
        </w:tabs>
        <w:spacing w:line="360" w:lineRule="auto"/>
        <w:jc w:val="both"/>
      </w:pPr>
      <w:r>
        <w:t>- проанализировать работу Международного валютного фонда как органа межгосударственного валютного регулирования;</w:t>
      </w:r>
    </w:p>
    <w:p w:rsidR="00754968" w:rsidRDefault="00754968" w:rsidP="00863B96">
      <w:pPr>
        <w:tabs>
          <w:tab w:val="left" w:pos="930"/>
          <w:tab w:val="left" w:pos="1155"/>
          <w:tab w:val="center" w:pos="4898"/>
        </w:tabs>
        <w:spacing w:line="360" w:lineRule="auto"/>
        <w:jc w:val="both"/>
      </w:pPr>
      <w:r>
        <w:t>- охарактеризовать политику стран в Ямайской валютной системе;</w:t>
      </w:r>
    </w:p>
    <w:p w:rsidR="00754968" w:rsidRPr="00BF3726" w:rsidRDefault="00754968" w:rsidP="00863B96">
      <w:pPr>
        <w:tabs>
          <w:tab w:val="left" w:pos="930"/>
          <w:tab w:val="left" w:pos="1155"/>
          <w:tab w:val="center" w:pos="4898"/>
        </w:tabs>
        <w:spacing w:line="360" w:lineRule="auto"/>
        <w:jc w:val="both"/>
      </w:pPr>
      <w:r>
        <w:t>- проблемы Ямайской валютной системы</w:t>
      </w:r>
      <w:r w:rsidR="003C4DAC">
        <w:t xml:space="preserve"> и пути их решения</w:t>
      </w:r>
      <w:r w:rsidR="00FC0170">
        <w:t>.</w:t>
      </w:r>
    </w:p>
    <w:p w:rsidR="00E44E2E" w:rsidRDefault="00E44E2E" w:rsidP="00403E40">
      <w:pPr>
        <w:pStyle w:val="a6"/>
        <w:spacing w:after="0" w:line="360" w:lineRule="auto"/>
        <w:ind w:left="0" w:firstLine="720"/>
        <w:jc w:val="both"/>
        <w:rPr>
          <w:szCs w:val="28"/>
        </w:rPr>
      </w:pPr>
      <w:r w:rsidRPr="00861BCE">
        <w:rPr>
          <w:szCs w:val="28"/>
        </w:rPr>
        <w:t>Информационной базой</w:t>
      </w:r>
      <w:r w:rsidRPr="00286479">
        <w:rPr>
          <w:szCs w:val="28"/>
        </w:rPr>
        <w:t xml:space="preserve"> исследования служат действующие законодательные акты и нормативные документы, научные публикации отечественных  и зарубежных специалистов </w:t>
      </w:r>
      <w:r w:rsidR="005B03FD">
        <w:rPr>
          <w:szCs w:val="28"/>
        </w:rPr>
        <w:t>по теме исследования.</w:t>
      </w:r>
    </w:p>
    <w:p w:rsidR="00E44E2E" w:rsidRPr="00597997" w:rsidRDefault="00E44E2E" w:rsidP="00403E40">
      <w:pPr>
        <w:pStyle w:val="a6"/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В работе и</w:t>
      </w:r>
      <w:r w:rsidRPr="00597997">
        <w:rPr>
          <w:szCs w:val="28"/>
        </w:rPr>
        <w:t xml:space="preserve">спользованы </w:t>
      </w:r>
      <w:r w:rsidRPr="00861BCE">
        <w:rPr>
          <w:szCs w:val="28"/>
        </w:rPr>
        <w:t>методы</w:t>
      </w:r>
      <w:r>
        <w:rPr>
          <w:szCs w:val="28"/>
        </w:rPr>
        <w:t xml:space="preserve"> определения и рассмотрения</w:t>
      </w:r>
      <w:r w:rsidRPr="00597997">
        <w:rPr>
          <w:szCs w:val="28"/>
        </w:rPr>
        <w:t>,  на основе таких разработок отечественных</w:t>
      </w:r>
      <w:r>
        <w:rPr>
          <w:szCs w:val="28"/>
        </w:rPr>
        <w:t xml:space="preserve"> и зарубежных</w:t>
      </w:r>
      <w:r w:rsidRPr="00597997">
        <w:rPr>
          <w:szCs w:val="28"/>
        </w:rPr>
        <w:t xml:space="preserve"> экономистов как</w:t>
      </w:r>
      <w:r>
        <w:rPr>
          <w:szCs w:val="28"/>
        </w:rPr>
        <w:t>:</w:t>
      </w:r>
      <w:r w:rsidRPr="00597997">
        <w:rPr>
          <w:szCs w:val="28"/>
        </w:rPr>
        <w:t xml:space="preserve"> </w:t>
      </w:r>
      <w:r w:rsidR="009A407B">
        <w:rPr>
          <w:szCs w:val="28"/>
        </w:rPr>
        <w:t xml:space="preserve">Базулин Ю.В., Лаврушин О.И, Ямпольский М.М., </w:t>
      </w:r>
      <w:r>
        <w:t>и других.</w:t>
      </w:r>
    </w:p>
    <w:p w:rsidR="00E44E2E" w:rsidRPr="00C41923" w:rsidRDefault="00E44E2E" w:rsidP="00403E40">
      <w:pPr>
        <w:pStyle w:val="a6"/>
        <w:spacing w:line="360" w:lineRule="auto"/>
        <w:ind w:left="0" w:firstLine="720"/>
        <w:jc w:val="both"/>
        <w:rPr>
          <w:szCs w:val="28"/>
        </w:rPr>
      </w:pPr>
      <w:r w:rsidRPr="00861BCE">
        <w:rPr>
          <w:szCs w:val="28"/>
        </w:rPr>
        <w:t>Структуру</w:t>
      </w:r>
      <w:r w:rsidRPr="00C41923">
        <w:rPr>
          <w:szCs w:val="28"/>
        </w:rPr>
        <w:t xml:space="preserve"> курсовой работы составляют</w:t>
      </w:r>
      <w:r>
        <w:rPr>
          <w:szCs w:val="28"/>
        </w:rPr>
        <w:t>:</w:t>
      </w:r>
      <w:r w:rsidRPr="00C41923">
        <w:rPr>
          <w:szCs w:val="28"/>
        </w:rPr>
        <w:t xml:space="preserve"> введение, 1</w:t>
      </w:r>
      <w:r w:rsidR="005B03FD">
        <w:rPr>
          <w:szCs w:val="28"/>
        </w:rPr>
        <w:t xml:space="preserve"> глава</w:t>
      </w:r>
      <w:r w:rsidR="001C298B">
        <w:rPr>
          <w:szCs w:val="28"/>
        </w:rPr>
        <w:t xml:space="preserve"> </w:t>
      </w:r>
      <w:r>
        <w:rPr>
          <w:szCs w:val="28"/>
        </w:rPr>
        <w:t>–</w:t>
      </w:r>
      <w:r w:rsidR="00674E12">
        <w:rPr>
          <w:szCs w:val="28"/>
        </w:rPr>
        <w:t xml:space="preserve"> </w:t>
      </w:r>
      <w:r>
        <w:rPr>
          <w:szCs w:val="28"/>
        </w:rPr>
        <w:t>где рассматриваются</w:t>
      </w:r>
      <w:r w:rsidRPr="00C41923">
        <w:rPr>
          <w:szCs w:val="28"/>
        </w:rPr>
        <w:t xml:space="preserve"> теоретические</w:t>
      </w:r>
      <w:r w:rsidR="009C3E36">
        <w:rPr>
          <w:szCs w:val="28"/>
        </w:rPr>
        <w:t xml:space="preserve"> </w:t>
      </w:r>
      <w:r w:rsidRPr="00C41923">
        <w:rPr>
          <w:szCs w:val="28"/>
        </w:rPr>
        <w:t>аспекты</w:t>
      </w:r>
      <w:r>
        <w:rPr>
          <w:szCs w:val="28"/>
        </w:rPr>
        <w:t xml:space="preserve">, </w:t>
      </w:r>
      <w:r w:rsidR="003C4DAC">
        <w:rPr>
          <w:szCs w:val="28"/>
        </w:rPr>
        <w:t>2-4</w:t>
      </w:r>
      <w:r w:rsidR="005B03FD">
        <w:rPr>
          <w:szCs w:val="28"/>
        </w:rPr>
        <w:t xml:space="preserve"> главы</w:t>
      </w:r>
      <w:r>
        <w:rPr>
          <w:szCs w:val="28"/>
        </w:rPr>
        <w:t xml:space="preserve"> – раскрыва</w:t>
      </w:r>
      <w:r w:rsidR="005B03FD">
        <w:rPr>
          <w:szCs w:val="28"/>
        </w:rPr>
        <w:t>ют и теоретическую</w:t>
      </w:r>
      <w:r>
        <w:rPr>
          <w:szCs w:val="28"/>
        </w:rPr>
        <w:t xml:space="preserve"> </w:t>
      </w:r>
      <w:r w:rsidR="005B03FD">
        <w:rPr>
          <w:szCs w:val="28"/>
        </w:rPr>
        <w:t xml:space="preserve">и </w:t>
      </w:r>
      <w:r>
        <w:rPr>
          <w:szCs w:val="28"/>
        </w:rPr>
        <w:t xml:space="preserve">практическую сторону </w:t>
      </w:r>
      <w:r w:rsidR="00AD612E">
        <w:rPr>
          <w:szCs w:val="28"/>
        </w:rPr>
        <w:t>Ямайской валютной системы, как предпосылки к созданию, так и на сегодняшний день многочисленные проблемы</w:t>
      </w:r>
      <w:r w:rsidRPr="00C41923">
        <w:rPr>
          <w:szCs w:val="28"/>
        </w:rPr>
        <w:t xml:space="preserve">, заключение, список </w:t>
      </w:r>
      <w:r>
        <w:rPr>
          <w:szCs w:val="28"/>
        </w:rPr>
        <w:t xml:space="preserve">использованной </w:t>
      </w:r>
      <w:r w:rsidRPr="00C41923">
        <w:rPr>
          <w:szCs w:val="28"/>
        </w:rPr>
        <w:t>литературы.</w:t>
      </w:r>
    </w:p>
    <w:p w:rsidR="00E44E2E" w:rsidRDefault="00E44E2E" w:rsidP="004B672D">
      <w:pPr>
        <w:pStyle w:val="a6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 </w:t>
      </w:r>
    </w:p>
    <w:p w:rsidR="00E44E2E" w:rsidRDefault="00E44E2E" w:rsidP="004B672D">
      <w:pPr>
        <w:spacing w:line="360" w:lineRule="auto"/>
        <w:jc w:val="both"/>
        <w:outlineLvl w:val="0"/>
        <w:rPr>
          <w:szCs w:val="28"/>
        </w:rPr>
      </w:pPr>
    </w:p>
    <w:p w:rsidR="00E44E2E" w:rsidRDefault="00E44E2E" w:rsidP="004B672D">
      <w:pPr>
        <w:spacing w:line="360" w:lineRule="auto"/>
        <w:jc w:val="both"/>
        <w:outlineLvl w:val="0"/>
        <w:rPr>
          <w:szCs w:val="28"/>
        </w:rPr>
      </w:pPr>
    </w:p>
    <w:p w:rsidR="00E44E2E" w:rsidRDefault="00E44E2E" w:rsidP="004B672D">
      <w:pPr>
        <w:spacing w:line="360" w:lineRule="auto"/>
        <w:jc w:val="both"/>
        <w:outlineLvl w:val="0"/>
        <w:rPr>
          <w:szCs w:val="28"/>
        </w:rPr>
      </w:pPr>
    </w:p>
    <w:p w:rsidR="00E44E2E" w:rsidRDefault="00E44E2E" w:rsidP="004B672D">
      <w:pPr>
        <w:spacing w:line="360" w:lineRule="auto"/>
        <w:jc w:val="both"/>
      </w:pPr>
    </w:p>
    <w:p w:rsidR="00E44E2E" w:rsidRDefault="00E44E2E" w:rsidP="004B672D">
      <w:pPr>
        <w:spacing w:line="360" w:lineRule="auto"/>
        <w:jc w:val="both"/>
      </w:pPr>
    </w:p>
    <w:p w:rsidR="00E44E2E" w:rsidRPr="00E44E2E" w:rsidRDefault="00E44E2E" w:rsidP="004B672D">
      <w:pPr>
        <w:spacing w:line="360" w:lineRule="auto"/>
        <w:jc w:val="both"/>
      </w:pPr>
    </w:p>
    <w:p w:rsidR="00E44E2E" w:rsidRDefault="00E44E2E" w:rsidP="004B672D">
      <w:pPr>
        <w:pStyle w:val="2"/>
        <w:spacing w:line="360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bookmarkStart w:id="0" w:name="_Toc95842955"/>
    </w:p>
    <w:p w:rsidR="001A2F76" w:rsidRDefault="001A2F76" w:rsidP="001A2F76"/>
    <w:p w:rsidR="001A2F76" w:rsidRDefault="001A2F76" w:rsidP="001A2F76"/>
    <w:bookmarkEnd w:id="0"/>
    <w:p w:rsidR="00403E40" w:rsidRDefault="00403E40" w:rsidP="00A336CB">
      <w:pPr>
        <w:spacing w:line="360" w:lineRule="auto"/>
      </w:pPr>
    </w:p>
    <w:p w:rsidR="001C298B" w:rsidRDefault="001C298B" w:rsidP="00A336CB">
      <w:pPr>
        <w:spacing w:line="360" w:lineRule="auto"/>
      </w:pPr>
    </w:p>
    <w:p w:rsidR="00E40F9E" w:rsidRDefault="00E40F9E" w:rsidP="00A336CB">
      <w:pPr>
        <w:spacing w:line="360" w:lineRule="auto"/>
      </w:pPr>
    </w:p>
    <w:p w:rsidR="00E40F9E" w:rsidRDefault="00E40F9E" w:rsidP="00A336CB">
      <w:pPr>
        <w:spacing w:line="360" w:lineRule="auto"/>
      </w:pPr>
    </w:p>
    <w:p w:rsidR="00E40F9E" w:rsidRDefault="00E40F9E" w:rsidP="00A336CB">
      <w:pPr>
        <w:spacing w:line="360" w:lineRule="auto"/>
      </w:pPr>
    </w:p>
    <w:p w:rsidR="00E40F9E" w:rsidRDefault="00E40F9E" w:rsidP="00A336CB">
      <w:pPr>
        <w:spacing w:line="360" w:lineRule="auto"/>
      </w:pPr>
    </w:p>
    <w:p w:rsidR="00E40F9E" w:rsidRDefault="00E40F9E" w:rsidP="00A336CB">
      <w:pPr>
        <w:spacing w:line="360" w:lineRule="auto"/>
      </w:pPr>
    </w:p>
    <w:p w:rsidR="00E40F9E" w:rsidRDefault="00E40F9E" w:rsidP="00A336CB">
      <w:pPr>
        <w:spacing w:line="360" w:lineRule="auto"/>
      </w:pPr>
    </w:p>
    <w:p w:rsidR="00E40F9E" w:rsidRDefault="00E40F9E" w:rsidP="00A336CB">
      <w:pPr>
        <w:spacing w:line="360" w:lineRule="auto"/>
      </w:pPr>
    </w:p>
    <w:p w:rsidR="00E40F9E" w:rsidRDefault="00E40F9E" w:rsidP="00A336CB">
      <w:pPr>
        <w:spacing w:line="360" w:lineRule="auto"/>
      </w:pPr>
    </w:p>
    <w:p w:rsidR="00E40F9E" w:rsidRDefault="00E40F9E" w:rsidP="00A336CB">
      <w:pPr>
        <w:spacing w:line="360" w:lineRule="auto"/>
      </w:pPr>
    </w:p>
    <w:p w:rsidR="00E40F9E" w:rsidRDefault="00E40F9E" w:rsidP="00A336CB">
      <w:pPr>
        <w:spacing w:line="360" w:lineRule="auto"/>
      </w:pPr>
    </w:p>
    <w:p w:rsidR="00E40F9E" w:rsidRDefault="00E40F9E" w:rsidP="00A336CB">
      <w:pPr>
        <w:spacing w:line="360" w:lineRule="auto"/>
      </w:pPr>
    </w:p>
    <w:p w:rsidR="00E40F9E" w:rsidRDefault="00E40F9E" w:rsidP="00A336CB">
      <w:pPr>
        <w:spacing w:line="360" w:lineRule="auto"/>
      </w:pPr>
    </w:p>
    <w:p w:rsidR="00E40F9E" w:rsidRDefault="00E40F9E" w:rsidP="00A336CB">
      <w:pPr>
        <w:spacing w:line="360" w:lineRule="auto"/>
      </w:pPr>
    </w:p>
    <w:p w:rsidR="00E40F9E" w:rsidRDefault="00E40F9E" w:rsidP="00A336CB">
      <w:pPr>
        <w:spacing w:line="360" w:lineRule="auto"/>
      </w:pPr>
    </w:p>
    <w:p w:rsidR="00E40F9E" w:rsidRDefault="00E40F9E" w:rsidP="00A336CB">
      <w:pPr>
        <w:spacing w:line="360" w:lineRule="auto"/>
      </w:pPr>
    </w:p>
    <w:p w:rsidR="00C5473F" w:rsidRDefault="00C5473F" w:rsidP="00A336CB">
      <w:pPr>
        <w:spacing w:line="360" w:lineRule="auto"/>
      </w:pPr>
    </w:p>
    <w:p w:rsidR="00E40F9E" w:rsidRDefault="00E40F9E" w:rsidP="00A336CB">
      <w:pPr>
        <w:spacing w:line="360" w:lineRule="auto"/>
      </w:pPr>
    </w:p>
    <w:p w:rsidR="00E40F9E" w:rsidRDefault="00E40F9E" w:rsidP="00A336CB">
      <w:pPr>
        <w:spacing w:line="360" w:lineRule="auto"/>
      </w:pPr>
    </w:p>
    <w:p w:rsidR="00261D44" w:rsidRDefault="00BA5A67" w:rsidP="00544EC5">
      <w:pPr>
        <w:numPr>
          <w:ilvl w:val="0"/>
          <w:numId w:val="19"/>
        </w:numPr>
        <w:spacing w:line="360" w:lineRule="auto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Понятие и элементы валютной</w:t>
      </w:r>
      <w:r w:rsidR="0037488B">
        <w:rPr>
          <w:rFonts w:ascii="Arial" w:hAnsi="Arial"/>
          <w:b/>
          <w:sz w:val="28"/>
          <w:szCs w:val="28"/>
        </w:rPr>
        <w:t xml:space="preserve"> систем</w:t>
      </w:r>
      <w:r>
        <w:rPr>
          <w:rFonts w:ascii="Arial" w:hAnsi="Arial"/>
          <w:b/>
          <w:sz w:val="28"/>
          <w:szCs w:val="28"/>
        </w:rPr>
        <w:t>ы</w:t>
      </w:r>
    </w:p>
    <w:p w:rsidR="00544EC5" w:rsidRPr="00544EC5" w:rsidRDefault="00544EC5" w:rsidP="00544EC5">
      <w:pPr>
        <w:spacing w:line="360" w:lineRule="auto"/>
        <w:ind w:left="360"/>
        <w:jc w:val="center"/>
        <w:rPr>
          <w:rFonts w:ascii="Arial" w:hAnsi="Arial"/>
          <w:b/>
          <w:sz w:val="28"/>
          <w:szCs w:val="28"/>
        </w:rPr>
      </w:pPr>
    </w:p>
    <w:p w:rsidR="004C3437" w:rsidRDefault="004C3437" w:rsidP="00544EC5">
      <w:pPr>
        <w:spacing w:line="360" w:lineRule="auto"/>
        <w:ind w:firstLine="720"/>
        <w:jc w:val="both"/>
      </w:pPr>
      <w:r>
        <w:t>По мере интернационализации хозяйственных связей стран возрастают международные потоки товаров, услуг, капиталов и кредитов. В мировом хозяйстве осуществляется круглосуточный «перелив» денежного капитала, формирующегося в процессе национального</w:t>
      </w:r>
      <w:r w:rsidR="009E0448">
        <w:t xml:space="preserve"> общественного воспроизводства.</w:t>
      </w:r>
    </w:p>
    <w:p w:rsidR="004C3437" w:rsidRDefault="009E0448" w:rsidP="009E0448">
      <w:pPr>
        <w:spacing w:line="360" w:lineRule="auto"/>
        <w:ind w:firstLine="720"/>
        <w:jc w:val="both"/>
      </w:pPr>
      <w:r>
        <w:t>По мере развития внешнеэкономических связей была создана валютная система – государственно-правовая форма организации валютных отношений, регулируемая национальным законодательством или межгосударственным соглашением [</w:t>
      </w:r>
      <w:r w:rsidR="003C077C">
        <w:t>11</w:t>
      </w:r>
      <w:r w:rsidR="0003450D">
        <w:t>. С.</w:t>
      </w:r>
      <w:r>
        <w:t>254</w:t>
      </w:r>
      <w:r w:rsidRPr="00135BA1">
        <w:t>]</w:t>
      </w:r>
      <w:r w:rsidR="0003450D">
        <w:t>.</w:t>
      </w:r>
    </w:p>
    <w:p w:rsidR="009E0448" w:rsidRDefault="009E0448" w:rsidP="009E0448">
      <w:pPr>
        <w:spacing w:line="360" w:lineRule="auto"/>
        <w:ind w:firstLine="720"/>
        <w:jc w:val="both"/>
      </w:pPr>
      <w:r>
        <w:t>По мере развития мировых хозяйственных связей создана мировая валютная система, которая преследует глобальные цели мирового сообщества и признана обеспечить интересы стран-участниц, имеет особый механизм регулирования и функционирования</w:t>
      </w:r>
      <w:r w:rsidRPr="009E0448">
        <w:t xml:space="preserve"> </w:t>
      </w:r>
      <w:r w:rsidRPr="0003450D">
        <w:t>[</w:t>
      </w:r>
      <w:r w:rsidR="0003450D" w:rsidRPr="0003450D">
        <w:t>10. С.</w:t>
      </w:r>
      <w:r w:rsidRPr="0003450D">
        <w:t>255].</w:t>
      </w:r>
    </w:p>
    <w:p w:rsidR="00B56DC1" w:rsidRDefault="0068150C" w:rsidP="00544EC5">
      <w:pPr>
        <w:spacing w:line="360" w:lineRule="auto"/>
        <w:ind w:firstLine="720"/>
        <w:jc w:val="both"/>
      </w:pPr>
      <w:r>
        <w:t>С точки зрения ка</w:t>
      </w:r>
      <w:r w:rsidR="009E0448">
        <w:t>ндидата экономических наук Базулина Ю.В. м</w:t>
      </w:r>
      <w:r w:rsidR="00544EC5">
        <w:t>ировая валютная система (МВС) представляет собой форму организации валютных отношений в рамках мирового хозяйства, закрепленную межгосударственными и международными договоренностями. Содержание МВС образует совокупность способов, инструментов и межгосударственных органов, способствующих платежно-расчетн</w:t>
      </w:r>
      <w:r w:rsidR="007F4A0E">
        <w:t>ому обороту в мировой экономике</w:t>
      </w:r>
      <w:r w:rsidR="00544EC5">
        <w:t xml:space="preserve"> </w:t>
      </w:r>
      <w:r w:rsidR="007F4A0E">
        <w:t>[</w:t>
      </w:r>
      <w:r w:rsidR="0003450D" w:rsidRPr="0003450D">
        <w:t>1. С.</w:t>
      </w:r>
      <w:r w:rsidR="00FA4A6D" w:rsidRPr="0003450D">
        <w:t>376</w:t>
      </w:r>
      <w:r w:rsidR="00A06166" w:rsidRPr="00135BA1">
        <w:t>]</w:t>
      </w:r>
      <w:r w:rsidR="007F4A0E">
        <w:t>.</w:t>
      </w:r>
    </w:p>
    <w:p w:rsidR="0068150C" w:rsidRDefault="0070137B" w:rsidP="0068150C">
      <w:pPr>
        <w:spacing w:line="360" w:lineRule="auto"/>
        <w:ind w:firstLine="720"/>
        <w:jc w:val="both"/>
      </w:pPr>
      <w:r>
        <w:t>Мировая валютная система – валютная система, регулирующая применение валют  при межгосударстве</w:t>
      </w:r>
      <w:r w:rsidR="00FF3857">
        <w:t xml:space="preserve">нных и межрегиональных </w:t>
      </w:r>
      <w:r w:rsidR="00FF3857" w:rsidRPr="00FF3857">
        <w:t>расчетах</w:t>
      </w:r>
      <w:r w:rsidR="0068150C" w:rsidRPr="00FF3857">
        <w:t xml:space="preserve"> [</w:t>
      </w:r>
      <w:r w:rsidR="00FF3857" w:rsidRPr="00FF3857">
        <w:t>5. С.248</w:t>
      </w:r>
      <w:r w:rsidR="0068150C" w:rsidRPr="00FF3857">
        <w:t>].</w:t>
      </w:r>
    </w:p>
    <w:p w:rsidR="0068150C" w:rsidRDefault="0068150C" w:rsidP="00FF3857">
      <w:pPr>
        <w:spacing w:line="360" w:lineRule="auto"/>
        <w:ind w:firstLine="720"/>
        <w:jc w:val="both"/>
      </w:pPr>
      <w:r>
        <w:t xml:space="preserve">Мировая </w:t>
      </w:r>
      <w:r w:rsidRPr="0068150C">
        <w:t>валютная система является исторически сложившейся формой</w:t>
      </w:r>
      <w:r>
        <w:t xml:space="preserve"> организации </w:t>
      </w:r>
      <w:r w:rsidRPr="0068150C">
        <w:t>международных денежных отношений, закрепленной</w:t>
      </w:r>
      <w:r>
        <w:t xml:space="preserve"> </w:t>
      </w:r>
      <w:r w:rsidRPr="0068150C">
        <w:t>межгос</w:t>
      </w:r>
      <w:r>
        <w:t xml:space="preserve">ударственными договоренностями. </w:t>
      </w:r>
      <w:r w:rsidRPr="0068150C">
        <w:t>То есть, денежные единицы различных</w:t>
      </w:r>
      <w:r>
        <w:t xml:space="preserve"> </w:t>
      </w:r>
      <w:r w:rsidRPr="0068150C">
        <w:t xml:space="preserve">стран, каждая из </w:t>
      </w:r>
      <w:r>
        <w:t xml:space="preserve">которых имеет свой национальный </w:t>
      </w:r>
      <w:r w:rsidRPr="0068150C">
        <w:t>“мундир”, опосредуют</w:t>
      </w:r>
      <w:r>
        <w:t xml:space="preserve"> </w:t>
      </w:r>
      <w:r w:rsidRPr="0068150C">
        <w:t>процесс международного движения товаров,</w:t>
      </w:r>
      <w:r w:rsidR="00FF3857">
        <w:t xml:space="preserve"> услуг, капитала и рабочей силы</w:t>
      </w:r>
      <w:r>
        <w:t xml:space="preserve"> </w:t>
      </w:r>
      <w:r w:rsidRPr="00FF3857">
        <w:t>[</w:t>
      </w:r>
      <w:r w:rsidR="00FF3857" w:rsidRPr="00FF3857">
        <w:t>2. С.</w:t>
      </w:r>
      <w:r w:rsidRPr="00FF3857">
        <w:t>678</w:t>
      </w:r>
      <w:r w:rsidR="00FF3857" w:rsidRPr="00FF3857">
        <w:t>]</w:t>
      </w:r>
      <w:r w:rsidR="00FF3857">
        <w:t>.</w:t>
      </w:r>
    </w:p>
    <w:p w:rsidR="00BF1822" w:rsidRDefault="00BF1822" w:rsidP="00BF1822">
      <w:pPr>
        <w:spacing w:line="360" w:lineRule="auto"/>
        <w:ind w:firstLine="720"/>
        <w:jc w:val="both"/>
      </w:pPr>
      <w:r>
        <w:t>Из всех определений можно подвести итог и сформулировать общее, более полное определение, что м</w:t>
      </w:r>
      <w:r w:rsidRPr="005679BD">
        <w:t xml:space="preserve">еждународная валютная система представляет собой </w:t>
      </w:r>
      <w:r>
        <w:t xml:space="preserve">своеобразную </w:t>
      </w:r>
      <w:r w:rsidRPr="005679BD">
        <w:t>совокупность</w:t>
      </w:r>
      <w:r>
        <w:t xml:space="preserve"> способов, </w:t>
      </w:r>
      <w:r w:rsidRPr="005679BD">
        <w:t>инструментов и межгосударственных органов, с помощью которых</w:t>
      </w:r>
      <w:r>
        <w:t xml:space="preserve"> осуществляется взаимный </w:t>
      </w:r>
      <w:r w:rsidRPr="005679BD">
        <w:t>платежно-расчетный оборот в рамках мирового</w:t>
      </w:r>
      <w:r>
        <w:t xml:space="preserve"> </w:t>
      </w:r>
      <w:r w:rsidRPr="005679BD">
        <w:t>хозяйства.</w:t>
      </w:r>
      <w:r>
        <w:t xml:space="preserve"> </w:t>
      </w:r>
      <w:r w:rsidRPr="005679BD">
        <w:t>Основными конструктивными</w:t>
      </w:r>
      <w:r>
        <w:t xml:space="preserve"> </w:t>
      </w:r>
      <w:r w:rsidRPr="005679BD">
        <w:t>элементами МВС являются мировой</w:t>
      </w:r>
      <w:r>
        <w:t xml:space="preserve"> денежный товар и международная </w:t>
      </w:r>
      <w:r w:rsidRPr="005679BD">
        <w:t>ликвидность,</w:t>
      </w:r>
      <w:r>
        <w:t xml:space="preserve"> </w:t>
      </w:r>
      <w:r w:rsidRPr="005679BD">
        <w:t>валютный курс, валютные рынки, м</w:t>
      </w:r>
      <w:r>
        <w:t xml:space="preserve">еждународные валютно-финансовые </w:t>
      </w:r>
      <w:r w:rsidRPr="005679BD">
        <w:t>организации</w:t>
      </w:r>
      <w:r>
        <w:t xml:space="preserve"> </w:t>
      </w:r>
      <w:r w:rsidRPr="005679BD">
        <w:t>и межгосударственные договоренности.</w:t>
      </w:r>
    </w:p>
    <w:p w:rsidR="00377838" w:rsidRDefault="0068150C" w:rsidP="00BF1822">
      <w:pPr>
        <w:spacing w:line="360" w:lineRule="auto"/>
        <w:ind w:firstLine="720"/>
        <w:jc w:val="both"/>
      </w:pPr>
      <w:r>
        <w:t xml:space="preserve">В результате длительного исторического развития у мировой валютной системы сложились основные </w:t>
      </w:r>
      <w:r w:rsidR="00BF1822">
        <w:t>элементы</w:t>
      </w:r>
      <w:r w:rsidR="00FF3857">
        <w:t xml:space="preserve"> (табл. 1).</w:t>
      </w:r>
    </w:p>
    <w:p w:rsidR="00BF1822" w:rsidRPr="00BF1822" w:rsidRDefault="00BF1822" w:rsidP="00BF1822">
      <w:pPr>
        <w:spacing w:line="360" w:lineRule="auto"/>
        <w:ind w:firstLine="720"/>
        <w:jc w:val="both"/>
      </w:pPr>
    </w:p>
    <w:p w:rsidR="00FF3857" w:rsidRDefault="00FF3857" w:rsidP="0088050E">
      <w:pPr>
        <w:tabs>
          <w:tab w:val="left" w:pos="7770"/>
        </w:tabs>
        <w:spacing w:line="360" w:lineRule="auto"/>
        <w:ind w:firstLine="720"/>
        <w:jc w:val="both"/>
        <w:rPr>
          <w:b/>
        </w:rPr>
      </w:pPr>
    </w:p>
    <w:p w:rsidR="0088050E" w:rsidRPr="0088050E" w:rsidRDefault="0088050E" w:rsidP="0088050E">
      <w:pPr>
        <w:tabs>
          <w:tab w:val="left" w:pos="7770"/>
        </w:tabs>
        <w:spacing w:line="360" w:lineRule="auto"/>
        <w:ind w:firstLine="720"/>
        <w:jc w:val="both"/>
      </w:pPr>
      <w:r>
        <w:rPr>
          <w:b/>
        </w:rPr>
        <w:tab/>
      </w:r>
      <w:r w:rsidRPr="0088050E">
        <w:t>Таблица 1</w:t>
      </w:r>
    </w:p>
    <w:p w:rsidR="0068150C" w:rsidRDefault="0068150C" w:rsidP="00C21646">
      <w:pPr>
        <w:spacing w:line="360" w:lineRule="auto"/>
        <w:ind w:firstLine="720"/>
        <w:jc w:val="center"/>
        <w:rPr>
          <w:b/>
        </w:rPr>
      </w:pPr>
      <w:r w:rsidRPr="0068150C">
        <w:rPr>
          <w:b/>
        </w:rPr>
        <w:t xml:space="preserve">Основные </w:t>
      </w:r>
      <w:r w:rsidR="00BF1822">
        <w:rPr>
          <w:b/>
        </w:rPr>
        <w:t>элементы</w:t>
      </w:r>
      <w:r w:rsidRPr="0068150C">
        <w:rPr>
          <w:b/>
        </w:rPr>
        <w:t xml:space="preserve"> мировой валютной системы</w:t>
      </w:r>
      <w:r w:rsidR="007C50AE">
        <w:rPr>
          <w:rStyle w:val="a5"/>
          <w:b/>
        </w:rPr>
        <w:footnoteReference w:id="1"/>
      </w:r>
    </w:p>
    <w:p w:rsidR="0068150C" w:rsidRPr="0068150C" w:rsidRDefault="0068150C" w:rsidP="00194F05">
      <w:pPr>
        <w:spacing w:line="360" w:lineRule="auto"/>
        <w:ind w:firstLine="720"/>
        <w:jc w:val="both"/>
        <w:rPr>
          <w:b/>
        </w:rPr>
      </w:pPr>
    </w:p>
    <w:tbl>
      <w:tblPr>
        <w:tblW w:w="9930" w:type="dxa"/>
        <w:tblInd w:w="93" w:type="dxa"/>
        <w:tblLook w:val="0000" w:firstRow="0" w:lastRow="0" w:firstColumn="0" w:lastColumn="0" w:noHBand="0" w:noVBand="0"/>
      </w:tblPr>
      <w:tblGrid>
        <w:gridCol w:w="710"/>
        <w:gridCol w:w="4858"/>
        <w:gridCol w:w="1501"/>
        <w:gridCol w:w="1553"/>
        <w:gridCol w:w="1308"/>
      </w:tblGrid>
      <w:tr w:rsidR="00194F05">
        <w:trPr>
          <w:trHeight w:val="2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F05" w:rsidRPr="0068150C" w:rsidRDefault="00194F05">
            <w:r w:rsidRPr="0068150C">
              <w:t>№ п\п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F05" w:rsidRPr="0068150C" w:rsidRDefault="00194F05">
            <w:r w:rsidRPr="0068150C">
              <w:t xml:space="preserve">Основные </w:t>
            </w:r>
            <w:r w:rsidR="00BF1822">
              <w:t>элементы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F05" w:rsidRPr="0068150C" w:rsidRDefault="00194F05" w:rsidP="00194F05">
            <w:pPr>
              <w:ind w:right="-123"/>
            </w:pPr>
            <w:r w:rsidRPr="0068150C">
              <w:t>Лаврушин О.И.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F05" w:rsidRPr="0068150C" w:rsidRDefault="00194F05">
            <w:r w:rsidRPr="0068150C">
              <w:t>Воеводин Е.Ф.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F05" w:rsidRPr="0068150C" w:rsidRDefault="00194F05" w:rsidP="00194F05">
            <w:pPr>
              <w:ind w:right="-123"/>
            </w:pPr>
            <w:r w:rsidRPr="0068150C">
              <w:t>Базулин Ю.В.</w:t>
            </w:r>
          </w:p>
        </w:tc>
      </w:tr>
      <w:tr w:rsidR="00194F05">
        <w:trPr>
          <w:trHeight w:val="49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F05" w:rsidRPr="0068150C" w:rsidRDefault="00194F05">
            <w:pPr>
              <w:jc w:val="right"/>
            </w:pPr>
            <w:r w:rsidRPr="0068150C">
              <w:t>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05" w:rsidRPr="0068150C" w:rsidRDefault="00194F05">
            <w:r w:rsidRPr="0068150C">
              <w:t>Функциональные формы мировых денег (золото, резервные валюты)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F05" w:rsidRPr="0068150C" w:rsidRDefault="00194F05">
            <w:pPr>
              <w:jc w:val="center"/>
            </w:pPr>
            <w:r w:rsidRPr="0068150C">
              <w:t xml:space="preserve"> +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F05" w:rsidRPr="0068150C" w:rsidRDefault="00194F05">
            <w:pPr>
              <w:jc w:val="center"/>
            </w:pPr>
            <w:r w:rsidRPr="0068150C">
              <w:t xml:space="preserve"> +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F05" w:rsidRPr="0068150C" w:rsidRDefault="00194F05">
            <w:pPr>
              <w:jc w:val="center"/>
            </w:pPr>
            <w:r w:rsidRPr="0068150C">
              <w:t xml:space="preserve"> +</w:t>
            </w:r>
          </w:p>
        </w:tc>
      </w:tr>
      <w:tr w:rsidR="00194F05">
        <w:trPr>
          <w:trHeight w:val="43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F05" w:rsidRPr="0068150C" w:rsidRDefault="00194F05">
            <w:pPr>
              <w:jc w:val="right"/>
            </w:pPr>
            <w:r w:rsidRPr="0068150C">
              <w:t>2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F05" w:rsidRPr="0068150C" w:rsidRDefault="00194F05">
            <w:r w:rsidRPr="0068150C">
              <w:t>Регламентация условий конвертируемости валют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F05" w:rsidRPr="0068150C" w:rsidRDefault="00194F05">
            <w:pPr>
              <w:jc w:val="center"/>
            </w:pPr>
            <w:r w:rsidRPr="0068150C">
              <w:t xml:space="preserve"> +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F05" w:rsidRPr="0068150C" w:rsidRDefault="00194F05">
            <w:pPr>
              <w:jc w:val="center"/>
            </w:pPr>
            <w:r w:rsidRPr="0068150C">
              <w:t xml:space="preserve"> +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F05" w:rsidRPr="0068150C" w:rsidRDefault="00194F05">
            <w:pPr>
              <w:jc w:val="center"/>
            </w:pPr>
            <w:r w:rsidRPr="0068150C">
              <w:t xml:space="preserve"> -</w:t>
            </w:r>
          </w:p>
        </w:tc>
      </w:tr>
      <w:tr w:rsidR="00194F05">
        <w:trPr>
          <w:trHeight w:val="24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F05" w:rsidRPr="0068150C" w:rsidRDefault="00194F05">
            <w:pPr>
              <w:jc w:val="right"/>
            </w:pPr>
            <w:r w:rsidRPr="0068150C">
              <w:t>3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F05" w:rsidRPr="0068150C" w:rsidRDefault="00194F05">
            <w:r w:rsidRPr="0068150C">
              <w:t>Состав и структура международных ликвидных активов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F05" w:rsidRPr="0068150C" w:rsidRDefault="00194F05">
            <w:pPr>
              <w:jc w:val="center"/>
            </w:pPr>
            <w:r w:rsidRPr="0068150C">
              <w:t xml:space="preserve">  +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F05" w:rsidRPr="0068150C" w:rsidRDefault="00194F05">
            <w:pPr>
              <w:jc w:val="center"/>
            </w:pPr>
            <w:r w:rsidRPr="0068150C">
              <w:t xml:space="preserve"> +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F05" w:rsidRPr="0068150C" w:rsidRDefault="00194F05">
            <w:pPr>
              <w:jc w:val="center"/>
            </w:pPr>
            <w:r w:rsidRPr="0068150C">
              <w:t xml:space="preserve"> +</w:t>
            </w:r>
          </w:p>
        </w:tc>
      </w:tr>
      <w:tr w:rsidR="00194F05">
        <w:trPr>
          <w:trHeight w:val="51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F05" w:rsidRPr="0068150C" w:rsidRDefault="00194F05">
            <w:pPr>
              <w:jc w:val="right"/>
            </w:pPr>
            <w:r w:rsidRPr="0068150C">
              <w:t>4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05" w:rsidRPr="0068150C" w:rsidRDefault="00194F05">
            <w:r w:rsidRPr="0068150C">
              <w:t>Унификация режима валютных паритетов и валютных курсов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F05" w:rsidRPr="0068150C" w:rsidRDefault="00194F05">
            <w:pPr>
              <w:jc w:val="center"/>
            </w:pPr>
            <w:r w:rsidRPr="0068150C">
              <w:t xml:space="preserve"> +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F05" w:rsidRPr="0068150C" w:rsidRDefault="00194F05">
            <w:pPr>
              <w:jc w:val="center"/>
            </w:pPr>
            <w:r w:rsidRPr="0068150C">
              <w:t xml:space="preserve"> +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F05" w:rsidRPr="0068150C" w:rsidRDefault="00194F05">
            <w:pPr>
              <w:jc w:val="center"/>
            </w:pPr>
            <w:r w:rsidRPr="0068150C">
              <w:t xml:space="preserve"> -</w:t>
            </w:r>
          </w:p>
        </w:tc>
      </w:tr>
      <w:tr w:rsidR="00194F05">
        <w:trPr>
          <w:trHeight w:val="3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F05" w:rsidRPr="0068150C" w:rsidRDefault="00194F05">
            <w:pPr>
              <w:jc w:val="right"/>
            </w:pPr>
            <w:r w:rsidRPr="0068150C">
              <w:t>5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F05" w:rsidRPr="0068150C" w:rsidRDefault="00194F05">
            <w:r w:rsidRPr="0068150C">
              <w:t>Регламентация объема валютных ограничений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F05" w:rsidRPr="0068150C" w:rsidRDefault="00194F05">
            <w:pPr>
              <w:jc w:val="center"/>
            </w:pPr>
            <w:r w:rsidRPr="0068150C">
              <w:t xml:space="preserve"> +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F05" w:rsidRPr="0068150C" w:rsidRDefault="00194F05">
            <w:pPr>
              <w:jc w:val="center"/>
            </w:pPr>
            <w:r w:rsidRPr="0068150C">
              <w:t xml:space="preserve"> 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F05" w:rsidRPr="0068150C" w:rsidRDefault="00194F05">
            <w:pPr>
              <w:jc w:val="center"/>
            </w:pPr>
            <w:r w:rsidRPr="0068150C">
              <w:t xml:space="preserve"> +</w:t>
            </w:r>
          </w:p>
        </w:tc>
      </w:tr>
      <w:tr w:rsidR="00194F05">
        <w:trPr>
          <w:trHeight w:val="5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F05" w:rsidRPr="0068150C" w:rsidRDefault="00194F05">
            <w:pPr>
              <w:jc w:val="right"/>
            </w:pPr>
            <w:r w:rsidRPr="0068150C">
              <w:t>6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05" w:rsidRPr="0068150C" w:rsidRDefault="00194F05">
            <w:r w:rsidRPr="0068150C">
              <w:t>Режим международных валютных рынков и мировых рынков золота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F05" w:rsidRPr="0068150C" w:rsidRDefault="00194F05">
            <w:pPr>
              <w:jc w:val="center"/>
            </w:pPr>
            <w:r w:rsidRPr="0068150C">
              <w:t xml:space="preserve"> +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F05" w:rsidRPr="0068150C" w:rsidRDefault="00194F05">
            <w:pPr>
              <w:jc w:val="center"/>
            </w:pPr>
            <w:r w:rsidRPr="0068150C">
              <w:t xml:space="preserve"> +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F05" w:rsidRPr="0068150C" w:rsidRDefault="00194F05">
            <w:pPr>
              <w:jc w:val="center"/>
            </w:pPr>
            <w:r w:rsidRPr="0068150C">
              <w:t xml:space="preserve"> +</w:t>
            </w:r>
          </w:p>
        </w:tc>
      </w:tr>
      <w:tr w:rsidR="00194F05">
        <w:trPr>
          <w:trHeight w:val="7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F05" w:rsidRPr="0068150C" w:rsidRDefault="00194F05">
            <w:pPr>
              <w:jc w:val="right"/>
            </w:pPr>
            <w:r w:rsidRPr="0068150C">
              <w:t>7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05" w:rsidRPr="0068150C" w:rsidRDefault="00194F05">
            <w:r w:rsidRPr="0068150C">
              <w:t>Унификация правил использования международных кредитных средств обращения и форм международных расчетов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F05" w:rsidRPr="0068150C" w:rsidRDefault="00194F05">
            <w:pPr>
              <w:jc w:val="center"/>
            </w:pPr>
            <w:r w:rsidRPr="0068150C">
              <w:t xml:space="preserve"> +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F05" w:rsidRPr="0068150C" w:rsidRDefault="00194F05">
            <w:pPr>
              <w:jc w:val="center"/>
            </w:pPr>
            <w:r w:rsidRPr="0068150C">
              <w:t xml:space="preserve"> 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F05" w:rsidRPr="0068150C" w:rsidRDefault="00194F05">
            <w:pPr>
              <w:jc w:val="center"/>
            </w:pPr>
            <w:r w:rsidRPr="0068150C">
              <w:t xml:space="preserve"> +</w:t>
            </w:r>
          </w:p>
        </w:tc>
      </w:tr>
      <w:tr w:rsidR="00194F05">
        <w:trPr>
          <w:trHeight w:val="49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F05" w:rsidRPr="0068150C" w:rsidRDefault="00194F05">
            <w:pPr>
              <w:jc w:val="right"/>
            </w:pPr>
            <w:r w:rsidRPr="0068150C">
              <w:t>8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05" w:rsidRPr="0068150C" w:rsidRDefault="00194F05">
            <w:r w:rsidRPr="0068150C">
              <w:t>Межгосударственные организации, регулирующие валютно-финансовые отношения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F05" w:rsidRPr="0068150C" w:rsidRDefault="00194F05">
            <w:pPr>
              <w:jc w:val="center"/>
            </w:pPr>
            <w:r w:rsidRPr="0068150C">
              <w:t xml:space="preserve"> +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F05" w:rsidRPr="0068150C" w:rsidRDefault="00194F05">
            <w:pPr>
              <w:jc w:val="center"/>
            </w:pPr>
            <w:r w:rsidRPr="0068150C">
              <w:t xml:space="preserve"> +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F05" w:rsidRPr="0068150C" w:rsidRDefault="00194F05">
            <w:pPr>
              <w:jc w:val="center"/>
            </w:pPr>
            <w:r w:rsidRPr="0068150C">
              <w:t xml:space="preserve"> +</w:t>
            </w:r>
          </w:p>
        </w:tc>
      </w:tr>
      <w:tr w:rsidR="00194F05">
        <w:trPr>
          <w:trHeight w:val="49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F05" w:rsidRPr="0068150C" w:rsidRDefault="00194F05">
            <w:pPr>
              <w:jc w:val="right"/>
            </w:pPr>
            <w:r w:rsidRPr="0068150C">
              <w:t>9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05" w:rsidRPr="0068150C" w:rsidRDefault="00194F05">
            <w:r w:rsidRPr="0068150C">
              <w:t>Национальные и коллективные резервные валютные единицы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F05" w:rsidRPr="0068150C" w:rsidRDefault="00194F05">
            <w:pPr>
              <w:jc w:val="center"/>
            </w:pPr>
            <w:r w:rsidRPr="0068150C">
              <w:t xml:space="preserve"> -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F05" w:rsidRPr="0068150C" w:rsidRDefault="00194F05">
            <w:pPr>
              <w:jc w:val="center"/>
            </w:pPr>
            <w:r w:rsidRPr="0068150C">
              <w:t xml:space="preserve"> +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F05" w:rsidRPr="0068150C" w:rsidRDefault="00194F05">
            <w:pPr>
              <w:jc w:val="center"/>
            </w:pPr>
            <w:r w:rsidRPr="0068150C">
              <w:t xml:space="preserve"> -</w:t>
            </w:r>
          </w:p>
        </w:tc>
      </w:tr>
    </w:tbl>
    <w:p w:rsidR="00FA4A6D" w:rsidRDefault="00FA4A6D" w:rsidP="00135BA1">
      <w:pPr>
        <w:spacing w:line="360" w:lineRule="auto"/>
        <w:ind w:firstLine="720"/>
        <w:jc w:val="both"/>
      </w:pPr>
    </w:p>
    <w:p w:rsidR="00BF1822" w:rsidRDefault="00237989" w:rsidP="00135BA1">
      <w:pPr>
        <w:spacing w:line="360" w:lineRule="auto"/>
        <w:ind w:firstLine="720"/>
        <w:jc w:val="both"/>
      </w:pPr>
      <w:r>
        <w:t xml:space="preserve">Наиболее полное содержание элементов мировой валютной системы выделяет </w:t>
      </w:r>
      <w:r w:rsidR="00CE6308">
        <w:t xml:space="preserve">заслуженный деятель науки РФ, </w:t>
      </w:r>
      <w:r>
        <w:t>доктор экономических наук, профессор О.И. Лаврушин:</w:t>
      </w:r>
    </w:p>
    <w:p w:rsidR="00237989" w:rsidRDefault="00237989" w:rsidP="00237989">
      <w:pPr>
        <w:numPr>
          <w:ilvl w:val="0"/>
          <w:numId w:val="24"/>
        </w:numPr>
        <w:spacing w:line="360" w:lineRule="auto"/>
        <w:jc w:val="both"/>
      </w:pPr>
      <w:r>
        <w:t>как уже было отмечено, функциональные формы мировых денег. Это золото, резервные валюты, международные валютные единицы;</w:t>
      </w:r>
    </w:p>
    <w:p w:rsidR="00237989" w:rsidRDefault="00237989" w:rsidP="00237989">
      <w:pPr>
        <w:numPr>
          <w:ilvl w:val="0"/>
          <w:numId w:val="24"/>
        </w:numPr>
        <w:spacing w:line="360" w:lineRule="auto"/>
        <w:jc w:val="both"/>
      </w:pPr>
      <w:r>
        <w:t>регламентация условий конвертируемости валют;</w:t>
      </w:r>
    </w:p>
    <w:p w:rsidR="00237989" w:rsidRDefault="00237989" w:rsidP="00237989">
      <w:pPr>
        <w:numPr>
          <w:ilvl w:val="0"/>
          <w:numId w:val="24"/>
        </w:numPr>
        <w:spacing w:line="360" w:lineRule="auto"/>
        <w:jc w:val="both"/>
      </w:pPr>
      <w:r>
        <w:t>унификация режима валютных паритетов и валютных курсов;</w:t>
      </w:r>
    </w:p>
    <w:p w:rsidR="00237989" w:rsidRDefault="00237989" w:rsidP="00237989">
      <w:pPr>
        <w:numPr>
          <w:ilvl w:val="0"/>
          <w:numId w:val="24"/>
        </w:numPr>
        <w:spacing w:line="360" w:lineRule="auto"/>
        <w:jc w:val="both"/>
      </w:pPr>
      <w:r>
        <w:t>регламентация объемов валютных ограничений (требование МВФ к странам-членам отменить ограничения по операциям с валютными ценностями в определенный период);</w:t>
      </w:r>
    </w:p>
    <w:p w:rsidR="00237989" w:rsidRDefault="00237989" w:rsidP="00237989">
      <w:pPr>
        <w:numPr>
          <w:ilvl w:val="0"/>
          <w:numId w:val="24"/>
        </w:numPr>
        <w:spacing w:line="360" w:lineRule="auto"/>
        <w:jc w:val="both"/>
      </w:pPr>
      <w:r>
        <w:t xml:space="preserve">регламентация состава компонентов международной валютной ликвидности( например, с </w:t>
      </w:r>
      <w:smartTag w:uri="urn:schemas-microsoft-com:office:smarttags" w:element="metricconverter">
        <w:smartTagPr>
          <w:attr w:name="ProductID" w:val="1970 г"/>
        </w:smartTagPr>
        <w:r>
          <w:t>1970 г</w:t>
        </w:r>
      </w:smartTag>
      <w:r>
        <w:t xml:space="preserve">. МВФ ввел в оборот новую международную валютную единицу – СДР, с </w:t>
      </w:r>
      <w:smartTag w:uri="urn:schemas-microsoft-com:office:smarttags" w:element="metricconverter">
        <w:smartTagPr>
          <w:attr w:name="ProductID" w:val="1979 г"/>
        </w:smartTagPr>
        <w:r>
          <w:t>1979 г</w:t>
        </w:r>
      </w:smartTag>
      <w:r>
        <w:t>. Европейский фонд валютного сотрудничества</w:t>
      </w:r>
      <w:r w:rsidR="005745D1">
        <w:t xml:space="preserve"> – европейскую валютную единицу – ЭКЮ), которая с января </w:t>
      </w:r>
      <w:smartTag w:uri="urn:schemas-microsoft-com:office:smarttags" w:element="metricconverter">
        <w:smartTagPr>
          <w:attr w:name="ProductID" w:val="1999 г"/>
        </w:smartTagPr>
        <w:r w:rsidR="005745D1">
          <w:t>1999 г</w:t>
        </w:r>
      </w:smartTag>
      <w:r w:rsidR="005745D1">
        <w:t>. постепенно заменяется единой коллективной валютой – евро;</w:t>
      </w:r>
    </w:p>
    <w:p w:rsidR="005745D1" w:rsidRDefault="005745D1" w:rsidP="00237989">
      <w:pPr>
        <w:numPr>
          <w:ilvl w:val="0"/>
          <w:numId w:val="24"/>
        </w:numPr>
        <w:spacing w:line="360" w:lineRule="auto"/>
        <w:jc w:val="both"/>
      </w:pPr>
      <w:r>
        <w:t>унификация правил  использования международных кредитных средств обращения (векселей, чеков и другое) и форм международных расчетов;</w:t>
      </w:r>
    </w:p>
    <w:p w:rsidR="005745D1" w:rsidRDefault="005745D1" w:rsidP="00237989">
      <w:pPr>
        <w:numPr>
          <w:ilvl w:val="0"/>
          <w:numId w:val="24"/>
        </w:numPr>
        <w:spacing w:line="360" w:lineRule="auto"/>
        <w:jc w:val="both"/>
      </w:pPr>
      <w:r>
        <w:t>режимы мировых валютных рынков и рынков золота;</w:t>
      </w:r>
    </w:p>
    <w:p w:rsidR="005745D1" w:rsidRDefault="005745D1" w:rsidP="00237989">
      <w:pPr>
        <w:numPr>
          <w:ilvl w:val="0"/>
          <w:numId w:val="24"/>
        </w:numPr>
        <w:spacing w:line="360" w:lineRule="auto"/>
        <w:jc w:val="both"/>
      </w:pPr>
      <w:r>
        <w:t xml:space="preserve">статус института межгосударственного регулирования с </w:t>
      </w:r>
      <w:smartTag w:uri="urn:schemas-microsoft-com:office:smarttags" w:element="metricconverter">
        <w:smartTagPr>
          <w:attr w:name="ProductID" w:val="1944 г"/>
        </w:smartTagPr>
        <w:r>
          <w:t>1944 г</w:t>
        </w:r>
      </w:smartTag>
      <w:r>
        <w:t xml:space="preserve">. – Международного валютного фонда </w:t>
      </w:r>
      <w:r w:rsidRPr="003C077C">
        <w:t>[1</w:t>
      </w:r>
      <w:r>
        <w:t>1</w:t>
      </w:r>
      <w:r w:rsidRPr="003C077C">
        <w:t>. С.</w:t>
      </w:r>
      <w:r>
        <w:t>256</w:t>
      </w:r>
      <w:r w:rsidRPr="003C077C">
        <w:t>].</w:t>
      </w:r>
    </w:p>
    <w:p w:rsidR="004026DD" w:rsidRDefault="004026DD" w:rsidP="00135BA1">
      <w:pPr>
        <w:spacing w:line="360" w:lineRule="auto"/>
        <w:ind w:firstLine="720"/>
        <w:jc w:val="both"/>
      </w:pPr>
      <w:r>
        <w:t>Таким образом, особенности и стабильность мировой валютной системы зависят от степени соответствия принципов построения ее структуры принципам построения структуры мирового хозяйства, расстановке сил на мировой арене и интересам ведущих стран. А при несоответствии этих принципов периодически возникает кризис мировой валютной системы, завершающийся ее развалом и созданием новой валютной системы.</w:t>
      </w:r>
    </w:p>
    <w:p w:rsidR="00FA4A6D" w:rsidRDefault="00FA4A6D" w:rsidP="00135BA1">
      <w:pPr>
        <w:spacing w:line="360" w:lineRule="auto"/>
        <w:ind w:firstLine="720"/>
        <w:jc w:val="both"/>
      </w:pPr>
    </w:p>
    <w:p w:rsidR="00FA4A6D" w:rsidRPr="00FA4A6D" w:rsidRDefault="00FA4A6D" w:rsidP="00135BA1">
      <w:pPr>
        <w:spacing w:line="360" w:lineRule="auto"/>
        <w:ind w:firstLine="720"/>
        <w:jc w:val="both"/>
      </w:pPr>
    </w:p>
    <w:p w:rsidR="00544EC5" w:rsidRDefault="00544EC5" w:rsidP="00544EC5">
      <w:pPr>
        <w:spacing w:line="360" w:lineRule="auto"/>
        <w:ind w:firstLine="720"/>
        <w:jc w:val="both"/>
      </w:pPr>
    </w:p>
    <w:p w:rsidR="00B6093B" w:rsidRDefault="00B6093B" w:rsidP="002A72A4">
      <w:pPr>
        <w:spacing w:line="360" w:lineRule="auto"/>
        <w:jc w:val="both"/>
      </w:pPr>
    </w:p>
    <w:p w:rsidR="00194F05" w:rsidRDefault="00194F05" w:rsidP="002A72A4">
      <w:pPr>
        <w:spacing w:line="360" w:lineRule="auto"/>
        <w:jc w:val="both"/>
      </w:pPr>
    </w:p>
    <w:p w:rsidR="0068150C" w:rsidRDefault="0068150C" w:rsidP="002A72A4">
      <w:pPr>
        <w:spacing w:line="360" w:lineRule="auto"/>
        <w:jc w:val="both"/>
      </w:pPr>
    </w:p>
    <w:p w:rsidR="00E818F4" w:rsidRDefault="00E818F4" w:rsidP="002A72A4">
      <w:pPr>
        <w:spacing w:line="360" w:lineRule="auto"/>
        <w:jc w:val="both"/>
      </w:pPr>
    </w:p>
    <w:p w:rsidR="00377838" w:rsidRDefault="00377838" w:rsidP="002A72A4">
      <w:pPr>
        <w:spacing w:line="360" w:lineRule="auto"/>
        <w:jc w:val="both"/>
      </w:pPr>
    </w:p>
    <w:p w:rsidR="00CE6308" w:rsidRDefault="00CE6308" w:rsidP="002A72A4">
      <w:pPr>
        <w:spacing w:line="360" w:lineRule="auto"/>
        <w:jc w:val="both"/>
      </w:pPr>
    </w:p>
    <w:p w:rsidR="00CE6308" w:rsidRDefault="00CE6308" w:rsidP="002A72A4">
      <w:pPr>
        <w:spacing w:line="360" w:lineRule="auto"/>
        <w:jc w:val="both"/>
      </w:pPr>
    </w:p>
    <w:p w:rsidR="00CE6308" w:rsidRDefault="00CE6308" w:rsidP="002A72A4">
      <w:pPr>
        <w:spacing w:line="360" w:lineRule="auto"/>
        <w:jc w:val="both"/>
      </w:pPr>
    </w:p>
    <w:p w:rsidR="00CE6308" w:rsidRDefault="00CE6308" w:rsidP="002A72A4">
      <w:pPr>
        <w:spacing w:line="360" w:lineRule="auto"/>
        <w:jc w:val="both"/>
      </w:pPr>
    </w:p>
    <w:p w:rsidR="00CE6308" w:rsidRDefault="00CE6308" w:rsidP="002A72A4">
      <w:pPr>
        <w:spacing w:line="360" w:lineRule="auto"/>
        <w:jc w:val="both"/>
      </w:pPr>
    </w:p>
    <w:p w:rsidR="00CE6308" w:rsidRDefault="00CE6308" w:rsidP="002A72A4">
      <w:pPr>
        <w:spacing w:line="360" w:lineRule="auto"/>
        <w:jc w:val="both"/>
      </w:pPr>
    </w:p>
    <w:p w:rsidR="00CE6308" w:rsidRDefault="00CE6308" w:rsidP="002A72A4">
      <w:pPr>
        <w:spacing w:line="360" w:lineRule="auto"/>
        <w:jc w:val="both"/>
      </w:pPr>
    </w:p>
    <w:p w:rsidR="00CE6308" w:rsidRDefault="00CE6308" w:rsidP="002A72A4">
      <w:pPr>
        <w:spacing w:line="360" w:lineRule="auto"/>
        <w:jc w:val="both"/>
      </w:pPr>
    </w:p>
    <w:p w:rsidR="00CE6308" w:rsidRDefault="00CE6308" w:rsidP="002A72A4">
      <w:pPr>
        <w:spacing w:line="360" w:lineRule="auto"/>
        <w:jc w:val="both"/>
      </w:pPr>
    </w:p>
    <w:p w:rsidR="00CE6308" w:rsidRDefault="00CE6308" w:rsidP="002A72A4">
      <w:pPr>
        <w:spacing w:line="360" w:lineRule="auto"/>
        <w:jc w:val="both"/>
      </w:pPr>
    </w:p>
    <w:p w:rsidR="00CE6308" w:rsidRDefault="00CE6308" w:rsidP="002A72A4">
      <w:pPr>
        <w:spacing w:line="360" w:lineRule="auto"/>
        <w:jc w:val="both"/>
      </w:pPr>
    </w:p>
    <w:p w:rsidR="00CE6308" w:rsidRDefault="00CE6308" w:rsidP="002A72A4">
      <w:pPr>
        <w:spacing w:line="360" w:lineRule="auto"/>
        <w:jc w:val="both"/>
      </w:pPr>
    </w:p>
    <w:p w:rsidR="00CE6308" w:rsidRDefault="00CE6308" w:rsidP="002A72A4">
      <w:pPr>
        <w:spacing w:line="360" w:lineRule="auto"/>
        <w:jc w:val="both"/>
      </w:pPr>
    </w:p>
    <w:p w:rsidR="00CE6308" w:rsidRDefault="00CE6308" w:rsidP="002A72A4">
      <w:pPr>
        <w:spacing w:line="360" w:lineRule="auto"/>
        <w:jc w:val="both"/>
      </w:pPr>
    </w:p>
    <w:p w:rsidR="00CE6308" w:rsidRDefault="00CE6308" w:rsidP="002A72A4">
      <w:pPr>
        <w:spacing w:line="360" w:lineRule="auto"/>
        <w:jc w:val="both"/>
      </w:pPr>
    </w:p>
    <w:p w:rsidR="00194F05" w:rsidRDefault="00194F05" w:rsidP="002A72A4">
      <w:pPr>
        <w:spacing w:line="360" w:lineRule="auto"/>
        <w:jc w:val="both"/>
      </w:pPr>
    </w:p>
    <w:p w:rsidR="00B6093B" w:rsidRPr="006E53C0" w:rsidRDefault="004026DD" w:rsidP="006E53C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E53C0">
        <w:rPr>
          <w:rFonts w:ascii="Arial" w:hAnsi="Arial" w:cs="Arial"/>
          <w:b/>
          <w:bCs/>
          <w:sz w:val="28"/>
          <w:szCs w:val="28"/>
        </w:rPr>
        <w:t xml:space="preserve">2. </w:t>
      </w:r>
      <w:r w:rsidR="006E53C0" w:rsidRPr="006E53C0">
        <w:rPr>
          <w:rFonts w:ascii="Arial" w:hAnsi="Arial" w:cs="Arial"/>
          <w:b/>
          <w:bCs/>
          <w:sz w:val="28"/>
          <w:szCs w:val="28"/>
        </w:rPr>
        <w:t xml:space="preserve">Эволюция мировой валютной системы. Предпосылки создания Ямайской валютной системы </w:t>
      </w:r>
    </w:p>
    <w:p w:rsidR="00B6093B" w:rsidRPr="006E53C0" w:rsidRDefault="00B6093B" w:rsidP="002A72A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6093B" w:rsidRDefault="006E53C0" w:rsidP="006E53C0">
      <w:pPr>
        <w:spacing w:line="360" w:lineRule="auto"/>
        <w:ind w:firstLine="720"/>
        <w:jc w:val="both"/>
      </w:pPr>
      <w:r>
        <w:t>Каждый новый период эволюции МВС связан с определенными согласованными на международном уровне принципами валютно-финансовой политики. В развитии Международной валютной системы можно выделить следующие этапы:</w:t>
      </w:r>
    </w:p>
    <w:p w:rsidR="006E53C0" w:rsidRDefault="006E53C0" w:rsidP="006E53C0">
      <w:pPr>
        <w:numPr>
          <w:ilvl w:val="0"/>
          <w:numId w:val="20"/>
        </w:numPr>
        <w:spacing w:line="360" w:lineRule="auto"/>
        <w:jc w:val="both"/>
      </w:pPr>
      <w:r>
        <w:t>Система золотого стандарта с ее разновидностями (1867 – конец 1930-х гг.): Парижская валютная система (1867 – 1900); золотослитковый стандарт (1900 – 1914); Генуэзская валютная система (1922 – конец 1930-х гг.);</w:t>
      </w:r>
    </w:p>
    <w:p w:rsidR="006E53C0" w:rsidRDefault="006E53C0" w:rsidP="006E53C0">
      <w:pPr>
        <w:numPr>
          <w:ilvl w:val="0"/>
          <w:numId w:val="20"/>
        </w:numPr>
        <w:spacing w:line="360" w:lineRule="auto"/>
        <w:jc w:val="both"/>
      </w:pPr>
      <w:r>
        <w:t>Система фиксированных паритетов (Бреттонвудсская система</w:t>
      </w:r>
      <w:r w:rsidR="008637C2">
        <w:t>);</w:t>
      </w:r>
    </w:p>
    <w:p w:rsidR="0088050E" w:rsidRPr="003C077C" w:rsidRDefault="008637C2" w:rsidP="0088050E">
      <w:pPr>
        <w:numPr>
          <w:ilvl w:val="0"/>
          <w:numId w:val="20"/>
        </w:numPr>
        <w:spacing w:line="360" w:lineRule="auto"/>
        <w:jc w:val="both"/>
      </w:pPr>
      <w:r>
        <w:t>Современная Международная валю</w:t>
      </w:r>
      <w:r w:rsidR="007F4A0E">
        <w:t xml:space="preserve">тная система (Ямайская система) </w:t>
      </w:r>
      <w:r w:rsidR="007F4A0E" w:rsidRPr="003C077C">
        <w:t>[</w:t>
      </w:r>
      <w:r w:rsidR="003C077C" w:rsidRPr="003C077C">
        <w:t>1. С.</w:t>
      </w:r>
      <w:r w:rsidRPr="003C077C">
        <w:t>377]</w:t>
      </w:r>
      <w:r w:rsidR="007F4A0E" w:rsidRPr="003C077C">
        <w:t>.</w:t>
      </w:r>
    </w:p>
    <w:p w:rsidR="0088050E" w:rsidRDefault="0088050E" w:rsidP="0088050E">
      <w:pPr>
        <w:spacing w:line="360" w:lineRule="auto"/>
        <w:ind w:left="720"/>
        <w:jc w:val="both"/>
      </w:pPr>
    </w:p>
    <w:p w:rsidR="0037488B" w:rsidRDefault="0088050E" w:rsidP="0088050E">
      <w:pPr>
        <w:tabs>
          <w:tab w:val="left" w:pos="8490"/>
        </w:tabs>
        <w:spacing w:line="360" w:lineRule="auto"/>
        <w:jc w:val="both"/>
      </w:pPr>
      <w:r>
        <w:tab/>
        <w:t>Таблица 2</w:t>
      </w:r>
    </w:p>
    <w:p w:rsidR="0063259F" w:rsidRDefault="0063259F" w:rsidP="0063259F">
      <w:pPr>
        <w:spacing w:line="360" w:lineRule="auto"/>
        <w:jc w:val="center"/>
      </w:pPr>
      <w:r w:rsidRPr="0063259F">
        <w:rPr>
          <w:b/>
        </w:rPr>
        <w:t>Эволюция мировой валютной системы</w:t>
      </w:r>
      <w:r>
        <w:rPr>
          <w:b/>
        </w:rPr>
        <w:t xml:space="preserve"> </w:t>
      </w:r>
      <w:r w:rsidRPr="003C077C">
        <w:t>[</w:t>
      </w:r>
      <w:r w:rsidR="003C077C">
        <w:t>8</w:t>
      </w:r>
      <w:r w:rsidR="003C077C" w:rsidRPr="003C077C">
        <w:t>. С.</w:t>
      </w:r>
      <w:r w:rsidRPr="003C077C">
        <w:t>63]</w:t>
      </w:r>
    </w:p>
    <w:p w:rsidR="0037488B" w:rsidRPr="0063259F" w:rsidRDefault="0037488B" w:rsidP="0063259F">
      <w:pPr>
        <w:spacing w:line="360" w:lineRule="auto"/>
        <w:ind w:firstLine="720"/>
        <w:jc w:val="center"/>
        <w:rPr>
          <w:b/>
        </w:rPr>
      </w:pPr>
    </w:p>
    <w:tbl>
      <w:tblPr>
        <w:tblW w:w="10220" w:type="dxa"/>
        <w:tblInd w:w="93" w:type="dxa"/>
        <w:tblLook w:val="0000" w:firstRow="0" w:lastRow="0" w:firstColumn="0" w:lastColumn="0" w:noHBand="0" w:noVBand="0"/>
      </w:tblPr>
      <w:tblGrid>
        <w:gridCol w:w="1720"/>
        <w:gridCol w:w="1900"/>
        <w:gridCol w:w="2160"/>
        <w:gridCol w:w="2087"/>
        <w:gridCol w:w="2353"/>
      </w:tblGrid>
      <w:tr w:rsidR="001F7B95">
        <w:trPr>
          <w:trHeight w:val="138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B95" w:rsidRDefault="001F7B9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Критерии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1F7B95" w:rsidRDefault="001F7B9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Парижская валютная система с </w:t>
            </w:r>
            <w:smartTag w:uri="urn:schemas-microsoft-com:office:smarttags" w:element="metricconverter">
              <w:smartTagPr>
                <w:attr w:name="ProductID" w:val="1867 г"/>
              </w:smartTagPr>
              <w:r>
                <w:rPr>
                  <w:rFonts w:ascii="Arial" w:hAnsi="Arial"/>
                  <w:sz w:val="20"/>
                  <w:szCs w:val="20"/>
                </w:rPr>
                <w:t>1867 г</w:t>
              </w:r>
            </w:smartTag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1F7B95" w:rsidRDefault="001F7B9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Генуэзская валютная система с </w:t>
            </w:r>
            <w:smartTag w:uri="urn:schemas-microsoft-com:office:smarttags" w:element="metricconverter">
              <w:smartTagPr>
                <w:attr w:name="ProductID" w:val="1922 г"/>
              </w:smartTagPr>
              <w:r>
                <w:rPr>
                  <w:rFonts w:ascii="Arial" w:hAnsi="Arial"/>
                  <w:sz w:val="20"/>
                  <w:szCs w:val="20"/>
                </w:rPr>
                <w:t>1922 г</w:t>
              </w:r>
            </w:smartTag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1F7B95" w:rsidRDefault="001F7B9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Бреттонвудсская валютная система с </w:t>
            </w:r>
            <w:smartTag w:uri="urn:schemas-microsoft-com:office:smarttags" w:element="metricconverter">
              <w:smartTagPr>
                <w:attr w:name="ProductID" w:val="1944 г"/>
              </w:smartTagPr>
              <w:r>
                <w:rPr>
                  <w:rFonts w:ascii="Arial" w:hAnsi="Arial"/>
                  <w:sz w:val="20"/>
                  <w:szCs w:val="20"/>
                </w:rPr>
                <w:t>1944 г</w:t>
              </w:r>
            </w:smartTag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1F7B95" w:rsidRDefault="001F7B9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Ямайская валютная система с </w:t>
            </w:r>
            <w:smartTag w:uri="urn:schemas-microsoft-com:office:smarttags" w:element="metricconverter">
              <w:smartTagPr>
                <w:attr w:name="ProductID" w:val="1976 г"/>
              </w:smartTagPr>
              <w:r>
                <w:rPr>
                  <w:rFonts w:ascii="Arial" w:hAnsi="Arial"/>
                  <w:sz w:val="20"/>
                  <w:szCs w:val="20"/>
                </w:rPr>
                <w:t>1976 г</w:t>
              </w:r>
            </w:smartTag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1F7B95">
        <w:trPr>
          <w:trHeight w:val="8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B95" w:rsidRDefault="001F7B95" w:rsidP="0063259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1. База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B95" w:rsidRDefault="001F7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Золотомонетный стандарт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B95" w:rsidRDefault="001F7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Золотодевизный стандарт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B95" w:rsidRDefault="001F7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Золотодевизный стандарт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B95" w:rsidRDefault="001F7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Стандарт СДР</w:t>
            </w:r>
          </w:p>
        </w:tc>
      </w:tr>
      <w:tr w:rsidR="001F7B95">
        <w:trPr>
          <w:trHeight w:val="1485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B95" w:rsidRDefault="001F7B9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 Использо</w:t>
            </w:r>
            <w:r w:rsidR="0063259F">
              <w:rPr>
                <w:sz w:val="20"/>
                <w:szCs w:val="20"/>
              </w:rPr>
              <w:t>-</w:t>
            </w:r>
            <w:r>
              <w:rPr>
                <w:rFonts w:ascii="Arial" w:hAnsi="Arial"/>
                <w:sz w:val="20"/>
                <w:szCs w:val="20"/>
              </w:rPr>
              <w:t>вание золота как мировых денег</w:t>
            </w:r>
          </w:p>
        </w:tc>
        <w:tc>
          <w:tcPr>
            <w:tcW w:w="6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7B95" w:rsidRDefault="001F7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Золотые паритеты. Золото как резервно-платежное средство. Конвертируемость валют в золото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B95" w:rsidRDefault="001F7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Официальная </w:t>
            </w:r>
            <w:r w:rsidR="007F4A0E">
              <w:rPr>
                <w:sz w:val="20"/>
                <w:szCs w:val="20"/>
              </w:rPr>
              <w:t>демонетизация</w:t>
            </w:r>
            <w:r>
              <w:rPr>
                <w:sz w:val="20"/>
                <w:szCs w:val="20"/>
              </w:rPr>
              <w:t xml:space="preserve"> золота</w:t>
            </w:r>
          </w:p>
        </w:tc>
      </w:tr>
      <w:tr w:rsidR="001F7B95">
        <w:trPr>
          <w:trHeight w:val="613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95" w:rsidRDefault="001F7B9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7B95" w:rsidRDefault="001F7B9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B95" w:rsidRDefault="001F7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Конвертируемость доллара США в золото по официальной цене</w:t>
            </w: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95" w:rsidRDefault="001F7B95">
            <w:pPr>
              <w:rPr>
                <w:sz w:val="20"/>
                <w:szCs w:val="20"/>
              </w:rPr>
            </w:pPr>
          </w:p>
        </w:tc>
      </w:tr>
      <w:tr w:rsidR="001F7B95">
        <w:trPr>
          <w:trHeight w:val="12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B95" w:rsidRDefault="001F7B9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 Режим валютного курса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B95" w:rsidRDefault="001F7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Свободно колеблющиеся курсы в пределах золотых точек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B95" w:rsidRDefault="001F7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Свободно колеблющиеся курсы без золотых точек (с 1930-х гг.)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B95" w:rsidRDefault="001F7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Фиксированные патенты и курсы (+/- 0,75; +/- 1%)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B95" w:rsidRDefault="001F7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Свободный выбор режима валютного курса</w:t>
            </w:r>
          </w:p>
        </w:tc>
      </w:tr>
      <w:tr w:rsidR="001F7B95">
        <w:trPr>
          <w:trHeight w:val="11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B95" w:rsidRDefault="001F7B9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4. Институцио-нальная структура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B95" w:rsidRDefault="001F7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Конференция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B95" w:rsidRDefault="001F7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Конференция, совещания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B95" w:rsidRDefault="001F7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МВФ- орган межгосударственного валютного регулирования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B95" w:rsidRDefault="001F7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МВФ; совещания "в верхах"</w:t>
            </w:r>
          </w:p>
        </w:tc>
      </w:tr>
    </w:tbl>
    <w:p w:rsidR="00377838" w:rsidRDefault="00377838" w:rsidP="003C077C">
      <w:pPr>
        <w:spacing w:line="360" w:lineRule="auto"/>
        <w:ind w:firstLine="720"/>
        <w:jc w:val="both"/>
      </w:pPr>
    </w:p>
    <w:p w:rsidR="00377838" w:rsidRDefault="00377838" w:rsidP="003C077C">
      <w:pPr>
        <w:spacing w:line="360" w:lineRule="auto"/>
        <w:ind w:firstLine="720"/>
        <w:jc w:val="both"/>
      </w:pPr>
    </w:p>
    <w:p w:rsidR="0037488B" w:rsidRDefault="0063259F" w:rsidP="003C077C">
      <w:pPr>
        <w:spacing w:line="360" w:lineRule="auto"/>
        <w:ind w:firstLine="720"/>
        <w:jc w:val="both"/>
      </w:pPr>
      <w:r>
        <w:t>На ранних этапах становления мировой валютной системы (</w:t>
      </w:r>
      <w:r>
        <w:rPr>
          <w:lang w:val="en-US"/>
        </w:rPr>
        <w:t>XVII</w:t>
      </w:r>
      <w:r w:rsidRPr="0063259F">
        <w:t xml:space="preserve"> – </w:t>
      </w:r>
      <w:r>
        <w:rPr>
          <w:lang w:val="en-US"/>
        </w:rPr>
        <w:t>XVIII</w:t>
      </w:r>
      <w:r w:rsidRPr="0063259F">
        <w:t xml:space="preserve"> </w:t>
      </w:r>
      <w:r>
        <w:t>вв.</w:t>
      </w:r>
      <w:r w:rsidRPr="0063259F">
        <w:t>)</w:t>
      </w:r>
      <w:r>
        <w:t xml:space="preserve"> в</w:t>
      </w:r>
      <w:r w:rsidR="00DC1D52">
        <w:t>алюты обменивались в соответствии с их «металлическим содержанием», что упрощало проблему определения курса обмена. В разных странах для чеканки монет использовали разные металлы: медь, серебро, золото (а также никель, олово, свинец и железо), однако в качестве меры</w:t>
      </w:r>
      <w:r w:rsidR="001F2D96">
        <w:t xml:space="preserve"> определения валютных курсов служили благородные металлы.</w:t>
      </w:r>
      <w:r w:rsidR="00912489">
        <w:t xml:space="preserve"> В </w:t>
      </w:r>
      <w:r w:rsidR="00912489">
        <w:rPr>
          <w:lang w:val="en-US"/>
        </w:rPr>
        <w:t>XIX</w:t>
      </w:r>
      <w:r w:rsidR="00912489" w:rsidRPr="00912489">
        <w:t xml:space="preserve"> </w:t>
      </w:r>
      <w:r w:rsidR="00912489">
        <w:t xml:space="preserve">в. одна часть стран ориентировалась на использование золота в качестве меры стоимости своих денежных единиц, другая часть – серебра. Идея обеспечить единообразие </w:t>
      </w:r>
      <w:r w:rsidR="00DC1D52">
        <w:t xml:space="preserve"> </w:t>
      </w:r>
      <w:r w:rsidR="00912489">
        <w:t xml:space="preserve">в определении валютных курсов впервые возникла в Великобритании в конце </w:t>
      </w:r>
      <w:r w:rsidR="00912489">
        <w:rPr>
          <w:lang w:val="en-US"/>
        </w:rPr>
        <w:t>XVIII</w:t>
      </w:r>
      <w:r w:rsidR="00912489">
        <w:t xml:space="preserve"> в., что и было закреплено решением Банка Англии </w:t>
      </w:r>
      <w:smartTag w:uri="urn:schemas-microsoft-com:office:smarttags" w:element="metricconverter">
        <w:smartTagPr>
          <w:attr w:name="ProductID" w:val="1821 г"/>
        </w:smartTagPr>
        <w:r w:rsidR="00912489">
          <w:t>1821 г</w:t>
        </w:r>
      </w:smartTag>
      <w:r w:rsidR="00912489">
        <w:t>. о переходе к золотой основе при определении кур</w:t>
      </w:r>
      <w:r w:rsidR="007F4A0E">
        <w:t>са британского фунта стерлингов</w:t>
      </w:r>
      <w:r w:rsidR="00343454">
        <w:t xml:space="preserve"> </w:t>
      </w:r>
      <w:r w:rsidR="00343454" w:rsidRPr="003C077C">
        <w:t>[</w:t>
      </w:r>
      <w:r w:rsidR="003C077C" w:rsidRPr="003C077C">
        <w:t>1. С.</w:t>
      </w:r>
      <w:r w:rsidR="00343454" w:rsidRPr="003C077C">
        <w:t>378]</w:t>
      </w:r>
      <w:r w:rsidR="007F4A0E" w:rsidRPr="003C077C">
        <w:t>.</w:t>
      </w:r>
    </w:p>
    <w:p w:rsidR="003F08D8" w:rsidRDefault="00912489" w:rsidP="0063259F">
      <w:pPr>
        <w:spacing w:line="360" w:lineRule="auto"/>
        <w:ind w:firstLine="720"/>
        <w:jc w:val="both"/>
      </w:pPr>
      <w:r>
        <w:t>На международном уровне золото было признано формой мировых и национальных денег, за ним были закреплены все функции денег на достаточно мало известной Парижской конференции (</w:t>
      </w:r>
      <w:smartTag w:uri="urn:schemas-microsoft-com:office:smarttags" w:element="metricconverter">
        <w:smartTagPr>
          <w:attr w:name="ProductID" w:val="1867 г"/>
        </w:smartTagPr>
        <w:r>
          <w:t>1867 г</w:t>
        </w:r>
      </w:smartTag>
      <w:r>
        <w:t xml:space="preserve">.), что означало введение системы золотого стандарта. </w:t>
      </w:r>
      <w:r w:rsidR="003F08D8">
        <w:t xml:space="preserve">Денежная система на основе золотого стандарта («золотой монометаллизм») включала следующие основные принципы: 1) золото – единственная форма мировых денег; 2) золото свободно обращается: центральные банки отдельных стран могут продавать и покупать золото в неограниченных количествах по фиксированным ценам; любое лицо может использовать золото без каких-либо ограничений; любое лицо может чеканить золотые монеты из золотых слитков на государственном монетном дворе; импорт и экспорт золота не ограничивались. </w:t>
      </w:r>
    </w:p>
    <w:p w:rsidR="00912489" w:rsidRDefault="003F08D8" w:rsidP="0063259F">
      <w:pPr>
        <w:spacing w:line="360" w:lineRule="auto"/>
        <w:ind w:firstLine="720"/>
        <w:jc w:val="both"/>
      </w:pPr>
      <w:r>
        <w:t>Плюсом в использовании золота в качестве мировых денег является относительная устойчивость такой «валюты» в силу того, что з</w:t>
      </w:r>
      <w:r w:rsidR="00854A51">
        <w:t>олото практически не изнашивает</w:t>
      </w:r>
      <w:r>
        <w:t>ся</w:t>
      </w:r>
      <w:r w:rsidR="00854A51">
        <w:t>, так что</w:t>
      </w:r>
      <w:r>
        <w:t xml:space="preserve"> </w:t>
      </w:r>
      <w:r w:rsidR="00854A51">
        <w:t xml:space="preserve">номинальная и металлическая стоимость монет совпадают. Существенным минусом является негибкость золота как средства обращения. </w:t>
      </w:r>
    </w:p>
    <w:p w:rsidR="00854A51" w:rsidRDefault="00854A51" w:rsidP="0063259F">
      <w:pPr>
        <w:spacing w:line="360" w:lineRule="auto"/>
        <w:ind w:firstLine="720"/>
        <w:jc w:val="both"/>
      </w:pPr>
      <w:r>
        <w:t>Золотой стандарт означал установление для каждой национальной валюты золотого содержания (количество золота в единице национальной валюты), через которое можно легко определить и официальные курсы валют по отношению друг к другу. Поскольку эти курсы основаны на золотом содержании, то говорили о з</w:t>
      </w:r>
      <w:r w:rsidR="007F4A0E">
        <w:t>олотых паритетах</w:t>
      </w:r>
      <w:r w:rsidR="00343454">
        <w:t xml:space="preserve"> </w:t>
      </w:r>
      <w:r w:rsidR="00343454" w:rsidRPr="00135BA1">
        <w:t>[</w:t>
      </w:r>
      <w:r w:rsidR="003C077C">
        <w:t>1. С.</w:t>
      </w:r>
      <w:r w:rsidR="00343454">
        <w:t>379</w:t>
      </w:r>
      <w:r w:rsidR="00343454" w:rsidRPr="00135BA1">
        <w:t>]</w:t>
      </w:r>
      <w:r w:rsidR="007F4A0E">
        <w:t>.</w:t>
      </w:r>
    </w:p>
    <w:p w:rsidR="00854A51" w:rsidRDefault="00854A51" w:rsidP="0063259F">
      <w:pPr>
        <w:spacing w:line="360" w:lineRule="auto"/>
        <w:ind w:firstLine="720"/>
        <w:jc w:val="both"/>
      </w:pPr>
      <w:r>
        <w:t xml:space="preserve">Таким образом, система золотого стандарта обеспечивала длительный период времени стабильность большинства валют, способствовала </w:t>
      </w:r>
      <w:r w:rsidR="00C80D06">
        <w:t>развитию мировой торговли. При золотом стандарте национальные валюты свободно обменивались по твердому курсу на золото, количество которого было ограничено.</w:t>
      </w:r>
    </w:p>
    <w:p w:rsidR="00431CB9" w:rsidRDefault="00431CB9" w:rsidP="0063259F">
      <w:pPr>
        <w:spacing w:line="360" w:lineRule="auto"/>
        <w:ind w:firstLine="720"/>
        <w:jc w:val="both"/>
      </w:pPr>
      <w:r>
        <w:t>Во время Первой мировой войны регулирующий механизм системы золотого стандарта перестал действовать во всех вовлеченных в нее странах, за исключением США и Японии. К причинам, разрушившим систему золотого стандарта, относились: 1) значительная эмиссия бумажных денег для покрытия военных расходов; 2) введение воюющими странами валютных ограничений, препятствующих единству международной валютной системы; 3) истощение ресурсов золота при финансировании военных затрат.</w:t>
      </w:r>
    </w:p>
    <w:p w:rsidR="00343454" w:rsidRDefault="00431CB9" w:rsidP="0063259F">
      <w:pPr>
        <w:spacing w:line="360" w:lineRule="auto"/>
        <w:ind w:firstLine="720"/>
        <w:jc w:val="both"/>
      </w:pPr>
      <w:r>
        <w:t xml:space="preserve">В </w:t>
      </w:r>
      <w:smartTag w:uri="urn:schemas-microsoft-com:office:smarttags" w:element="metricconverter">
        <w:smartTagPr>
          <w:attr w:name="ProductID" w:val="1922 г"/>
        </w:smartTagPr>
        <w:r>
          <w:t>1922 г</w:t>
        </w:r>
      </w:smartTag>
      <w:r>
        <w:t>. на Генуэзской конференции была предпринята попытка восстановления модифицированного золотого стандарта. Согласно ее решениям национальные кредитные деньги могли обеспечиваться не столько золотом, сколько главным образом иностранной валютой тех стран, которые сохран</w:t>
      </w:r>
      <w:r w:rsidR="00EF5030">
        <w:t>или свободный обмен своих денежных единиц на золото</w:t>
      </w:r>
      <w:r w:rsidR="00216EE9">
        <w:t xml:space="preserve"> (девизами), т.е. английским фунтом стерлингов, французским франком и долларом США. Другие валюты меняли на золото не прямо, а через предварительный обмен на одну из трех указанных валют. Золотой стандарт сохранял свою силу только в международных расчетах.</w:t>
      </w:r>
    </w:p>
    <w:p w:rsidR="00343454" w:rsidRDefault="00343454" w:rsidP="0063259F">
      <w:pPr>
        <w:spacing w:line="360" w:lineRule="auto"/>
        <w:ind w:firstLine="720"/>
        <w:jc w:val="both"/>
      </w:pPr>
      <w:r>
        <w:t>Существенное воздействие на МВС оказал мировой экономический кризис 1929 – 1933 гг., который прив</w:t>
      </w:r>
      <w:r w:rsidR="007F4A0E">
        <w:t xml:space="preserve">ел к мировому валютному </w:t>
      </w:r>
      <w:r w:rsidR="007F4A0E" w:rsidRPr="00E818F4">
        <w:t>кризису</w:t>
      </w:r>
      <w:r w:rsidR="00091721" w:rsidRPr="00E818F4">
        <w:t xml:space="preserve"> </w:t>
      </w:r>
      <w:r w:rsidR="00E40F9E" w:rsidRPr="00E818F4">
        <w:t>[</w:t>
      </w:r>
      <w:r w:rsidR="003C077C" w:rsidRPr="00E818F4">
        <w:t>1. С.</w:t>
      </w:r>
      <w:r w:rsidR="00091721">
        <w:t>380</w:t>
      </w:r>
      <w:r w:rsidR="00091721" w:rsidRPr="00135BA1">
        <w:t>]</w:t>
      </w:r>
      <w:r w:rsidR="007F4A0E">
        <w:t>.</w:t>
      </w:r>
    </w:p>
    <w:p w:rsidR="00343454" w:rsidRDefault="00343454" w:rsidP="0063259F">
      <w:pPr>
        <w:spacing w:line="360" w:lineRule="auto"/>
        <w:ind w:firstLine="720"/>
        <w:jc w:val="both"/>
      </w:pPr>
      <w:r>
        <w:t>В период Второй мировой войны единый валютный рынок был разрушен, и принципы мировой валютной системы не соблюдались. Большинство воюющих и многие нейтральные страны ввели валютные ограничения</w:t>
      </w:r>
      <w:r w:rsidR="00AD4548">
        <w:t xml:space="preserve">. Произошло новое повышение роли золота как мировых денег, поскольку в военных условиях стратегические и дефицитные товары можно было приобрести только за золото, что привело к исчерпанию золотых резервов стран, которые вели активные закупки вооружения и продовольствия, и их накопление у стран экспортеров, прежде всего у США. Например, Германия на подготовку к войне истратила почти весь свой золотой запас, который составлял в сентябре </w:t>
      </w:r>
      <w:smartTag w:uri="urn:schemas-microsoft-com:office:smarttags" w:element="metricconverter">
        <w:smartTagPr>
          <w:attr w:name="ProductID" w:val="1938 г"/>
        </w:smartTagPr>
        <w:r w:rsidR="00AD4548">
          <w:t>1938 г</w:t>
        </w:r>
      </w:smartTag>
      <w:r w:rsidR="00AD4548">
        <w:t xml:space="preserve">. 26 т при 12 000 в США и 3 600 т в Великобритании. Правда, в ходе военных действий фашисты захватили 1 300 т золота в центральных банках </w:t>
      </w:r>
      <w:r w:rsidR="00091721">
        <w:t>оккупированных стран</w:t>
      </w:r>
      <w:r w:rsidR="00AD4548">
        <w:t xml:space="preserve"> </w:t>
      </w:r>
      <w:r w:rsidR="00091721" w:rsidRPr="003C077C">
        <w:t>[</w:t>
      </w:r>
      <w:r w:rsidR="003C077C" w:rsidRPr="003C077C">
        <w:t>7. С.</w:t>
      </w:r>
      <w:r w:rsidR="00AD4548" w:rsidRPr="003C077C">
        <w:t>72]</w:t>
      </w:r>
      <w:r w:rsidR="00091721" w:rsidRPr="003C077C">
        <w:t>.</w:t>
      </w:r>
    </w:p>
    <w:p w:rsidR="00AD4548" w:rsidRDefault="00AD4548" w:rsidP="0063259F">
      <w:pPr>
        <w:spacing w:line="360" w:lineRule="auto"/>
        <w:ind w:firstLine="720"/>
        <w:jc w:val="both"/>
      </w:pPr>
      <w:r>
        <w:t xml:space="preserve">Мировой валютный кризис, вызванный Второй мировой войной и предшествующими ей событиями, вынудил англо-американских экспертов к разработке проекта новой мировой валютной системы, принципы которой были </w:t>
      </w:r>
      <w:r w:rsidR="00584D18">
        <w:t xml:space="preserve">закреплены на валютно-финансовой конференции, проходившей с 1 по 22 июля </w:t>
      </w:r>
      <w:smartTag w:uri="urn:schemas-microsoft-com:office:smarttags" w:element="metricconverter">
        <w:smartTagPr>
          <w:attr w:name="ProductID" w:val="1944 г"/>
        </w:smartTagPr>
        <w:r w:rsidR="00584D18">
          <w:t>1944 г</w:t>
        </w:r>
      </w:smartTag>
      <w:r w:rsidR="00584D18">
        <w:t>. в Бреттон-Вудсе (США)</w:t>
      </w:r>
      <w:r w:rsidR="00584D18">
        <w:rPr>
          <w:rStyle w:val="a5"/>
        </w:rPr>
        <w:footnoteReference w:id="2"/>
      </w:r>
      <w:r w:rsidR="00584D18">
        <w:t>.</w:t>
      </w:r>
      <w:r w:rsidR="00454635">
        <w:t xml:space="preserve"> В принятых статьях Соглашения (первая редакция Устава МВФ) были определены основные принципы новой валютной системы:</w:t>
      </w:r>
    </w:p>
    <w:p w:rsidR="00454635" w:rsidRDefault="00454635" w:rsidP="0063259F">
      <w:pPr>
        <w:spacing w:line="360" w:lineRule="auto"/>
        <w:ind w:firstLine="720"/>
        <w:jc w:val="both"/>
      </w:pPr>
      <w:r>
        <w:t>• статус доллара и фунта стерлингов как резервных валют;</w:t>
      </w:r>
    </w:p>
    <w:p w:rsidR="00383400" w:rsidRDefault="00383400" w:rsidP="0063259F">
      <w:pPr>
        <w:spacing w:line="360" w:lineRule="auto"/>
        <w:ind w:firstLine="720"/>
        <w:jc w:val="both"/>
      </w:pPr>
      <w:r>
        <w:t>• фиксированные золотые паритета и курсы валют (могли колебаться в пределах +/-1% паритета, а в Западной Европе –  +/- 0,75 %;</w:t>
      </w:r>
    </w:p>
    <w:p w:rsidR="00431CB9" w:rsidRDefault="00383400" w:rsidP="0063259F">
      <w:pPr>
        <w:spacing w:line="360" w:lineRule="auto"/>
        <w:ind w:firstLine="720"/>
        <w:jc w:val="both"/>
      </w:pPr>
      <w:r>
        <w:t>• конвертируемость долларовых резервов иностранных центральных банков в золото</w:t>
      </w:r>
      <w:r w:rsidR="00216EE9">
        <w:t xml:space="preserve"> </w:t>
      </w:r>
      <w:r>
        <w:t>через американское казначейство по официальной цене;</w:t>
      </w:r>
    </w:p>
    <w:p w:rsidR="00383400" w:rsidRDefault="00383400" w:rsidP="0063259F">
      <w:pPr>
        <w:spacing w:line="360" w:lineRule="auto"/>
        <w:ind w:firstLine="720"/>
        <w:jc w:val="both"/>
      </w:pPr>
      <w:r>
        <w:t xml:space="preserve">• заниженная официальная цена золота (35 долларов за тройственную унцию, содержащую </w:t>
      </w:r>
      <w:smartTag w:uri="urn:schemas-microsoft-com:office:smarttags" w:element="metricconverter">
        <w:smartTagPr>
          <w:attr w:name="ProductID" w:val="31,1 грамм"/>
        </w:smartTagPr>
        <w:r>
          <w:t>31,1 грамм</w:t>
        </w:r>
      </w:smartTag>
      <w:r>
        <w:t xml:space="preserve"> чистого золота);</w:t>
      </w:r>
    </w:p>
    <w:p w:rsidR="00383400" w:rsidRDefault="00383400" w:rsidP="0063259F">
      <w:pPr>
        <w:spacing w:line="360" w:lineRule="auto"/>
        <w:ind w:firstLine="720"/>
        <w:jc w:val="both"/>
      </w:pPr>
      <w:r>
        <w:t>• создание Международного валютного фонда как органа межгосударст</w:t>
      </w:r>
      <w:r w:rsidR="00091721">
        <w:t xml:space="preserve">венного валютного </w:t>
      </w:r>
      <w:r w:rsidR="00091721" w:rsidRPr="003C077C">
        <w:t>регулирования [</w:t>
      </w:r>
      <w:r w:rsidR="003C077C" w:rsidRPr="003C077C">
        <w:t>11. С.</w:t>
      </w:r>
      <w:r w:rsidR="00091721" w:rsidRPr="003C077C">
        <w:t>256</w:t>
      </w:r>
      <w:r w:rsidR="00091721">
        <w:t>-257</w:t>
      </w:r>
      <w:r w:rsidR="00091721" w:rsidRPr="00135BA1">
        <w:t>]</w:t>
      </w:r>
      <w:r w:rsidR="00091721">
        <w:t>.</w:t>
      </w:r>
    </w:p>
    <w:p w:rsidR="00091721" w:rsidRDefault="00BE0C00" w:rsidP="00BE0C00">
      <w:pPr>
        <w:spacing w:line="360" w:lineRule="auto"/>
        <w:ind w:firstLine="720"/>
        <w:jc w:val="both"/>
      </w:pPr>
      <w:r>
        <w:t xml:space="preserve">Следует отметить, что указанные принципы обусловили противоречивость Бреттонвудсской валютной системы, ибо поддержание фиксированных курсов требует в той или иной мере осуществлять контроль над валютными операциями. </w:t>
      </w:r>
    </w:p>
    <w:p w:rsidR="00BE0C00" w:rsidRDefault="00BE0C00" w:rsidP="00BE0C00">
      <w:pPr>
        <w:spacing w:line="360" w:lineRule="auto"/>
        <w:ind w:firstLine="720"/>
        <w:jc w:val="both"/>
      </w:pPr>
      <w:r>
        <w:t>Валютная система, основанная на ключевой роли одной валюты</w:t>
      </w:r>
      <w:r w:rsidR="0073006D" w:rsidRPr="0073006D">
        <w:t xml:space="preserve"> </w:t>
      </w:r>
      <w:r w:rsidR="0073006D">
        <w:t>(</w:t>
      </w:r>
      <w:r w:rsidR="0073006D">
        <w:rPr>
          <w:lang w:val="en-US"/>
        </w:rPr>
        <w:t>USD</w:t>
      </w:r>
      <w:r w:rsidR="0073006D" w:rsidRPr="0073006D">
        <w:t>)</w:t>
      </w:r>
      <w:r w:rsidR="0073006D">
        <w:t>, могла сохранять устойчивость только при гегемонии США в мировой экономике, на которые в конце 1940-х гг. приходилось около 75% мировых запасов золота</w:t>
      </w:r>
      <w:r w:rsidR="0070754B">
        <w:t>, более 50% ‒</w:t>
      </w:r>
      <w:r w:rsidR="0073006D">
        <w:t xml:space="preserve"> промышленного производства</w:t>
      </w:r>
      <w:r w:rsidR="0070754B">
        <w:t xml:space="preserve"> и 30% ‒</w:t>
      </w:r>
      <w:r w:rsidR="0070754B" w:rsidRPr="0070754B">
        <w:t xml:space="preserve"> </w:t>
      </w:r>
      <w:r w:rsidR="0073006D">
        <w:t>экспорта капиталистических стран</w:t>
      </w:r>
      <w:r w:rsidR="0070754B">
        <w:t xml:space="preserve">, и пока золотой запас США мог обеспечить конверсию зарубежных долларов в золото. Однако к 1970-м гг. золотые запасы перераспределились в пользу Европы, составив 47 </w:t>
      </w:r>
      <w:r w:rsidR="00D4396C">
        <w:t>млрд.</w:t>
      </w:r>
      <w:r w:rsidR="0070754B">
        <w:t xml:space="preserve"> долларов против 11,1 </w:t>
      </w:r>
      <w:r w:rsidR="00D4396C">
        <w:t>млрд.</w:t>
      </w:r>
      <w:r w:rsidR="0070754B">
        <w:t xml:space="preserve"> долларов у США. Тогда же появились и проблемы с международной ликвидностью, поскольку добыча золота с 1948 по </w:t>
      </w:r>
      <w:smartTag w:uri="urn:schemas-microsoft-com:office:smarttags" w:element="metricconverter">
        <w:smartTagPr>
          <w:attr w:name="ProductID" w:val="1969 г"/>
        </w:smartTagPr>
        <w:r w:rsidR="0070754B">
          <w:t>1969 г</w:t>
        </w:r>
      </w:smartTag>
      <w:r w:rsidR="0070754B">
        <w:t>. возросла на 59%, а мировой экспорт ‒ более чем в 2,5 раза, и золота перестало хватать для поддержания золотого паритета доллара. Второй предпосылкой кризиса Бреттонвудсской</w:t>
      </w:r>
      <w:r w:rsidR="00077524">
        <w:t xml:space="preserve"> валютной системы явился огромный дефицит платежного бала</w:t>
      </w:r>
      <w:r w:rsidR="00DB6217">
        <w:t>нса США из-за оттока долларов из</w:t>
      </w:r>
      <w:r w:rsidR="00077524">
        <w:t xml:space="preserve"> страны, что привело к формированию евродолларового рынка и снижению доверия к американскому доллару как резервной валюте. И, наконец, в-третьих, образовались новые финансовые центры ‒ Западная Европа и Япония, ‒ с появлением которых США утратили свое абсолютное доминирование в мировых финансах </w:t>
      </w:r>
      <w:r w:rsidR="00077524" w:rsidRPr="003C077C">
        <w:t>[</w:t>
      </w:r>
      <w:r w:rsidR="003C077C" w:rsidRPr="003C077C">
        <w:t>10. С.</w:t>
      </w:r>
      <w:r w:rsidR="00077524" w:rsidRPr="003C077C">
        <w:t>23-24].</w:t>
      </w:r>
    </w:p>
    <w:p w:rsidR="00052133" w:rsidRDefault="00052133" w:rsidP="00BE0C00">
      <w:pPr>
        <w:spacing w:line="360" w:lineRule="auto"/>
        <w:ind w:firstLine="720"/>
        <w:jc w:val="both"/>
      </w:pPr>
      <w:r>
        <w:t>Швайкерт Райнер – доктор экономики, руководитель отдела стабилизационной и структурной политики Института мировой экономики при Кильском университете (ФРГ) выделил</w:t>
      </w:r>
      <w:r w:rsidR="00357750">
        <w:t>:</w:t>
      </w:r>
      <w:r>
        <w:t xml:space="preserve"> решающей причиной краха Бреттонвудсской валютной системы стало то, что не все страны поддерживали направление денежной политики США. С середины 1960-х гг. США стали финансировать дефицит государственного бюджета, возникший в следствие войны во Вьетнаме и проводимой широкой социальной программой, посредством ускоренной денежной экспансии. В результате США стали причиной инфляции, американский доллар значительно потерял покупательную </w:t>
      </w:r>
      <w:r w:rsidR="00357750">
        <w:t>способность,</w:t>
      </w:r>
      <w:r>
        <w:t xml:space="preserve"> и установление цен в золотом эквиваленте стало иллюзией.</w:t>
      </w:r>
    </w:p>
    <w:p w:rsidR="00357750" w:rsidRDefault="00357750" w:rsidP="00357750">
      <w:pPr>
        <w:spacing w:line="360" w:lineRule="auto"/>
        <w:ind w:firstLine="720"/>
        <w:jc w:val="both"/>
      </w:pPr>
      <w:r>
        <w:t xml:space="preserve">В рамках Бреттонвудсской валютной системы денежная политика страны базовой валюты в принципе основывалась на положениях теории злотого стандарта. Нереально низкие цены на золото, выраженные в американских долларах, в конечном счете должны были привести к тому, что США постоянно продавали бы золото за национальную валюту, вследствие чего денежная масса и уровень инфляции в США должны были уменьшится. С </w:t>
      </w:r>
      <w:smartTag w:uri="urn:schemas-microsoft-com:office:smarttags" w:element="metricconverter">
        <w:smartTagPr>
          <w:attr w:name="ProductID" w:val="1963 г"/>
        </w:smartTagPr>
        <w:r>
          <w:t>1963 г</w:t>
        </w:r>
      </w:smartTag>
      <w:r>
        <w:t>.  в США были введены ограничения на продажу золота и сильный контроль за международным движением капитала.</w:t>
      </w:r>
    </w:p>
    <w:p w:rsidR="00357750" w:rsidRDefault="00357750" w:rsidP="00357750">
      <w:pPr>
        <w:spacing w:line="360" w:lineRule="auto"/>
        <w:ind w:firstLine="720"/>
        <w:jc w:val="both"/>
      </w:pPr>
      <w:r>
        <w:t xml:space="preserve">Важно подчеркнуть, что при системе фиксированных валютных курсов базовая валюта, подверженная инфляции, всегда вызывает волны спекуляции. Это происходит по тому, что стабильные валюты постоянно находятся под страхом ревальвации, возможной в том случае, если страны этих валют не будут следовать денежной политике страны базовой. </w:t>
      </w:r>
    </w:p>
    <w:p w:rsidR="00663C9D" w:rsidRDefault="00663C9D" w:rsidP="00357750">
      <w:pPr>
        <w:spacing w:line="360" w:lineRule="auto"/>
        <w:ind w:firstLine="720"/>
        <w:jc w:val="both"/>
      </w:pPr>
      <w:r>
        <w:t xml:space="preserve">Противоречия Бреттонвудсской валютной системы, прежде всего между национальным характером доллара и фунта стерлингов и их использованием как международного платежного средства, постепенно расшатали ее по мере укрепления позиций Западной Европы, Японии. С конца 60-х гг. разразился кризис этой системы </w:t>
      </w:r>
      <w:r w:rsidRPr="003C077C">
        <w:t>[1</w:t>
      </w:r>
      <w:r>
        <w:t>1</w:t>
      </w:r>
      <w:r w:rsidRPr="003C077C">
        <w:t>. С.</w:t>
      </w:r>
      <w:r>
        <w:t>257</w:t>
      </w:r>
      <w:r w:rsidRPr="003C077C">
        <w:t>].</w:t>
      </w:r>
    </w:p>
    <w:p w:rsidR="00077524" w:rsidRDefault="00313112" w:rsidP="00357750">
      <w:pPr>
        <w:spacing w:line="360" w:lineRule="auto"/>
        <w:ind w:firstLine="720"/>
        <w:jc w:val="both"/>
      </w:pPr>
      <w:r>
        <w:t xml:space="preserve">США долго противились признанию банкротства Бреттонвудсской системы и пытались переложить на другие страны издержки по ее спасению, используя: 1) ревальвацию некоторых валют (в мае </w:t>
      </w:r>
      <w:smartTag w:uri="urn:schemas-microsoft-com:office:smarttags" w:element="metricconverter">
        <w:smartTagPr>
          <w:attr w:name="ProductID" w:val="1971 г"/>
        </w:smartTagPr>
        <w:r>
          <w:t>1971 г</w:t>
        </w:r>
      </w:smartTag>
      <w:r>
        <w:t xml:space="preserve">. были ревальвированы швейцарский франк и австрийский Шеллинг), что было равносильно скрытой девальвации доллара, но не так сильно било по престижу страны; 2) увеличение импортных пошлин; 3) прекращение размена долларов на золото. </w:t>
      </w:r>
    </w:p>
    <w:p w:rsidR="00313112" w:rsidRDefault="00313112" w:rsidP="00BE0C00">
      <w:pPr>
        <w:spacing w:line="360" w:lineRule="auto"/>
        <w:ind w:firstLine="720"/>
        <w:jc w:val="both"/>
      </w:pPr>
      <w:r>
        <w:t>К попыткам сохранения основных принципов системы фиксированных паритетов, а в действительности к ключевым этапам кризиса Бреттонвудсской системы относятся:</w:t>
      </w:r>
    </w:p>
    <w:p w:rsidR="00313112" w:rsidRDefault="00DB6217" w:rsidP="00BE0C00">
      <w:pPr>
        <w:spacing w:line="360" w:lineRule="auto"/>
        <w:ind w:firstLine="720"/>
        <w:jc w:val="both"/>
      </w:pPr>
      <w:r>
        <w:t xml:space="preserve">1. Установление двойного рынка золота 17 марта </w:t>
      </w:r>
      <w:smartTag w:uri="urn:schemas-microsoft-com:office:smarttags" w:element="metricconverter">
        <w:smartTagPr>
          <w:attr w:name="ProductID" w:val="1968 г"/>
        </w:smartTagPr>
        <w:r>
          <w:t>1968 г</w:t>
        </w:r>
      </w:smartTag>
      <w:r>
        <w:t>.: цена золота на частных рынках устанавливалась в соответствии со спросом и предложением, а в официальных сделках центральных банков сохранялся официальный курс 35 долларов за тройскую унцию.</w:t>
      </w:r>
    </w:p>
    <w:p w:rsidR="00DB6217" w:rsidRDefault="00DB6217" w:rsidP="00BE0C00">
      <w:pPr>
        <w:spacing w:line="360" w:lineRule="auto"/>
        <w:ind w:firstLine="720"/>
        <w:jc w:val="both"/>
      </w:pPr>
      <w:r>
        <w:t xml:space="preserve">2. Временное запрещение конвертируемости доллара в золото для центральных банков с 15 августа </w:t>
      </w:r>
      <w:smartTag w:uri="urn:schemas-microsoft-com:office:smarttags" w:element="metricconverter">
        <w:smartTagPr>
          <w:attr w:name="ProductID" w:val="1971 г"/>
        </w:smartTagPr>
        <w:r>
          <w:t>1971 г</w:t>
        </w:r>
      </w:smartTag>
      <w:r>
        <w:t>.</w:t>
      </w:r>
    </w:p>
    <w:p w:rsidR="00DB6217" w:rsidRDefault="00DB6217" w:rsidP="00BE0C00">
      <w:pPr>
        <w:spacing w:line="360" w:lineRule="auto"/>
        <w:ind w:firstLine="720"/>
        <w:jc w:val="both"/>
      </w:pPr>
      <w:r>
        <w:t xml:space="preserve">3. Подписание 18 декабря </w:t>
      </w:r>
      <w:smartTag w:uri="urn:schemas-microsoft-com:office:smarttags" w:element="metricconverter">
        <w:smartTagPr>
          <w:attr w:name="ProductID" w:val="1971 г"/>
        </w:smartTagPr>
        <w:r w:rsidR="00664BB6">
          <w:t>1971 г</w:t>
        </w:r>
      </w:smartTag>
      <w:r w:rsidR="00664BB6">
        <w:t>. в Вашингтоне в Смитсоновском  институте 10 странами соглашения: а) о девальвации доллара на 7,89% и повышении официальной цены золота на 8,57%; б) о расширении пределов колебаний валютных курсов с ±1% до ±</w:t>
      </w:r>
      <w:r w:rsidR="002436BC">
        <w:t xml:space="preserve"> 2,25% от их паритетов и установлении центральных курсов вместо их паритетов; в) об отмене 10%-ной таможенной пошлины в США;</w:t>
      </w:r>
    </w:p>
    <w:p w:rsidR="002436BC" w:rsidRPr="0070754B" w:rsidRDefault="002436BC" w:rsidP="00BE0C00">
      <w:pPr>
        <w:spacing w:line="360" w:lineRule="auto"/>
        <w:ind w:firstLine="720"/>
        <w:jc w:val="both"/>
      </w:pPr>
      <w:r>
        <w:t xml:space="preserve">4. Девальвация доллара 13 февраля </w:t>
      </w:r>
      <w:smartTag w:uri="urn:schemas-microsoft-com:office:smarttags" w:element="metricconverter">
        <w:smartTagPr>
          <w:attr w:name="ProductID" w:val="1973 г"/>
        </w:smartTagPr>
        <w:r>
          <w:t>1973 г</w:t>
        </w:r>
      </w:smartTag>
      <w:r>
        <w:t>. на 10 % и повышение официальной цены золота на 11,1% ‒ с 38 до 42,22 долларов за тройскую унцию.</w:t>
      </w:r>
    </w:p>
    <w:p w:rsidR="00BE0C00" w:rsidRDefault="002436BC" w:rsidP="00BE0C00">
      <w:pPr>
        <w:spacing w:line="360" w:lineRule="auto"/>
        <w:ind w:firstLine="720"/>
        <w:jc w:val="both"/>
      </w:pPr>
      <w:r>
        <w:t xml:space="preserve">5. Подчинение 16 марта </w:t>
      </w:r>
      <w:smartTag w:uri="urn:schemas-microsoft-com:office:smarttags" w:element="metricconverter">
        <w:smartTagPr>
          <w:attr w:name="ProductID" w:val="1973 г"/>
        </w:smartTagPr>
        <w:r>
          <w:t>1973 г</w:t>
        </w:r>
      </w:smartTag>
      <w:r>
        <w:t>.  Международной конференцией в Париже курсов валют законам рынка. С этого момента курсы валют не фиксированы и изменяются под воздействием спроса и предложения вопреки Уставу МВФ</w:t>
      </w:r>
      <w:r w:rsidRPr="003C077C">
        <w:t xml:space="preserve"> [</w:t>
      </w:r>
      <w:r w:rsidR="003C077C" w:rsidRPr="003C077C">
        <w:t>1. С.</w:t>
      </w:r>
      <w:r w:rsidRPr="003C077C">
        <w:t>385].</w:t>
      </w:r>
    </w:p>
    <w:p w:rsidR="002436BC" w:rsidRDefault="002436BC" w:rsidP="00BE0C00">
      <w:pPr>
        <w:spacing w:line="360" w:lineRule="auto"/>
        <w:ind w:firstLine="720"/>
        <w:jc w:val="both"/>
      </w:pPr>
      <w:r>
        <w:t>Таким образом, Бреттонвудсская валютная система окончательно прекратила свое существование. Как следует из проведенного анализа</w:t>
      </w:r>
      <w:r w:rsidR="007F4A0E">
        <w:t>, структура мировых финансов в первой половине 1970-х гг., когда рушилось их послевоенное устройство, было весьма сложна, поэтому прошло несколько лет, прежде чем, испробовав различные модели валютной системы, ведущие страны мировой экономики</w:t>
      </w:r>
      <w:r>
        <w:t xml:space="preserve"> </w:t>
      </w:r>
      <w:r w:rsidR="007F4A0E">
        <w:t xml:space="preserve">пришли к системе гибкого выбора валютных курсов, то есть к тому принципу, на котором фактически и основана современная мировая валютная система. </w:t>
      </w:r>
    </w:p>
    <w:p w:rsidR="002436BC" w:rsidRDefault="002436BC" w:rsidP="00BE0C00">
      <w:pPr>
        <w:spacing w:line="360" w:lineRule="auto"/>
        <w:ind w:firstLine="720"/>
        <w:jc w:val="both"/>
      </w:pPr>
    </w:p>
    <w:p w:rsidR="00383400" w:rsidRPr="0070754B" w:rsidRDefault="00383400" w:rsidP="0063259F">
      <w:pPr>
        <w:spacing w:line="360" w:lineRule="auto"/>
        <w:ind w:firstLine="720"/>
        <w:jc w:val="both"/>
      </w:pPr>
    </w:p>
    <w:p w:rsidR="00C80D06" w:rsidRPr="00912489" w:rsidRDefault="00C80D06" w:rsidP="0063259F">
      <w:pPr>
        <w:spacing w:line="360" w:lineRule="auto"/>
        <w:ind w:firstLine="720"/>
        <w:jc w:val="both"/>
      </w:pPr>
    </w:p>
    <w:p w:rsidR="0037488B" w:rsidRDefault="0037488B" w:rsidP="002A72A4">
      <w:pPr>
        <w:spacing w:line="360" w:lineRule="auto"/>
        <w:jc w:val="both"/>
      </w:pPr>
    </w:p>
    <w:p w:rsidR="0037488B" w:rsidRPr="006E53C0" w:rsidRDefault="0037488B" w:rsidP="002A72A4">
      <w:pPr>
        <w:spacing w:line="360" w:lineRule="auto"/>
        <w:jc w:val="both"/>
        <w:rPr>
          <w:rFonts w:ascii="Arial" w:hAnsi="Arial" w:cs="Arial"/>
        </w:rPr>
      </w:pPr>
    </w:p>
    <w:p w:rsidR="0037488B" w:rsidRDefault="0037488B" w:rsidP="002A72A4">
      <w:pPr>
        <w:spacing w:line="360" w:lineRule="auto"/>
        <w:jc w:val="both"/>
      </w:pPr>
    </w:p>
    <w:p w:rsidR="0037488B" w:rsidRDefault="0037488B" w:rsidP="002A72A4">
      <w:pPr>
        <w:spacing w:line="360" w:lineRule="auto"/>
        <w:jc w:val="both"/>
      </w:pPr>
    </w:p>
    <w:p w:rsidR="0037488B" w:rsidRDefault="0037488B" w:rsidP="002A72A4">
      <w:pPr>
        <w:spacing w:line="360" w:lineRule="auto"/>
        <w:jc w:val="both"/>
      </w:pPr>
    </w:p>
    <w:p w:rsidR="0088050E" w:rsidRDefault="0088050E" w:rsidP="002A72A4">
      <w:pPr>
        <w:spacing w:line="360" w:lineRule="auto"/>
        <w:jc w:val="both"/>
      </w:pPr>
    </w:p>
    <w:p w:rsidR="0037488B" w:rsidRDefault="0037488B" w:rsidP="002A72A4">
      <w:pPr>
        <w:spacing w:line="360" w:lineRule="auto"/>
        <w:jc w:val="both"/>
      </w:pPr>
    </w:p>
    <w:p w:rsidR="0037488B" w:rsidRDefault="0037488B" w:rsidP="002A72A4">
      <w:pPr>
        <w:spacing w:line="360" w:lineRule="auto"/>
        <w:jc w:val="both"/>
      </w:pPr>
    </w:p>
    <w:p w:rsidR="0037488B" w:rsidRDefault="0037488B" w:rsidP="002A72A4">
      <w:pPr>
        <w:spacing w:line="360" w:lineRule="auto"/>
        <w:jc w:val="both"/>
      </w:pPr>
    </w:p>
    <w:p w:rsidR="0037488B" w:rsidRDefault="0037488B" w:rsidP="002A72A4">
      <w:pPr>
        <w:spacing w:line="360" w:lineRule="auto"/>
        <w:jc w:val="both"/>
      </w:pPr>
    </w:p>
    <w:p w:rsidR="003C077C" w:rsidRDefault="003C077C" w:rsidP="002A72A4">
      <w:pPr>
        <w:spacing w:line="360" w:lineRule="auto"/>
        <w:jc w:val="both"/>
      </w:pPr>
    </w:p>
    <w:p w:rsidR="003C077C" w:rsidRDefault="003C077C" w:rsidP="002A72A4">
      <w:pPr>
        <w:spacing w:line="360" w:lineRule="auto"/>
        <w:jc w:val="both"/>
      </w:pPr>
    </w:p>
    <w:p w:rsidR="003C077C" w:rsidRDefault="003C077C" w:rsidP="002A72A4">
      <w:pPr>
        <w:spacing w:line="360" w:lineRule="auto"/>
        <w:jc w:val="both"/>
      </w:pPr>
    </w:p>
    <w:p w:rsidR="00E818F4" w:rsidRDefault="00E818F4" w:rsidP="002A72A4">
      <w:pPr>
        <w:spacing w:line="360" w:lineRule="auto"/>
        <w:jc w:val="both"/>
      </w:pPr>
    </w:p>
    <w:p w:rsidR="00CB5F23" w:rsidRDefault="00CB5F23" w:rsidP="002A72A4">
      <w:pPr>
        <w:spacing w:line="360" w:lineRule="auto"/>
        <w:jc w:val="both"/>
      </w:pPr>
    </w:p>
    <w:p w:rsidR="0037488B" w:rsidRDefault="0037488B" w:rsidP="002A72A4">
      <w:pPr>
        <w:spacing w:line="360" w:lineRule="auto"/>
        <w:jc w:val="both"/>
      </w:pPr>
    </w:p>
    <w:p w:rsidR="00663C9D" w:rsidRDefault="00663C9D" w:rsidP="002A72A4">
      <w:pPr>
        <w:spacing w:line="360" w:lineRule="auto"/>
        <w:jc w:val="both"/>
      </w:pPr>
    </w:p>
    <w:p w:rsidR="00663C9D" w:rsidRDefault="00663C9D" w:rsidP="002A72A4">
      <w:pPr>
        <w:spacing w:line="360" w:lineRule="auto"/>
        <w:jc w:val="both"/>
      </w:pPr>
    </w:p>
    <w:p w:rsidR="00663C9D" w:rsidRDefault="00663C9D" w:rsidP="002A72A4">
      <w:pPr>
        <w:spacing w:line="360" w:lineRule="auto"/>
        <w:jc w:val="both"/>
      </w:pPr>
    </w:p>
    <w:p w:rsidR="00663C9D" w:rsidRDefault="00663C9D" w:rsidP="002A72A4">
      <w:pPr>
        <w:spacing w:line="360" w:lineRule="auto"/>
        <w:jc w:val="both"/>
      </w:pPr>
    </w:p>
    <w:p w:rsidR="00663C9D" w:rsidRDefault="00663C9D" w:rsidP="002A72A4">
      <w:pPr>
        <w:spacing w:line="360" w:lineRule="auto"/>
        <w:jc w:val="both"/>
      </w:pPr>
    </w:p>
    <w:p w:rsidR="00663C9D" w:rsidRDefault="00663C9D" w:rsidP="002A72A4">
      <w:pPr>
        <w:spacing w:line="360" w:lineRule="auto"/>
        <w:jc w:val="both"/>
      </w:pPr>
    </w:p>
    <w:p w:rsidR="00663C9D" w:rsidRDefault="00663C9D" w:rsidP="002A72A4">
      <w:pPr>
        <w:spacing w:line="360" w:lineRule="auto"/>
        <w:jc w:val="both"/>
      </w:pPr>
    </w:p>
    <w:p w:rsidR="00663C9D" w:rsidRDefault="00663C9D" w:rsidP="002A72A4">
      <w:pPr>
        <w:spacing w:line="360" w:lineRule="auto"/>
        <w:jc w:val="both"/>
      </w:pPr>
    </w:p>
    <w:p w:rsidR="00663C9D" w:rsidRDefault="00663C9D" w:rsidP="002A72A4">
      <w:pPr>
        <w:spacing w:line="360" w:lineRule="auto"/>
        <w:jc w:val="both"/>
      </w:pPr>
    </w:p>
    <w:p w:rsidR="00663C9D" w:rsidRDefault="00663C9D" w:rsidP="002A72A4">
      <w:pPr>
        <w:spacing w:line="360" w:lineRule="auto"/>
        <w:jc w:val="both"/>
      </w:pPr>
    </w:p>
    <w:p w:rsidR="00314276" w:rsidRPr="00314276" w:rsidRDefault="00D44675" w:rsidP="00314276">
      <w:pPr>
        <w:spacing w:line="360" w:lineRule="auto"/>
        <w:ind w:left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</w:t>
      </w:r>
      <w:r w:rsidR="00314276">
        <w:rPr>
          <w:rFonts w:ascii="Arial" w:hAnsi="Arial" w:cs="Arial"/>
          <w:b/>
          <w:sz w:val="28"/>
          <w:szCs w:val="28"/>
        </w:rPr>
        <w:t xml:space="preserve">. </w:t>
      </w:r>
      <w:r w:rsidR="007F4A0E" w:rsidRPr="00314276">
        <w:rPr>
          <w:rFonts w:ascii="Arial" w:hAnsi="Arial" w:cs="Arial"/>
          <w:b/>
          <w:sz w:val="28"/>
          <w:szCs w:val="28"/>
        </w:rPr>
        <w:t>Основные характеристики Ямайской валютной системы</w:t>
      </w:r>
      <w:r w:rsidR="00100461">
        <w:t xml:space="preserve">. </w:t>
      </w:r>
      <w:r w:rsidR="00100461" w:rsidRPr="00100461">
        <w:rPr>
          <w:rFonts w:ascii="Arial" w:hAnsi="Arial" w:cs="Arial"/>
          <w:b/>
          <w:sz w:val="28"/>
          <w:szCs w:val="28"/>
        </w:rPr>
        <w:t>Развивающиеся страны в Ямайской валютной системе.</w:t>
      </w:r>
    </w:p>
    <w:p w:rsidR="00314276" w:rsidRPr="007F4A0E" w:rsidRDefault="00314276" w:rsidP="00314276">
      <w:pPr>
        <w:spacing w:line="360" w:lineRule="auto"/>
        <w:ind w:left="720"/>
        <w:rPr>
          <w:rFonts w:ascii="Arial" w:hAnsi="Arial" w:cs="Arial"/>
          <w:b/>
        </w:rPr>
      </w:pPr>
    </w:p>
    <w:p w:rsidR="0037488B" w:rsidRDefault="00A83244" w:rsidP="007F4A0E">
      <w:pPr>
        <w:spacing w:line="360" w:lineRule="auto"/>
        <w:ind w:firstLine="720"/>
        <w:jc w:val="both"/>
      </w:pPr>
      <w:r>
        <w:t>Поиски выхода из валютного кризиса велись долго вначале в академических, а затем в правящих кругах и многочисленных комитетах. Было предложено множество проектов</w:t>
      </w:r>
      <w:r w:rsidR="00BF4539">
        <w:t xml:space="preserve"> валютной реформы: от создания коллективной резервной единицы, выпуска мировой валюты, обеспеченной золотом и товарами, до возврата к золотому стандарту. «Комитет двадцати» МВФ подготовил в 1972</w:t>
      </w:r>
      <w:r>
        <w:t xml:space="preserve"> </w:t>
      </w:r>
      <w:r w:rsidR="00BF4539">
        <w:t xml:space="preserve">‒ 1974 гг. проект реформы мировой валютной системы. Наконец, устройство современной мировой валютной системы было официально оговорено на конференции МВФ в Кингстоне (Ямайка) в январе </w:t>
      </w:r>
      <w:smartTag w:uri="urn:schemas-microsoft-com:office:smarttags" w:element="metricconverter">
        <w:smartTagPr>
          <w:attr w:name="ProductID" w:val="1976 г"/>
        </w:smartTagPr>
        <w:r w:rsidR="00BF4539">
          <w:t>1976 г</w:t>
        </w:r>
      </w:smartTag>
      <w:r w:rsidR="00BF4539">
        <w:t>., почему она и получила название Ямайской</w:t>
      </w:r>
      <w:r w:rsidR="00CE258A">
        <w:t xml:space="preserve">. Соглашение об изменении Устава МВФ было ратифицировано требуемым большинством стран – членов МВФ в апреле </w:t>
      </w:r>
      <w:smartTag w:uri="urn:schemas-microsoft-com:office:smarttags" w:element="metricconverter">
        <w:smartTagPr>
          <w:attr w:name="ProductID" w:val="1978 г"/>
        </w:smartTagPr>
        <w:r w:rsidR="00CE258A">
          <w:t>1978 г</w:t>
        </w:r>
      </w:smartTag>
      <w:r w:rsidR="00CE258A">
        <w:t>. Согласно этому документу основами новой системы является свободный выбор режима валютного курса</w:t>
      </w:r>
      <w:r w:rsidR="00314276">
        <w:t xml:space="preserve"> (по преимуществу плавающего, а также фиксированного или смешанного) и многовалютный стандарт, то есть возможность выбора разных форм международной ликвидности. Это означает, что новая система задумывалась, как симметричная.</w:t>
      </w:r>
    </w:p>
    <w:p w:rsidR="00314276" w:rsidRDefault="00314276" w:rsidP="007F4A0E">
      <w:pPr>
        <w:spacing w:line="360" w:lineRule="auto"/>
        <w:ind w:firstLine="720"/>
        <w:jc w:val="both"/>
      </w:pPr>
      <w:r>
        <w:t>Переход к гибким обменным курсам предполагал достижение трех основных целей: 1) выравнивание темпов инфляции в различных странах; 2) равновесие платежных балансов; 3) расширение возможностей для проведения независимой внутренней денежной политики отде</w:t>
      </w:r>
      <w:r w:rsidR="00B80B2A">
        <w:t xml:space="preserve">льными центральными </w:t>
      </w:r>
      <w:r w:rsidR="00B80B2A" w:rsidRPr="00E818F4">
        <w:t>банками</w:t>
      </w:r>
      <w:r w:rsidRPr="00E818F4">
        <w:t xml:space="preserve"> [</w:t>
      </w:r>
      <w:r w:rsidR="00E818F4" w:rsidRPr="00E818F4">
        <w:t>11. С.</w:t>
      </w:r>
      <w:r w:rsidR="000E66F8" w:rsidRPr="00E818F4">
        <w:t>258</w:t>
      </w:r>
      <w:r w:rsidRPr="00E818F4">
        <w:t>].</w:t>
      </w:r>
    </w:p>
    <w:p w:rsidR="00314276" w:rsidRDefault="00F16B74" w:rsidP="007F4A0E">
      <w:pPr>
        <w:spacing w:line="360" w:lineRule="auto"/>
        <w:ind w:firstLine="720"/>
        <w:jc w:val="both"/>
      </w:pPr>
      <w:r>
        <w:t>Наиболее широко в</w:t>
      </w:r>
      <w:r w:rsidR="00314276">
        <w:t>ажнейшие характеристики Ямайской валютной системы</w:t>
      </w:r>
      <w:r>
        <w:t xml:space="preserve"> рассмотрены в книгах Ю.В. Базулина</w:t>
      </w:r>
      <w:r w:rsidR="00314276">
        <w:t>:</w:t>
      </w:r>
    </w:p>
    <w:p w:rsidR="00314276" w:rsidRDefault="00314276" w:rsidP="00B54601">
      <w:pPr>
        <w:numPr>
          <w:ilvl w:val="0"/>
          <w:numId w:val="21"/>
        </w:numPr>
        <w:spacing w:line="360" w:lineRule="auto"/>
        <w:jc w:val="both"/>
      </w:pPr>
      <w:r>
        <w:t>полицентричность, основание</w:t>
      </w:r>
      <w:r w:rsidR="00B54601">
        <w:t xml:space="preserve"> не на одной, а на нескольких ключевых валютах: долларе США, английском фунте стерлингов, японской иене, немецкой марке и французском франке;</w:t>
      </w:r>
    </w:p>
    <w:p w:rsidR="00B54601" w:rsidRDefault="00B54601" w:rsidP="00B54601">
      <w:pPr>
        <w:numPr>
          <w:ilvl w:val="0"/>
          <w:numId w:val="21"/>
        </w:numPr>
        <w:spacing w:line="360" w:lineRule="auto"/>
        <w:jc w:val="both"/>
      </w:pPr>
      <w:r>
        <w:t>отмена, хотя и формально, монетного паритета золота;</w:t>
      </w:r>
    </w:p>
    <w:p w:rsidR="00B54601" w:rsidRDefault="00B54601" w:rsidP="00B54601">
      <w:pPr>
        <w:numPr>
          <w:ilvl w:val="0"/>
          <w:numId w:val="21"/>
        </w:numPr>
        <w:spacing w:line="360" w:lineRule="auto"/>
        <w:jc w:val="both"/>
      </w:pPr>
      <w:r>
        <w:t>основные формы международной ликвидности – свободно конвертируемая валюта, а также СДР и резервные позиции в МВФ;</w:t>
      </w:r>
    </w:p>
    <w:p w:rsidR="00B54601" w:rsidRDefault="00B54601" w:rsidP="00B54601">
      <w:pPr>
        <w:numPr>
          <w:ilvl w:val="0"/>
          <w:numId w:val="21"/>
        </w:numPr>
        <w:spacing w:line="360" w:lineRule="auto"/>
        <w:jc w:val="both"/>
      </w:pPr>
      <w:r>
        <w:t>отсутствие пределов колебаний валютных курсов. Курс валют формируется под воздействием спроса и предложения на валютных рынках;</w:t>
      </w:r>
    </w:p>
    <w:p w:rsidR="00B54601" w:rsidRDefault="00B54601" w:rsidP="00B54601">
      <w:pPr>
        <w:numPr>
          <w:ilvl w:val="0"/>
          <w:numId w:val="21"/>
        </w:numPr>
        <w:spacing w:line="360" w:lineRule="auto"/>
        <w:jc w:val="both"/>
      </w:pPr>
      <w:r>
        <w:t>це</w:t>
      </w:r>
      <w:r w:rsidR="00B80B2A">
        <w:t>н</w:t>
      </w:r>
      <w:r>
        <w:t>тра</w:t>
      </w:r>
      <w:r w:rsidR="00B80B2A">
        <w:t>ль</w:t>
      </w:r>
      <w:r>
        <w:t>ные банки</w:t>
      </w:r>
      <w:r w:rsidR="00B80B2A">
        <w:t xml:space="preserve"> стран не обязаны поддерживать фиксированные паритеты своей валюты. Однако он могут осуществлять валютные интервенции для стабилизации курсов валют;</w:t>
      </w:r>
    </w:p>
    <w:p w:rsidR="00B80B2A" w:rsidRDefault="00B80B2A" w:rsidP="00B54601">
      <w:pPr>
        <w:numPr>
          <w:ilvl w:val="0"/>
          <w:numId w:val="21"/>
        </w:numPr>
        <w:spacing w:line="360" w:lineRule="auto"/>
        <w:jc w:val="both"/>
      </w:pPr>
      <w:r>
        <w:t>запрет выражать свободно выбираемый режим валютного курса через золото;</w:t>
      </w:r>
    </w:p>
    <w:p w:rsidR="00B80B2A" w:rsidRDefault="00B80B2A" w:rsidP="00B54601">
      <w:pPr>
        <w:numPr>
          <w:ilvl w:val="0"/>
          <w:numId w:val="21"/>
        </w:numPr>
        <w:spacing w:line="360" w:lineRule="auto"/>
        <w:jc w:val="both"/>
      </w:pPr>
      <w:r>
        <w:t xml:space="preserve">МВФ патронирует политику стран в области валютных курсов; страны – члены МВФ не должны манипулировать валютными курсами для получения </w:t>
      </w:r>
      <w:r w:rsidRPr="00E818F4">
        <w:t xml:space="preserve">односторонних преимуществ перед другими странами – членами МВФ </w:t>
      </w:r>
      <w:r w:rsidR="00E818F4">
        <w:t xml:space="preserve">          </w:t>
      </w:r>
      <w:r w:rsidRPr="00E818F4">
        <w:t>[</w:t>
      </w:r>
      <w:r w:rsidR="00E818F4" w:rsidRPr="00E818F4">
        <w:t>1. С.</w:t>
      </w:r>
      <w:r w:rsidRPr="00E818F4">
        <w:t>391].</w:t>
      </w:r>
    </w:p>
    <w:p w:rsidR="00F16B74" w:rsidRDefault="00F16B74" w:rsidP="00F16B74">
      <w:pPr>
        <w:spacing w:line="360" w:lineRule="auto"/>
        <w:ind w:left="720"/>
        <w:jc w:val="both"/>
      </w:pPr>
      <w:r>
        <w:t>О. И. Лаврушин обобщил и выделил четыре основных принципа Ямайской валютной системы:</w:t>
      </w:r>
    </w:p>
    <w:p w:rsidR="00F16B74" w:rsidRDefault="00F16B74" w:rsidP="00F16B74">
      <w:pPr>
        <w:spacing w:line="360" w:lineRule="auto"/>
        <w:ind w:left="720"/>
        <w:jc w:val="both"/>
      </w:pPr>
      <w:r>
        <w:t>1. Золото – девизный стандарт был заменен стандартом СДР, которые формально объявлены основой валютных паритетов и курсов валют.</w:t>
      </w:r>
    </w:p>
    <w:p w:rsidR="00F16B74" w:rsidRDefault="00194EDB" w:rsidP="00F16B74">
      <w:pPr>
        <w:spacing w:line="360" w:lineRule="auto"/>
        <w:ind w:left="720"/>
        <w:jc w:val="both"/>
      </w:pPr>
      <w:r>
        <w:t>2. В р</w:t>
      </w:r>
      <w:r w:rsidR="00F16B74">
        <w:t>амках Ямайской валютной системы узаконена демонетизация</w:t>
      </w:r>
      <w:r>
        <w:t xml:space="preserve"> золота – утрата им денежных функций. В соответствии с измененным Уставом МВФ золото не должно использоваться как мера стоимости и точка отчета валютных курсов.</w:t>
      </w:r>
    </w:p>
    <w:p w:rsidR="00194EDB" w:rsidRDefault="00194EDB" w:rsidP="00F16B74">
      <w:pPr>
        <w:spacing w:line="360" w:lineRule="auto"/>
        <w:ind w:left="720"/>
        <w:jc w:val="both"/>
      </w:pPr>
      <w:r>
        <w:t xml:space="preserve">3. Ямайская валютная система дает странам право выбрать любой режим валютного курса. Тем самым был узаконен режим плавающих валютных курсов, к которому страны фактически перешли в марте </w:t>
      </w:r>
      <w:smartTag w:uri="urn:schemas-microsoft-com:office:smarttags" w:element="metricconverter">
        <w:smartTagPr>
          <w:attr w:name="ProductID" w:val="1973 г"/>
        </w:smartTagPr>
        <w:r>
          <w:t>1973 г</w:t>
        </w:r>
      </w:smartTag>
      <w:r>
        <w:t>.</w:t>
      </w:r>
    </w:p>
    <w:p w:rsidR="00194EDB" w:rsidRDefault="00194EDB" w:rsidP="00194EDB">
      <w:pPr>
        <w:spacing w:line="360" w:lineRule="auto"/>
        <w:ind w:left="720"/>
        <w:jc w:val="both"/>
      </w:pPr>
      <w:r>
        <w:t xml:space="preserve">4. МВФ, сохранившийся от Бреттонвудсской системы, призван усилить межгосударственное валютное регулирование, обеспечить более тесное сотрудничество стран-членов, либерализацию валютных отношений путем отмены валютных ограничений в целях достижения валютной стабилизации в мире </w:t>
      </w:r>
      <w:r w:rsidRPr="00E818F4">
        <w:t>[</w:t>
      </w:r>
      <w:r>
        <w:t>1</w:t>
      </w:r>
      <w:r w:rsidRPr="00E818F4">
        <w:t>1. С.</w:t>
      </w:r>
      <w:r>
        <w:t>258</w:t>
      </w:r>
      <w:r w:rsidRPr="00E818F4">
        <w:t>].</w:t>
      </w:r>
    </w:p>
    <w:p w:rsidR="00194EDB" w:rsidRDefault="00B80B2A" w:rsidP="00194EDB">
      <w:pPr>
        <w:spacing w:line="360" w:lineRule="auto"/>
        <w:ind w:left="720"/>
        <w:jc w:val="both"/>
      </w:pPr>
      <w:r>
        <w:t>По классификации МВФ стана может выбрать сл</w:t>
      </w:r>
      <w:r w:rsidR="00194EDB">
        <w:t>едующие режимы валютных курсов:</w:t>
      </w:r>
    </w:p>
    <w:p w:rsidR="00B80B2A" w:rsidRDefault="00B80B2A" w:rsidP="00194EDB">
      <w:pPr>
        <w:spacing w:line="360" w:lineRule="auto"/>
        <w:jc w:val="both"/>
      </w:pPr>
      <w:r>
        <w:t>фиксированный, плавающий и смешанный.</w:t>
      </w:r>
    </w:p>
    <w:p w:rsidR="00D36B87" w:rsidRDefault="00D36B87" w:rsidP="00D36B87">
      <w:pPr>
        <w:spacing w:line="360" w:lineRule="auto"/>
        <w:ind w:firstLine="720"/>
        <w:jc w:val="both"/>
      </w:pPr>
      <w:r w:rsidRPr="00D36B87">
        <w:rPr>
          <w:i/>
        </w:rPr>
        <w:t>Фиксированный</w:t>
      </w:r>
      <w:r>
        <w:t xml:space="preserve"> валютный курс имеет целый ряд разновидностей: 1) курс национальной валюты фиксирован по отношению к одной добровольно выбранной валюте и автоматически изменяется в тех же пропорциях, что и базовый курс; 2) курс национальной валюты фиксируется с СДР; 3) «корзинный» валютный курс, когда курс национальной валюты привязывается к искусственно сконструированным валютным комбинациям. Обычно в данные комбинации (или корзины валют) входят валюты основных стран – торговых партнеров данной страны; 4) курс, рассчитанный на основе скользящего паритета, когда связь между динамикой национального  и базового курса не автоматическая, а рассчитывается по специально оговоренной формуле, учитывающей различия</w:t>
      </w:r>
      <w:r w:rsidR="00656216">
        <w:t xml:space="preserve"> (например, в темпах роста цен)</w:t>
      </w:r>
      <w:r w:rsidR="00656216" w:rsidRPr="00656216">
        <w:t xml:space="preserve"> </w:t>
      </w:r>
      <w:r w:rsidR="00656216" w:rsidRPr="00E818F4">
        <w:t>[</w:t>
      </w:r>
      <w:r w:rsidR="00656216">
        <w:t>4</w:t>
      </w:r>
      <w:r w:rsidR="00656216" w:rsidRPr="00E818F4">
        <w:t>. С.</w:t>
      </w:r>
      <w:r w:rsidR="00656216">
        <w:t>319</w:t>
      </w:r>
      <w:r w:rsidR="00656216" w:rsidRPr="00E818F4">
        <w:t>].</w:t>
      </w:r>
    </w:p>
    <w:p w:rsidR="00D36B87" w:rsidRDefault="00D36B87" w:rsidP="001C7EA9">
      <w:pPr>
        <w:spacing w:line="360" w:lineRule="auto"/>
        <w:ind w:firstLine="720"/>
        <w:jc w:val="both"/>
      </w:pPr>
      <w:r>
        <w:t>В «свободном плавании» находятся валюты США, Канады, Великобритании, Японии, Швейцари</w:t>
      </w:r>
      <w:r w:rsidR="000E27A2">
        <w:t>и, ряда других стран и стран Европейской валютной системы</w:t>
      </w:r>
      <w:r w:rsidR="001C7EA9">
        <w:t xml:space="preserve"> (ЕВС)</w:t>
      </w:r>
      <w:r w:rsidR="000E27A2">
        <w:t>. Однако центральные банки этих стран часто поддерживают валюты при резких колебаниях их курсов. Именно поэтому существует «управляемое», или «грязное», плавание валютных курсов. Так, центральные банки США, Канады и ЕЦБ для выравнивания краткосрочных колебаний курсов своих валют поводят валютные интервенции, а другие изменяют структур</w:t>
      </w:r>
      <w:r w:rsidR="001C7EA9">
        <w:t xml:space="preserve">у своих золотовалютных резервов </w:t>
      </w:r>
      <w:r w:rsidR="000E66F8" w:rsidRPr="00E818F4">
        <w:t>[</w:t>
      </w:r>
      <w:r w:rsidR="00E818F4" w:rsidRPr="00E818F4">
        <w:t>1. С.</w:t>
      </w:r>
      <w:r w:rsidR="000E66F8" w:rsidRPr="00E818F4">
        <w:t>391-392].</w:t>
      </w:r>
    </w:p>
    <w:p w:rsidR="000E27A2" w:rsidRDefault="000E27A2" w:rsidP="001C7EA9">
      <w:pPr>
        <w:spacing w:line="360" w:lineRule="auto"/>
        <w:ind w:firstLine="720"/>
        <w:jc w:val="both"/>
      </w:pPr>
      <w:r>
        <w:t>Смешанное плавание также имеет ряд разновидностей. Во-первых, это групповое плавание, которое было характерно для стран, входивших в Европейскую валютную систему. В этой валютной системе были установлены два режи</w:t>
      </w:r>
      <w:r w:rsidR="001C7EA9">
        <w:t>ма валютных курсов: внутренний – для операций между членами Сообщества, внешний – для операций с другими странами. Курсы валют Европейской валютной системы совместно «плавали» по отношению к любой другой валюте, не входящей в систему ЕВС. Кроме того, к этой категории валютных режимов принадлежит режим специального курса в странах ОПЕК. Саудовская Аравия, Объединенные Арабские Эмираты, Бахрейн и другие страны ОПЕК «привязали» курсы своих валют к цене на нефть. Развивающиеся страны обычно фиксируют курс собственной валюты к более сильной валюте или определяют е</w:t>
      </w:r>
      <w:r w:rsidR="005076DE">
        <w:t xml:space="preserve">го на базе скользящего паритета </w:t>
      </w:r>
      <w:r w:rsidR="005076DE" w:rsidRPr="00E818F4">
        <w:t>[1. С.392].</w:t>
      </w:r>
    </w:p>
    <w:p w:rsidR="000E66F8" w:rsidRDefault="000E66F8" w:rsidP="001C7EA9">
      <w:pPr>
        <w:spacing w:line="360" w:lineRule="auto"/>
        <w:ind w:firstLine="720"/>
        <w:jc w:val="both"/>
      </w:pPr>
      <w:r>
        <w:t>В целом развитые страны имеют курсы валют, находящиеся в чистом или групповом плавании. Определенную роль в современной МВС играют специальные права заимствования  ‒ СДР, которые стали мерой международной стоимости, важным резервным авуаром, одним из средств международных официальных расчетов. СДР – искусственно созданные международные резервные средства, предназначенные для урегулирования сальдо платежных балансов, пополнения официальных валютных резервов и расчетов с МВФ. Выделение СДР в распоряжение стран – членов МВФ не обусловлено предварительной передачей</w:t>
      </w:r>
      <w:r w:rsidR="008C59B7">
        <w:t xml:space="preserve"> ими Фонду валюты или предварительной продажей товаров и услуг. У СДР нет реального обеспечения, их использование основано на согласии стран – участниц системы СДР принимать эти резервные средства в обмен на конвертируемую валюту.</w:t>
      </w:r>
    </w:p>
    <w:p w:rsidR="008C59B7" w:rsidRDefault="008C59B7" w:rsidP="001C7EA9">
      <w:pPr>
        <w:spacing w:line="360" w:lineRule="auto"/>
        <w:ind w:firstLine="720"/>
        <w:jc w:val="both"/>
      </w:pPr>
      <w:r>
        <w:t>Соглашение о СДР явилось результатом длительной дискуссии о мерах по повышению международной ликвидности в связи с ослаблением двух основных резервных валют, доллара США и фунта стерлингов, сокращением официальных золотых запасов ведущих капиталистических стран, резким отставание роста золотовалютных резервов от темпов развития м</w:t>
      </w:r>
      <w:r w:rsidR="00AC09E2">
        <w:t>е</w:t>
      </w:r>
      <w:r>
        <w:t>ждународной торговли</w:t>
      </w:r>
      <w:r w:rsidR="00463CBC">
        <w:t xml:space="preserve"> </w:t>
      </w:r>
      <w:r w:rsidR="00463CBC" w:rsidRPr="00E818F4">
        <w:t>[</w:t>
      </w:r>
      <w:r w:rsidR="00E818F4" w:rsidRPr="00E818F4">
        <w:t>1. С.</w:t>
      </w:r>
      <w:r w:rsidR="00463CBC" w:rsidRPr="00E818F4">
        <w:t>392].</w:t>
      </w:r>
    </w:p>
    <w:p w:rsidR="00E265E6" w:rsidRDefault="00E265E6" w:rsidP="001C7EA9">
      <w:pPr>
        <w:spacing w:line="360" w:lineRule="auto"/>
        <w:ind w:firstLine="720"/>
        <w:jc w:val="both"/>
      </w:pPr>
      <w:r>
        <w:t xml:space="preserve">В соответствии с решением сессии МВФ </w:t>
      </w:r>
      <w:smartTag w:uri="urn:schemas-microsoft-com:office:smarttags" w:element="metricconverter">
        <w:smartTagPr>
          <w:attr w:name="ProductID" w:val="1969 г"/>
        </w:smartTagPr>
        <w:r>
          <w:t>1969 г</w:t>
        </w:r>
      </w:smartTag>
      <w:r>
        <w:t>. участниками системы СДР могут быть только страны – члены МВФ, которые проводят операции с СДР через образованный в структуре МВФ Департамент. В настоящее время все страны – члены МВФ являются его участниками</w:t>
      </w:r>
      <w:r w:rsidR="00D23CCE">
        <w:t>. При этом СДР функционируют только на официальном</w:t>
      </w:r>
      <w:r w:rsidR="00463CBC">
        <w:t>, межгосударственном уровне, на котором они вводятся в оборот центральными банками и международными организациями. Фонд не может выпускать СДР для самого себя или для других «уполномоченных держателей». Участниками системы СДР могут быть лишь страны – члены Фонда, и только они наделяются лимитами СДР. Частные лица, фирмы и коммерческие банки не могут быть держателями счетов СДР. Они могут использовать эту единицу только как счетную, например, выразить номинал ценной бумаги в СДР или указать контрактную сумму на поставку товара в этой единице. Однако расчеты должны производ</w:t>
      </w:r>
      <w:r w:rsidR="004018A0">
        <w:t xml:space="preserve">иться в каких-либо иных </w:t>
      </w:r>
      <w:r w:rsidR="004018A0" w:rsidRPr="00E818F4">
        <w:t>валютах [</w:t>
      </w:r>
      <w:r w:rsidR="00E818F4" w:rsidRPr="00E818F4">
        <w:t>1. С.</w:t>
      </w:r>
      <w:r w:rsidR="004018A0">
        <w:t>393</w:t>
      </w:r>
      <w:r w:rsidR="004018A0" w:rsidRPr="00135BA1">
        <w:t>]</w:t>
      </w:r>
      <w:r w:rsidR="004018A0">
        <w:t>.</w:t>
      </w:r>
    </w:p>
    <w:p w:rsidR="00464311" w:rsidRDefault="00464311" w:rsidP="001C7EA9">
      <w:pPr>
        <w:spacing w:line="360" w:lineRule="auto"/>
        <w:ind w:firstLine="720"/>
        <w:jc w:val="both"/>
      </w:pPr>
      <w:r>
        <w:t>МВФ наделен полномочиями создавать «безусловную ликвидность» путем выпуска в обращение средств, выраженных в СДР, для стран – участниц Департамента СДР. Эмиссия СДР осуществляется и в том случае, когда Исполнительный совет МВФ приходит к заключению, что на данном этапе имеется долговременный всеобщий недостаток ликвидных резервов и существует потребность в их пополнении. Оценка такой потребности определяет размеры выпуска СДР. Эмиссия СДР производиться в виде кредитовых записей на специальных счетах в МВФ. СДР распределяются между странами – членами МВФ</w:t>
      </w:r>
      <w:r w:rsidR="00E017AC">
        <w:t xml:space="preserve"> пропорционально величине их квот МВФ на момент выпуска. Сумма квоты для каждого государства – участника МВФ устанавливается в соответствии с объемом его национального дохода и размером внешнеторгового оборота, то есть чем богаче страна, чем выше ее квота в Фонде</w:t>
      </w:r>
      <w:r w:rsidR="005076DE">
        <w:t xml:space="preserve"> </w:t>
      </w:r>
      <w:r w:rsidR="005076DE" w:rsidRPr="00E818F4">
        <w:t>[</w:t>
      </w:r>
      <w:r w:rsidR="005076DE">
        <w:t>3</w:t>
      </w:r>
      <w:r w:rsidR="005076DE" w:rsidRPr="00E818F4">
        <w:t>. С.</w:t>
      </w:r>
      <w:r w:rsidR="005076DE">
        <w:t>205</w:t>
      </w:r>
      <w:r w:rsidR="005076DE" w:rsidRPr="00135BA1">
        <w:t>]</w:t>
      </w:r>
      <w:r w:rsidR="005076DE">
        <w:t>.</w:t>
      </w:r>
    </w:p>
    <w:p w:rsidR="00E017AC" w:rsidRDefault="00E017AC" w:rsidP="001C7EA9">
      <w:pPr>
        <w:spacing w:line="360" w:lineRule="auto"/>
        <w:ind w:firstLine="720"/>
        <w:jc w:val="both"/>
      </w:pPr>
      <w:r>
        <w:t>Вместе с тем получать, держать и использовать СДР помимо стран – участниц Фонда могут МВФ, а также – по решению Совета</w:t>
      </w:r>
      <w:r w:rsidR="00F03FF4">
        <w:t xml:space="preserve"> управляющих МВФ (принятому большинством не менее 85%) – страны, не являющиеся членами Фонда, международные и региональные банки, региональные валютные и другие фонды, национальные банки, которые получили статус «уполномоченных держателей». В середине </w:t>
      </w:r>
      <w:smartTag w:uri="urn:schemas-microsoft-com:office:smarttags" w:element="metricconverter">
        <w:smartTagPr>
          <w:attr w:name="ProductID" w:val="1986 г"/>
        </w:smartTagPr>
        <w:r w:rsidR="00F03FF4">
          <w:t>1986 г</w:t>
        </w:r>
      </w:smartTag>
      <w:r w:rsidR="00F03FF4">
        <w:t xml:space="preserve">. количество «держателей» СДР достигало 16 (в настоящее время – 15) , в том числе Банк Международных расчетов, Международный банк реконструкции и развития, Международный фонд развития сельского хозяйства, Швейцарский национальный банк и другие. В связи с резким ростом ликвидности международной валютной системы за счет накопления долларов из-за хронического дефицита платежного баланса США выпуски СДР не осуществлялись до </w:t>
      </w:r>
      <w:smartTag w:uri="urn:schemas-microsoft-com:office:smarttags" w:element="metricconverter">
        <w:smartTagPr>
          <w:attr w:name="ProductID" w:val="1979 г"/>
        </w:smartTagPr>
        <w:r w:rsidR="00F03FF4">
          <w:t>1979 г</w:t>
        </w:r>
      </w:smartTag>
      <w:r w:rsidR="00F03FF4">
        <w:t xml:space="preserve">. В последующие три года (1979-1981 гг.) состоялось второе распределение СДР по 4 </w:t>
      </w:r>
      <w:r w:rsidR="00D4396C">
        <w:t>млрд.</w:t>
      </w:r>
      <w:r w:rsidR="00F03FF4">
        <w:t xml:space="preserve"> в год. В результате общая сумма распределенных</w:t>
      </w:r>
      <w:r w:rsidR="00DE56C8">
        <w:t xml:space="preserve"> СДР среди стран – участниц составила за весь период действия системы 21,4 </w:t>
      </w:r>
      <w:r w:rsidR="00D4396C">
        <w:t>млрд.</w:t>
      </w:r>
      <w:r w:rsidR="00DE56C8">
        <w:t xml:space="preserve"> СДР, или 5,5% всех мировых валютных резервов </w:t>
      </w:r>
      <w:smartTag w:uri="urn:schemas-microsoft-com:office:smarttags" w:element="metricconverter">
        <w:smartTagPr>
          <w:attr w:name="ProductID" w:val="1981 г"/>
        </w:smartTagPr>
        <w:r w:rsidR="00DE56C8">
          <w:t>1981 г</w:t>
        </w:r>
      </w:smartTag>
      <w:r w:rsidR="00DE56C8">
        <w:t xml:space="preserve">., не считая золота. При этом промышленно развитые страны получили более </w:t>
      </w:r>
      <w:r w:rsidR="00DE56C8" w:rsidRPr="00DE56C8">
        <w:rPr>
          <w:sz w:val="20"/>
          <w:szCs w:val="20"/>
        </w:rPr>
        <w:t>2</w:t>
      </w:r>
      <w:r w:rsidR="00DE56C8">
        <w:t>/</w:t>
      </w:r>
      <w:r w:rsidR="00DE56C8" w:rsidRPr="00DE56C8">
        <w:rPr>
          <w:sz w:val="20"/>
          <w:szCs w:val="20"/>
        </w:rPr>
        <w:t>3</w:t>
      </w:r>
      <w:r w:rsidR="00DE56C8">
        <w:rPr>
          <w:sz w:val="20"/>
          <w:szCs w:val="20"/>
        </w:rPr>
        <w:t xml:space="preserve"> </w:t>
      </w:r>
      <w:r w:rsidR="00DE56C8">
        <w:t>общей суммы распределенных СДР, в том числе США – 23%, или столько же, сколько 100 развивающихся стран. В связи с ухудшением экономического и финансового положения освободившихся государств в первой половине 1980-х гг. они неоднократно выступали с требованием о новых выпусках СДР, которые, однако, блокировались США и другими странами, располагающими большинством голосов в МВФ.</w:t>
      </w:r>
    </w:p>
    <w:p w:rsidR="00DE56C8" w:rsidRDefault="00DE56C8" w:rsidP="001C7EA9">
      <w:pPr>
        <w:spacing w:line="360" w:lineRule="auto"/>
        <w:ind w:firstLine="720"/>
        <w:jc w:val="both"/>
      </w:pPr>
      <w:r>
        <w:t xml:space="preserve">23 сентября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 Совет управляющих МВФ одобрил предложение Исполнительного совета</w:t>
      </w:r>
      <w:r w:rsidR="00D4396C">
        <w:t xml:space="preserve"> о внесении новой, четвертой по счету, поправки в статьи соглашения МВФ, которая позволила бы осуществить специальное одноразовое распределение СДР на сумму 21,4 млрд. (29,4 млрд. долларов). В результате этого общая сумма выпущенных СДР должна была удвоиться, составив 42,9 млрд. (около 59 млрд. долларов). Цель нового распределения СДР состояла в том, чтобы предоставить эти средства всем странам – членам и уравнять отношение сумм выделенных за все время СДР к их квотам (на уровне приблизительно 29,32% относительно действовавших на момент принятия данного решения квот). Это распределение СДР</w:t>
      </w:r>
      <w:r w:rsidR="00777A3E">
        <w:t xml:space="preserve"> рассматривалось как решение вопроса справедливости в отношении более чем </w:t>
      </w:r>
      <w:r w:rsidR="00777A3E">
        <w:rPr>
          <w:sz w:val="20"/>
          <w:szCs w:val="20"/>
        </w:rPr>
        <w:t>1</w:t>
      </w:r>
      <w:r w:rsidR="00777A3E" w:rsidRPr="00777A3E">
        <w:t>/</w:t>
      </w:r>
      <w:r w:rsidR="00777A3E" w:rsidRPr="00777A3E">
        <w:rPr>
          <w:sz w:val="20"/>
          <w:szCs w:val="20"/>
        </w:rPr>
        <w:t>5</w:t>
      </w:r>
      <w:r w:rsidR="00777A3E">
        <w:rPr>
          <w:sz w:val="20"/>
          <w:szCs w:val="20"/>
        </w:rPr>
        <w:t xml:space="preserve"> </w:t>
      </w:r>
      <w:r w:rsidR="00777A3E">
        <w:t xml:space="preserve">стран – членов МВФ, включая страны бывшего СССР, которые, вступив в Фонд после </w:t>
      </w:r>
      <w:smartTag w:uri="urn:schemas-microsoft-com:office:smarttags" w:element="metricconverter">
        <w:smartTagPr>
          <w:attr w:name="ProductID" w:val="1981 г"/>
        </w:smartTagPr>
        <w:r w:rsidR="00777A3E">
          <w:t>1981 г</w:t>
        </w:r>
      </w:smartTag>
      <w:r w:rsidR="00777A3E">
        <w:t xml:space="preserve">., то есть после последнего выпуска СДР, вообще их не получили в порядке распределения. Однако до сентября </w:t>
      </w:r>
      <w:smartTag w:uri="urn:schemas-microsoft-com:office:smarttags" w:element="metricconverter">
        <w:smartTagPr>
          <w:attr w:name="ProductID" w:val="2002 г"/>
        </w:smartTagPr>
        <w:r w:rsidR="00777A3E">
          <w:t>2002 г</w:t>
        </w:r>
      </w:smartTag>
      <w:r w:rsidR="00777A3E">
        <w:t>. указанная поправка к Уставу МВФ все еще не вступила в силу, поскольку она не получила одобрения требуемого числа стран – членов, прежде всего Соединенных  Штатов.</w:t>
      </w:r>
    </w:p>
    <w:p w:rsidR="007F4A0E" w:rsidRDefault="00777A3E" w:rsidP="00C31638">
      <w:pPr>
        <w:spacing w:line="360" w:lineRule="auto"/>
        <w:ind w:firstLine="720"/>
        <w:jc w:val="both"/>
      </w:pPr>
      <w:r>
        <w:t>Наличие у стран лимита СДР дает ей право приобретать в его пределах у другой страны в обмен на СДР конвертируемую валюту, которая затем используется ею для урегулирования дефицита платежного баланса и пополнения валютных резервов. Страны, имеющие лимиты СДР, не могут требовать, чтобы валюту предоставлял Фонд, за исключением двух случаев – их выхода из системы и ликвидации самой системы</w:t>
      </w:r>
      <w:r w:rsidR="004018A0">
        <w:t>. Страна – участница может выйти из системы СДР путем уведомления об этом МВФ. В этом случае взаимные финансовые претензии страны и Фонда, которые могли возникнуть в результате осуществления операций в СДР, должны быть ур</w:t>
      </w:r>
      <w:r w:rsidR="00C31638">
        <w:t>егулированы п</w:t>
      </w:r>
      <w:r w:rsidR="005076DE">
        <w:t xml:space="preserve">латежами валютой </w:t>
      </w:r>
      <w:r w:rsidR="005076DE" w:rsidRPr="00E818F4">
        <w:t>[</w:t>
      </w:r>
      <w:r w:rsidR="005076DE">
        <w:t>1</w:t>
      </w:r>
      <w:r w:rsidR="005076DE" w:rsidRPr="00E818F4">
        <w:t>. С.</w:t>
      </w:r>
      <w:r w:rsidR="005076DE">
        <w:t>394</w:t>
      </w:r>
      <w:r w:rsidR="005076DE" w:rsidRPr="00135BA1">
        <w:t>]</w:t>
      </w:r>
      <w:r w:rsidR="005076DE">
        <w:t>.</w:t>
      </w:r>
    </w:p>
    <w:p w:rsidR="00C31638" w:rsidRDefault="00C31638" w:rsidP="00C31638">
      <w:pPr>
        <w:spacing w:line="360" w:lineRule="auto"/>
        <w:ind w:firstLine="720"/>
        <w:jc w:val="both"/>
      </w:pPr>
      <w:r>
        <w:t>Фонд должен обеспечить для каждой страны участницы возможность получения валюты в обмен на СДР путем назначения стран-кредиторов, предоставляющих валюту. Страны-кредиторы назначаются Фондом из числа стран – участниц соглашения о СДР, имеющих положительные сальдо платежных балансов и крупные валютные резервы. Если назначенная страна не может предоставить валюту, Фонд называет другого кредитора. По соглашению страны-участницы обязаны предоставлять валюту в обмен на СДР в пределах двойной суммы своего лимита в СДР так, чтобы общая сумма СДР на их счете не превышала 300% суммы этого лимита. Однако по</w:t>
      </w:r>
      <w:r w:rsidR="00DF233A">
        <w:t xml:space="preserve"> </w:t>
      </w:r>
      <w:r>
        <w:t>договоренности</w:t>
      </w:r>
      <w:r w:rsidR="00DF233A">
        <w:t xml:space="preserve"> между странами-участницами и Фондом</w:t>
      </w:r>
      <w:r w:rsidR="005076DE">
        <w:t xml:space="preserve"> эта сумма может быть превышена</w:t>
      </w:r>
      <w:r w:rsidR="005076DE" w:rsidRPr="005076DE">
        <w:t xml:space="preserve"> </w:t>
      </w:r>
      <w:r w:rsidR="005076DE" w:rsidRPr="00E818F4">
        <w:t>[</w:t>
      </w:r>
      <w:r w:rsidR="00F76AA8">
        <w:t>3</w:t>
      </w:r>
      <w:r w:rsidR="005076DE" w:rsidRPr="00E818F4">
        <w:t>. С.</w:t>
      </w:r>
      <w:r w:rsidR="00F76AA8">
        <w:t>206</w:t>
      </w:r>
      <w:r w:rsidR="005076DE" w:rsidRPr="00135BA1">
        <w:t>]</w:t>
      </w:r>
      <w:r w:rsidR="005076DE">
        <w:t>.</w:t>
      </w:r>
    </w:p>
    <w:p w:rsidR="004E475F" w:rsidRDefault="00DF233A" w:rsidP="00C31638">
      <w:pPr>
        <w:spacing w:line="360" w:lineRule="auto"/>
        <w:ind w:firstLine="720"/>
        <w:jc w:val="both"/>
      </w:pPr>
      <w:r>
        <w:t xml:space="preserve">Кроме операций с назначенными странами-кредиторами, Фонд разрешил использование СДР по договоренности между странами-участницами, между этими странами и странами-участницами и другими держателями СДР при погашении странами обязательств перед МВФ и в некоторых других случаях. За период с первого распределения СДР в </w:t>
      </w:r>
      <w:smartTag w:uri="urn:schemas-microsoft-com:office:smarttags" w:element="metricconverter">
        <w:smartTagPr>
          <w:attr w:name="ProductID" w:val="1970 г"/>
        </w:smartTagPr>
        <w:r>
          <w:t>1970 г</w:t>
        </w:r>
      </w:smartTag>
      <w:r>
        <w:t xml:space="preserve">.  по 30 апреля </w:t>
      </w:r>
      <w:smartTag w:uri="urn:schemas-microsoft-com:office:smarttags" w:element="metricconverter">
        <w:smartTagPr>
          <w:attr w:name="ProductID" w:val="2001 г"/>
        </w:smartTagPr>
        <w:r>
          <w:t>2001 г</w:t>
        </w:r>
      </w:smartTag>
      <w:r>
        <w:t>. общий объем операций в СДР составил 433,1 млрд. СДР (по курсу на 30.04.2001 г. – 548,2 млрд. долларов). При этом на расчеты стран-участниц между собой и с другими «уполномоченными держателями» пришлось только 172,4 млрд. СДР (39,8 % общей суммы), в том числе на сделки «по взаимной договоренности», в которых СДР наиболее последовательно</w:t>
      </w:r>
      <w:r w:rsidR="004E475F">
        <w:t xml:space="preserve"> реализуют себя как средство компенсации дефицита платежных балансов, - 119,6 млрд. СДР (151,4 млрд. долларов). Эти показатели весьма далеко отстают от масштабов операций мирового валютного рынка, только суточный оборот которого в апреле </w:t>
      </w:r>
      <w:smartTag w:uri="urn:schemas-microsoft-com:office:smarttags" w:element="metricconverter">
        <w:smartTagPr>
          <w:attr w:name="ProductID" w:val="1998 г"/>
        </w:smartTagPr>
        <w:r w:rsidR="004E475F">
          <w:t>1998 г</w:t>
        </w:r>
      </w:smartTag>
      <w:r w:rsidR="004E475F">
        <w:t>. в валютном исчислении достигал 2,5 трлн. долларов. В связи с введение СДР Фонд открыл дополнительно к «Общему счету», по которому он проводит все операции, также «Счет специальных прав за</w:t>
      </w:r>
      <w:r w:rsidR="005076DE">
        <w:t xml:space="preserve">имствования» для операций в СДР </w:t>
      </w:r>
      <w:r w:rsidR="005076DE" w:rsidRPr="005076DE">
        <w:t xml:space="preserve"> </w:t>
      </w:r>
      <w:r w:rsidR="005076DE" w:rsidRPr="00E818F4">
        <w:t>[</w:t>
      </w:r>
      <w:r w:rsidR="005076DE">
        <w:t>13</w:t>
      </w:r>
      <w:r w:rsidR="005076DE" w:rsidRPr="00E818F4">
        <w:t>. С.</w:t>
      </w:r>
      <w:r w:rsidR="005076DE">
        <w:t>58</w:t>
      </w:r>
      <w:r w:rsidR="005076DE" w:rsidRPr="00135BA1">
        <w:t>]</w:t>
      </w:r>
      <w:r w:rsidR="005076DE">
        <w:t>.</w:t>
      </w:r>
    </w:p>
    <w:p w:rsidR="00DF233A" w:rsidRDefault="004E475F" w:rsidP="00C31638">
      <w:pPr>
        <w:spacing w:line="360" w:lineRule="auto"/>
        <w:ind w:firstLine="720"/>
        <w:jc w:val="both"/>
      </w:pPr>
      <w:r>
        <w:t xml:space="preserve">Страна – владелец СДР получает проценты с суммы, превышающей ее лимит СДР. 1 июля </w:t>
      </w:r>
      <w:smartTag w:uri="urn:schemas-microsoft-com:office:smarttags" w:element="metricconverter">
        <w:smartTagPr>
          <w:attr w:name="ProductID" w:val="1974 г"/>
        </w:smartTagPr>
        <w:r>
          <w:t>1974 г</w:t>
        </w:r>
      </w:smartTag>
      <w:r>
        <w:t>. Фонд повысил процентную ставку по СДР с 1,5 до 5 % и в дальнейшем периодически пересматривал ее с учетом уровня проце</w:t>
      </w:r>
      <w:r w:rsidR="005076DE">
        <w:t xml:space="preserve">нтных ставок на денежных рынках        </w:t>
      </w:r>
      <w:r w:rsidR="005076DE" w:rsidRPr="00E818F4">
        <w:t>[</w:t>
      </w:r>
      <w:r w:rsidR="005076DE">
        <w:t>3</w:t>
      </w:r>
      <w:r w:rsidR="005076DE" w:rsidRPr="00E818F4">
        <w:t>. С.</w:t>
      </w:r>
      <w:r w:rsidR="005076DE">
        <w:t>206</w:t>
      </w:r>
      <w:r w:rsidR="005076DE" w:rsidRPr="00135BA1">
        <w:t>]</w:t>
      </w:r>
      <w:r w:rsidR="005076DE">
        <w:t>.</w:t>
      </w:r>
    </w:p>
    <w:p w:rsidR="004E475F" w:rsidRDefault="004E475F" w:rsidP="00C31638">
      <w:pPr>
        <w:spacing w:line="360" w:lineRule="auto"/>
        <w:ind w:firstLine="720"/>
        <w:jc w:val="both"/>
      </w:pPr>
      <w:r>
        <w:t xml:space="preserve">В Уставе МВФ первоначально было зафиксировано золотое содержание единицы СДР, равное </w:t>
      </w:r>
      <w:smartTag w:uri="urn:schemas-microsoft-com:office:smarttags" w:element="metricconverter">
        <w:smartTagPr>
          <w:attr w:name="ProductID" w:val="0,888671 г"/>
        </w:smartTagPr>
        <w:r>
          <w:t>0,888671 г</w:t>
        </w:r>
      </w:smartTag>
      <w:r>
        <w:t xml:space="preserve"> чистого золота, что соответствовало золотому содержанию</w:t>
      </w:r>
      <w:r w:rsidR="00601CDF">
        <w:t xml:space="preserve"> доллара США и соотношению 1 доллар = 1 СДР. «Стоимость» СДР в других валютах изменялась в зависимости от рыночного колебания курсов этих валют по отношению к доллару США. В результате девальвации доллара США в декабре </w:t>
      </w:r>
      <w:smartTag w:uri="urn:schemas-microsoft-com:office:smarttags" w:element="metricconverter">
        <w:smartTagPr>
          <w:attr w:name="ProductID" w:val="1971 г"/>
        </w:smartTagPr>
        <w:r w:rsidR="00601CDF">
          <w:t>1971 г</w:t>
        </w:r>
      </w:smartTag>
      <w:r w:rsidR="00601CDF">
        <w:t xml:space="preserve">. его соотношение с СДР было установлено в 1,08571 доллар за 1 СДР; после второй девальвации доллара, в феврале </w:t>
      </w:r>
      <w:smartTag w:uri="urn:schemas-microsoft-com:office:smarttags" w:element="metricconverter">
        <w:smartTagPr>
          <w:attr w:name="ProductID" w:val="1973 г"/>
        </w:smartTagPr>
        <w:r w:rsidR="00601CDF">
          <w:t>1973 г</w:t>
        </w:r>
      </w:smartTag>
      <w:r w:rsidR="00601CDF">
        <w:t xml:space="preserve">.  его стоимость понизилась до 1,20635 долларов за 1 СДР. С 1 июля </w:t>
      </w:r>
      <w:smartTag w:uri="urn:schemas-microsoft-com:office:smarttags" w:element="metricconverter">
        <w:smartTagPr>
          <w:attr w:name="ProductID" w:val="1974 г"/>
        </w:smartTagPr>
        <w:r w:rsidR="00601CDF">
          <w:t>1974 г</w:t>
        </w:r>
      </w:smartTag>
      <w:r w:rsidR="00601CDF">
        <w:t>. Фонд ввел в действие новый метод определения «стоимости» СДР, который основывался на стоимости ряда валют, взятых в определенных пропорциях и известных под названием «стандартной корзины» (стандартного набора валют). В корзину были включены валюты 16 стран</w:t>
      </w:r>
      <w:r w:rsidR="000B47BC">
        <w:t>, доля каждой из которых в мировом экспорте  товаров и услуг составила в период 1968-1972 гг. в среднем более 1% Удельный вес каждой валюты в корзине примерно соответствовал доле страны в объеме мирового экспорта, но был с</w:t>
      </w:r>
      <w:r w:rsidR="00EA1547">
        <w:t>корректиро</w:t>
      </w:r>
      <w:r w:rsidR="000B47BC">
        <w:t>ван с учетом значения валюты в мировой экономике</w:t>
      </w:r>
      <w:r w:rsidR="00EA1547">
        <w:t xml:space="preserve">. На базе этих удельных весов и использования среднего валютного курса за предшествовавшие три месяца было рассчитано 28 июня </w:t>
      </w:r>
      <w:smartTag w:uri="urn:schemas-microsoft-com:office:smarttags" w:element="metricconverter">
        <w:smartTagPr>
          <w:attr w:name="ProductID" w:val="1974 г"/>
        </w:smartTagPr>
        <w:r w:rsidR="00EA1547">
          <w:t>1974 г</w:t>
        </w:r>
      </w:smartTag>
      <w:r w:rsidR="00EA1547">
        <w:t>. количество единиц каждой из 16 валют в корзине, образующее так называемый валютный компонент. Например: для марки ФРГ расчет валютного компонента был произведен следующим образом:</w:t>
      </w:r>
    </w:p>
    <w:p w:rsidR="00EA1547" w:rsidRDefault="00EA1547" w:rsidP="00C31638">
      <w:pPr>
        <w:spacing w:line="360" w:lineRule="auto"/>
        <w:ind w:firstLine="720"/>
        <w:jc w:val="both"/>
      </w:pPr>
    </w:p>
    <w:p w:rsidR="00EA1547" w:rsidRDefault="00EA1547" w:rsidP="00EA1547">
      <w:pPr>
        <w:spacing w:line="360" w:lineRule="auto"/>
        <w:ind w:firstLine="720"/>
        <w:jc w:val="both"/>
      </w:pPr>
      <w:r>
        <w:t>0,125 (удельный вес   ×   1,20635 (прежняя   ×  2,50 (средний курс   = 0,38 (валютный</w:t>
      </w:r>
      <w:r w:rsidR="007C50AE">
        <w:t xml:space="preserve">    (1)</w:t>
      </w:r>
    </w:p>
    <w:p w:rsidR="00EA1547" w:rsidRDefault="00EA1547" w:rsidP="00C31638">
      <w:pPr>
        <w:spacing w:line="360" w:lineRule="auto"/>
        <w:ind w:firstLine="720"/>
        <w:jc w:val="both"/>
      </w:pPr>
      <w:r>
        <w:t>валюты в корзине)           «стоимость» СДР       марки к доллару за       компонент).</w:t>
      </w:r>
    </w:p>
    <w:p w:rsidR="00EA1547" w:rsidRDefault="00EA1547" w:rsidP="00EA1547">
      <w:pPr>
        <w:tabs>
          <w:tab w:val="left" w:pos="3375"/>
        </w:tabs>
        <w:spacing w:line="360" w:lineRule="auto"/>
        <w:ind w:firstLine="720"/>
        <w:jc w:val="both"/>
      </w:pPr>
      <w:r>
        <w:tab/>
        <w:t xml:space="preserve">в долларах США)      последние три </w:t>
      </w:r>
    </w:p>
    <w:p w:rsidR="007F4A0E" w:rsidRDefault="00EA1547" w:rsidP="00EA1547">
      <w:pPr>
        <w:tabs>
          <w:tab w:val="left" w:pos="5610"/>
        </w:tabs>
        <w:spacing w:line="360" w:lineRule="auto"/>
        <w:jc w:val="both"/>
      </w:pPr>
      <w:r>
        <w:tab/>
        <w:t>месяца)</w:t>
      </w:r>
    </w:p>
    <w:p w:rsidR="007F4A0E" w:rsidRDefault="007F4A0E" w:rsidP="002A72A4">
      <w:pPr>
        <w:spacing w:line="360" w:lineRule="auto"/>
        <w:jc w:val="both"/>
      </w:pPr>
    </w:p>
    <w:p w:rsidR="007F4A0E" w:rsidRDefault="007F4A0E" w:rsidP="002A72A4">
      <w:pPr>
        <w:spacing w:line="360" w:lineRule="auto"/>
        <w:jc w:val="both"/>
      </w:pPr>
    </w:p>
    <w:p w:rsidR="00BD2881" w:rsidRDefault="00EA1547" w:rsidP="00BD2881">
      <w:pPr>
        <w:spacing w:line="360" w:lineRule="auto"/>
        <w:ind w:firstLine="720"/>
        <w:jc w:val="both"/>
      </w:pPr>
      <w:r>
        <w:t>Аналогичным способом были исчислены валютные компоненты других валют. «Стоимость СДР в долларах США была определена как сумма долларовых эквивалентов</w:t>
      </w:r>
      <w:r w:rsidR="001C4574">
        <w:t xml:space="preserve"> для каждого валютного компонента</w:t>
      </w:r>
      <w:r w:rsidR="002C5CEB">
        <w:t xml:space="preserve">; в то же время на дату расчета 1,20635 долларов. В последствии она ежедневно колебалась. С 1 июля </w:t>
      </w:r>
      <w:smartTag w:uri="urn:schemas-microsoft-com:office:smarttags" w:element="metricconverter">
        <w:smartTagPr>
          <w:attr w:name="ProductID" w:val="1978 г"/>
        </w:smartTagPr>
        <w:r w:rsidR="002C5CEB">
          <w:t>1978 г</w:t>
        </w:r>
      </w:smartTag>
      <w:r w:rsidR="002C5CEB">
        <w:t>. состав корзины был несколько скорректирован с целью учета изменений, произошедших на валютных рынках в связи с усилением р</w:t>
      </w:r>
      <w:r w:rsidR="005E209B">
        <w:t xml:space="preserve">оли валют нефтедобывающих стран </w:t>
      </w:r>
      <w:r w:rsidR="005E209B" w:rsidRPr="00E818F4">
        <w:t>[</w:t>
      </w:r>
      <w:r w:rsidR="005E209B">
        <w:t>1</w:t>
      </w:r>
      <w:r w:rsidR="005E209B" w:rsidRPr="00E818F4">
        <w:t>. С.</w:t>
      </w:r>
      <w:r w:rsidR="005E209B">
        <w:t>395</w:t>
      </w:r>
      <w:r w:rsidR="005E209B" w:rsidRPr="00135BA1">
        <w:t>]</w:t>
      </w:r>
      <w:r w:rsidR="005E209B">
        <w:t>.</w:t>
      </w:r>
    </w:p>
    <w:p w:rsidR="00BD2881" w:rsidRDefault="002C5CEB" w:rsidP="00BD2881">
      <w:pPr>
        <w:spacing w:line="360" w:lineRule="auto"/>
        <w:ind w:firstLine="720"/>
        <w:jc w:val="both"/>
      </w:pPr>
      <w:r>
        <w:t xml:space="preserve">С 1 января </w:t>
      </w:r>
      <w:smartTag w:uri="urn:schemas-microsoft-com:office:smarttags" w:element="metricconverter">
        <w:smartTagPr>
          <w:attr w:name="ProductID" w:val="1981 г"/>
        </w:smartTagPr>
        <w:r>
          <w:t>1981 г</w:t>
        </w:r>
      </w:smartTag>
      <w:r>
        <w:t xml:space="preserve">. МВФ упростил формулу расчета «стоимости» СДР, сократив число валют в корзине с 16 до 5 важнейших валют – доллара США, марки ФРГ, французского франка, иены и фунта стерлингов. При очередном пересмотре корзины СДР с 1 января </w:t>
      </w:r>
      <w:smartTag w:uri="urn:schemas-microsoft-com:office:smarttags" w:element="metricconverter">
        <w:smartTagPr>
          <w:attr w:name="ProductID" w:val="1986 г"/>
        </w:smartTagPr>
        <w:r>
          <w:t>1986 г</w:t>
        </w:r>
      </w:smartTag>
      <w:r>
        <w:t xml:space="preserve">. повышен удельный вес иены в этой корзине. При пересмотре в 1991 и 1996 гг. удельный вес валют в основном сохранился. В связи с введение евро «стандартная корзина» была изменена в </w:t>
      </w:r>
      <w:smartTag w:uri="urn:schemas-microsoft-com:office:smarttags" w:element="metricconverter">
        <w:smartTagPr>
          <w:attr w:name="ProductID" w:val="2001 г"/>
        </w:smartTagPr>
        <w:r>
          <w:t>2001 г</w:t>
        </w:r>
      </w:smartTag>
      <w:r>
        <w:t>. (см. Приложение 1).</w:t>
      </w:r>
    </w:p>
    <w:p w:rsidR="00BD2881" w:rsidRDefault="002C5CEB" w:rsidP="00BD2881">
      <w:pPr>
        <w:spacing w:line="360" w:lineRule="auto"/>
        <w:ind w:firstLine="720"/>
        <w:jc w:val="both"/>
      </w:pPr>
      <w:r>
        <w:t>Поскольку СДР не торгуют на валютных рынках</w:t>
      </w:r>
      <w:r w:rsidR="00BD2881">
        <w:t>, постольку она не имеет рыночной цены. Для определения цены СДР используют метод корзины четырех важнейших мировых валют (</w:t>
      </w:r>
      <w:r w:rsidR="00BD2881">
        <w:rPr>
          <w:lang w:val="en-US"/>
        </w:rPr>
        <w:t>USD</w:t>
      </w:r>
      <w:r w:rsidR="00BD2881" w:rsidRPr="00BD2881">
        <w:t xml:space="preserve">, </w:t>
      </w:r>
      <w:r w:rsidR="00BD2881">
        <w:rPr>
          <w:lang w:val="en-US"/>
        </w:rPr>
        <w:t>EUR</w:t>
      </w:r>
      <w:r w:rsidR="00BD2881" w:rsidRPr="00BD2881">
        <w:t xml:space="preserve">, </w:t>
      </w:r>
      <w:r w:rsidR="00BD2881">
        <w:rPr>
          <w:lang w:val="en-US"/>
        </w:rPr>
        <w:t>GBR</w:t>
      </w:r>
      <w:r w:rsidR="00BD2881" w:rsidRPr="00BD2881">
        <w:t xml:space="preserve">, </w:t>
      </w:r>
      <w:r w:rsidR="00BD2881">
        <w:rPr>
          <w:lang w:val="en-US"/>
        </w:rPr>
        <w:t>JPY</w:t>
      </w:r>
      <w:r w:rsidR="00BD2881">
        <w:t>). Каждой валюте присваивают свой относительный вес, для определения которого служат следующие показатели: 1) доля страны в мировом экспорте товаров и услуг; 2)  использование валюты в качестве резервного средства различными странами. Список и относительные веса валют пересматриваются каждые 5 лет на основе этих показателей.</w:t>
      </w:r>
    </w:p>
    <w:p w:rsidR="00BD2881" w:rsidRDefault="00BD2881" w:rsidP="00BD2881">
      <w:pPr>
        <w:spacing w:line="360" w:lineRule="auto"/>
        <w:ind w:firstLine="720"/>
        <w:jc w:val="both"/>
      </w:pPr>
      <w:r>
        <w:t xml:space="preserve">Каждый рабочий день МВФ производит переоценку курса СДР по валютной корзине с учетом рыночных курсов соответствующих валют по отношению к </w:t>
      </w:r>
      <w:r>
        <w:rPr>
          <w:lang w:val="en-US"/>
        </w:rPr>
        <w:t>USD</w:t>
      </w:r>
      <w:r w:rsidR="0088050E">
        <w:t>. В таблице 3</w:t>
      </w:r>
      <w:r>
        <w:t xml:space="preserve"> приведен пример расчета курса СДР.</w:t>
      </w:r>
    </w:p>
    <w:p w:rsidR="0088050E" w:rsidRDefault="0088050E" w:rsidP="0088050E">
      <w:pPr>
        <w:tabs>
          <w:tab w:val="left" w:pos="7965"/>
        </w:tabs>
        <w:spacing w:line="360" w:lineRule="auto"/>
        <w:ind w:firstLine="720"/>
        <w:jc w:val="both"/>
      </w:pPr>
      <w:r>
        <w:tab/>
        <w:t>Таблица 3</w:t>
      </w:r>
    </w:p>
    <w:p w:rsidR="00BA6025" w:rsidRPr="0088050E" w:rsidRDefault="00BA6025" w:rsidP="00BD2881">
      <w:pPr>
        <w:spacing w:line="360" w:lineRule="auto"/>
        <w:ind w:firstLine="720"/>
        <w:jc w:val="both"/>
        <w:rPr>
          <w:b/>
        </w:rPr>
      </w:pPr>
      <w:r w:rsidRPr="0088050E">
        <w:rPr>
          <w:b/>
        </w:rPr>
        <w:t xml:space="preserve">Пример для определения стоимости СДР (на 15 марта </w:t>
      </w:r>
      <w:smartTag w:uri="urn:schemas-microsoft-com:office:smarttags" w:element="metricconverter">
        <w:smartTagPr>
          <w:attr w:name="ProductID" w:val="2001 г"/>
        </w:smartTagPr>
        <w:r w:rsidRPr="0088050E">
          <w:rPr>
            <w:b/>
          </w:rPr>
          <w:t>2001 г</w:t>
        </w:r>
      </w:smartTag>
      <w:r w:rsidRPr="0088050E">
        <w:rPr>
          <w:b/>
        </w:rPr>
        <w:t>.)</w:t>
      </w:r>
      <w:r w:rsidR="005E209B" w:rsidRPr="005E209B">
        <w:t xml:space="preserve"> </w:t>
      </w:r>
      <w:r w:rsidR="005E209B">
        <w:t>[1. С.397</w:t>
      </w:r>
      <w:r w:rsidR="005E209B" w:rsidRPr="00135BA1">
        <w:t>]</w:t>
      </w:r>
      <w:r w:rsidR="005E209B">
        <w:t>.</w:t>
      </w:r>
    </w:p>
    <w:tbl>
      <w:tblPr>
        <w:tblW w:w="9020" w:type="dxa"/>
        <w:tblInd w:w="93" w:type="dxa"/>
        <w:tblLook w:val="0000" w:firstRow="0" w:lastRow="0" w:firstColumn="0" w:lastColumn="0" w:noHBand="0" w:noVBand="0"/>
      </w:tblPr>
      <w:tblGrid>
        <w:gridCol w:w="1700"/>
        <w:gridCol w:w="2815"/>
        <w:gridCol w:w="1645"/>
        <w:gridCol w:w="2860"/>
      </w:tblGrid>
      <w:tr w:rsidR="00BA6025">
        <w:trPr>
          <w:trHeight w:val="31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025" w:rsidRDefault="00BA60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025" w:rsidRDefault="00BA60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Отосительный вес, d</w:t>
            </w:r>
            <w:r w:rsidR="00882067" w:rsidRPr="00882067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025" w:rsidRDefault="008820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SR</w:t>
            </w:r>
            <w:r w:rsidRPr="00882067">
              <w:rPr>
                <w:b/>
                <w:bCs/>
                <w:sz w:val="20"/>
                <w:szCs w:val="20"/>
              </w:rPr>
              <w:t>i</w:t>
            </w:r>
            <w:r>
              <w:rPr>
                <w:b/>
                <w:bCs/>
              </w:rPr>
              <w:t xml:space="preserve"> </w:t>
            </w:r>
            <w:r w:rsidR="00BA6025">
              <w:rPr>
                <w:b/>
                <w:bCs/>
              </w:rPr>
              <w:t>(USD)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025" w:rsidRDefault="00BA60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Эквивалент в USD</w:t>
            </w:r>
          </w:p>
        </w:tc>
      </w:tr>
      <w:tr w:rsidR="00BA6025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025" w:rsidRDefault="00BA6025">
            <w:pPr>
              <w:jc w:val="center"/>
            </w:pPr>
            <w:r>
              <w:t>EUR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025" w:rsidRDefault="00BA6025">
            <w:pPr>
              <w:jc w:val="center"/>
            </w:pPr>
            <w:r>
              <w:t>0,29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025" w:rsidRDefault="00BA6025">
            <w:pPr>
              <w:jc w:val="center"/>
            </w:pPr>
            <w:r>
              <w:t>0,91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025" w:rsidRDefault="00BA6025">
            <w:pPr>
              <w:jc w:val="center"/>
            </w:pPr>
            <w:r>
              <w:t>0,39</w:t>
            </w:r>
          </w:p>
        </w:tc>
      </w:tr>
      <w:tr w:rsidR="00BA6025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025" w:rsidRDefault="00BA6025">
            <w:pPr>
              <w:jc w:val="center"/>
            </w:pPr>
            <w:r>
              <w:t>JPY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025" w:rsidRDefault="00BA6025">
            <w:pPr>
              <w:jc w:val="center"/>
            </w:pPr>
            <w:r>
              <w:t>21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025" w:rsidRDefault="00BA6025">
            <w:pPr>
              <w:jc w:val="center"/>
            </w:pPr>
            <w:r>
              <w:t>121,68</w:t>
            </w:r>
            <w:r w:rsidR="00E744D7">
              <w:rPr>
                <w:rStyle w:val="a5"/>
              </w:rPr>
              <w:footnoteReference w:id="3"/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025" w:rsidRDefault="00BA6025">
            <w:pPr>
              <w:jc w:val="center"/>
            </w:pPr>
            <w:r>
              <w:t>0,17</w:t>
            </w:r>
          </w:p>
        </w:tc>
      </w:tr>
      <w:tr w:rsidR="00BA6025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025" w:rsidRDefault="00BA6025">
            <w:pPr>
              <w:jc w:val="center"/>
            </w:pPr>
            <w:r>
              <w:t>GBP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025" w:rsidRDefault="00BA6025">
            <w:pPr>
              <w:jc w:val="center"/>
            </w:pPr>
            <w:r>
              <w:t>0,1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025" w:rsidRDefault="00BA6025">
            <w:pPr>
              <w:jc w:val="center"/>
            </w:pPr>
            <w:r>
              <w:t>1,44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025" w:rsidRDefault="00BA6025">
            <w:pPr>
              <w:jc w:val="center"/>
            </w:pPr>
            <w:r>
              <w:t>0,14</w:t>
            </w:r>
          </w:p>
        </w:tc>
      </w:tr>
      <w:tr w:rsidR="00BA6025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6025" w:rsidRDefault="00BA6025">
            <w:pPr>
              <w:jc w:val="center"/>
            </w:pPr>
            <w:r>
              <w:t>USD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6025" w:rsidRDefault="00BA6025">
            <w:pPr>
              <w:jc w:val="center"/>
            </w:pPr>
            <w:r>
              <w:t>0,58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6025" w:rsidRDefault="00BA6025">
            <w:pPr>
              <w:jc w:val="center"/>
            </w:pPr>
            <w: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025" w:rsidRDefault="00BA6025">
            <w:pPr>
              <w:jc w:val="center"/>
            </w:pPr>
            <w:r>
              <w:t>0,58</w:t>
            </w:r>
          </w:p>
        </w:tc>
      </w:tr>
      <w:tr w:rsidR="00BA6025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025" w:rsidRDefault="00BA6025">
            <w:r>
              <w:t>Итого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025" w:rsidRDefault="00BA6025">
            <w: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025" w:rsidRDefault="00BA6025">
            <w: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025" w:rsidRDefault="00BA6025">
            <w:pPr>
              <w:jc w:val="center"/>
            </w:pPr>
            <w:r>
              <w:t>1,28</w:t>
            </w:r>
          </w:p>
        </w:tc>
      </w:tr>
    </w:tbl>
    <w:p w:rsidR="00882067" w:rsidRPr="00BD2881" w:rsidRDefault="00882067" w:rsidP="00882067">
      <w:pPr>
        <w:spacing w:line="360" w:lineRule="auto"/>
        <w:jc w:val="both"/>
      </w:pPr>
    </w:p>
    <w:p w:rsidR="002C5CEB" w:rsidRDefault="00BD2881" w:rsidP="00882067">
      <w:pPr>
        <w:spacing w:line="360" w:lineRule="auto"/>
        <w:ind w:firstLine="720"/>
        <w:jc w:val="both"/>
      </w:pPr>
      <w:r>
        <w:t xml:space="preserve"> </w:t>
      </w:r>
      <w:r w:rsidR="00882067">
        <w:t>Формула для определения курса СДР выглядит следующим образом:</w:t>
      </w:r>
    </w:p>
    <w:p w:rsidR="00882067" w:rsidRDefault="00882067" w:rsidP="00882067">
      <w:pPr>
        <w:spacing w:line="360" w:lineRule="auto"/>
        <w:ind w:firstLine="720"/>
        <w:jc w:val="both"/>
      </w:pPr>
    </w:p>
    <w:p w:rsidR="00882067" w:rsidRPr="007C50AE" w:rsidRDefault="00326350" w:rsidP="00326350">
      <w:pPr>
        <w:tabs>
          <w:tab w:val="left" w:pos="1980"/>
        </w:tabs>
        <w:spacing w:line="360" w:lineRule="auto"/>
        <w:ind w:firstLine="720"/>
        <w:jc w:val="both"/>
        <w:rPr>
          <w:lang w:val="en-US"/>
        </w:rPr>
      </w:pPr>
      <w:r>
        <w:tab/>
      </w:r>
      <w:r>
        <w:rPr>
          <w:lang w:val="en-US"/>
        </w:rPr>
        <w:t>SRsdr (USD) = ∑ d</w:t>
      </w:r>
      <w:r w:rsidRPr="00326350">
        <w:rPr>
          <w:sz w:val="16"/>
          <w:szCs w:val="16"/>
          <w:lang w:val="en-US"/>
        </w:rPr>
        <w:t>i</w:t>
      </w:r>
      <w:r>
        <w:rPr>
          <w:sz w:val="16"/>
          <w:szCs w:val="16"/>
          <w:lang w:val="en-US"/>
        </w:rPr>
        <w:t xml:space="preserve"> </w:t>
      </w:r>
      <w:r w:rsidRPr="00326350">
        <w:rPr>
          <w:lang w:val="en-US"/>
        </w:rPr>
        <w:t>× SD</w:t>
      </w:r>
      <w:r w:rsidRPr="00326350">
        <w:rPr>
          <w:sz w:val="16"/>
          <w:szCs w:val="16"/>
          <w:lang w:val="en-US"/>
        </w:rPr>
        <w:t>i</w:t>
      </w:r>
      <w:r>
        <w:rPr>
          <w:sz w:val="16"/>
          <w:szCs w:val="16"/>
          <w:lang w:val="en-US"/>
        </w:rPr>
        <w:t xml:space="preserve"> </w:t>
      </w:r>
      <w:r>
        <w:rPr>
          <w:lang w:val="en-US"/>
        </w:rPr>
        <w:t>(USD)</w:t>
      </w:r>
      <w:r w:rsidR="003303DB" w:rsidRPr="003303DB">
        <w:rPr>
          <w:lang w:val="en-US"/>
        </w:rPr>
        <w:t xml:space="preserve">, </w:t>
      </w:r>
      <w:r w:rsidR="007C50AE" w:rsidRPr="007C50AE">
        <w:rPr>
          <w:lang w:val="en-US"/>
        </w:rPr>
        <w:t xml:space="preserve">                                                              (2)</w:t>
      </w:r>
    </w:p>
    <w:p w:rsidR="007F4A0E" w:rsidRDefault="003303DB" w:rsidP="003303DB">
      <w:pPr>
        <w:tabs>
          <w:tab w:val="left" w:pos="1980"/>
        </w:tabs>
        <w:spacing w:line="360" w:lineRule="auto"/>
        <w:ind w:firstLine="720"/>
        <w:jc w:val="both"/>
      </w:pPr>
      <w:r>
        <w:t xml:space="preserve">где </w:t>
      </w:r>
      <w:r>
        <w:rPr>
          <w:lang w:val="en-US"/>
        </w:rPr>
        <w:t>d</w:t>
      </w:r>
      <w:r w:rsidRPr="003303DB">
        <w:rPr>
          <w:sz w:val="16"/>
          <w:szCs w:val="16"/>
          <w:lang w:val="en-US"/>
        </w:rPr>
        <w:t>i</w:t>
      </w:r>
      <w:r w:rsidRPr="003303DB">
        <w:rPr>
          <w:sz w:val="16"/>
          <w:szCs w:val="16"/>
        </w:rPr>
        <w:t xml:space="preserve"> </w:t>
      </w:r>
      <w:r w:rsidRPr="003303DB">
        <w:t xml:space="preserve"> </w:t>
      </w:r>
      <w:r>
        <w:t xml:space="preserve">- относительный вес валюты </w:t>
      </w:r>
      <w:r w:rsidRPr="003303DB">
        <w:rPr>
          <w:sz w:val="16"/>
          <w:szCs w:val="16"/>
          <w:lang w:val="en-US"/>
        </w:rPr>
        <w:t>i</w:t>
      </w:r>
      <w:r>
        <w:t>.</w:t>
      </w:r>
    </w:p>
    <w:p w:rsidR="003303DB" w:rsidRPr="003303DB" w:rsidRDefault="003303DB" w:rsidP="003303DB">
      <w:pPr>
        <w:tabs>
          <w:tab w:val="left" w:pos="1980"/>
        </w:tabs>
        <w:spacing w:line="360" w:lineRule="auto"/>
        <w:ind w:firstLine="720"/>
        <w:jc w:val="both"/>
      </w:pPr>
    </w:p>
    <w:p w:rsidR="007F4A0E" w:rsidRDefault="00882067" w:rsidP="002A72A4">
      <w:pPr>
        <w:spacing w:line="360" w:lineRule="auto"/>
        <w:jc w:val="both"/>
      </w:pPr>
      <w:r>
        <w:t>Он оп</w:t>
      </w:r>
      <w:r w:rsidR="00E744D7">
        <w:t>ределяется как произведение спот</w:t>
      </w:r>
      <w:r>
        <w:t xml:space="preserve">-курса СДР по </w:t>
      </w:r>
      <w:r>
        <w:rPr>
          <w:lang w:val="en-US"/>
        </w:rPr>
        <w:t>USD</w:t>
      </w:r>
      <w:r>
        <w:t xml:space="preserve"> на фиксированную дату (15 марта </w:t>
      </w:r>
      <w:smartTag w:uri="urn:schemas-microsoft-com:office:smarttags" w:element="metricconverter">
        <w:smartTagPr>
          <w:attr w:name="ProductID" w:val="2001 г"/>
        </w:smartTagPr>
        <w:r>
          <w:t>2001 г</w:t>
        </w:r>
      </w:smartTag>
      <w:r>
        <w:t>.)  на удельный вес данной валюты, установленной МВФ на ту же дату.</w:t>
      </w:r>
      <w:r w:rsidR="003303DB">
        <w:t xml:space="preserve"> Например, для доллара спот-курс составил 1,3 </w:t>
      </w:r>
      <w:r w:rsidR="003303DB">
        <w:rPr>
          <w:lang w:val="en-US"/>
        </w:rPr>
        <w:t>USD</w:t>
      </w:r>
      <w:r w:rsidR="003303DB">
        <w:t xml:space="preserve"> за 1 СДР, что с учетом его удельного веса из таблицы дает: 1,3 (0,45 = 0,585). Аналогично определены относительные веса других валют.</w:t>
      </w:r>
    </w:p>
    <w:p w:rsidR="003303DB" w:rsidRPr="003303DB" w:rsidRDefault="003303DB" w:rsidP="003303DB">
      <w:pPr>
        <w:spacing w:line="360" w:lineRule="auto"/>
        <w:ind w:firstLine="720"/>
        <w:jc w:val="both"/>
      </w:pPr>
      <w:r>
        <w:t xml:space="preserve">Использование метода корзины позволяет в определенной мере сглаживать курсовые колебания, которым подвержены курсы отдельных валют, и, </w:t>
      </w:r>
      <w:r w:rsidR="00E744D7">
        <w:t>следовательно, уменьшить курсовой риск. По этой причине СДР активно используется для деноминации финансовых активов не только самим МВФ, но и другими международными организациями, фирмами. СДР используют также и в многосторонних межгосударственных соглашениях в качестве счетной единицы.</w:t>
      </w:r>
    </w:p>
    <w:p w:rsidR="007F4A0E" w:rsidRDefault="007F4A0E" w:rsidP="002A72A4">
      <w:pPr>
        <w:spacing w:line="360" w:lineRule="auto"/>
        <w:jc w:val="both"/>
      </w:pPr>
    </w:p>
    <w:p w:rsidR="00B37D3D" w:rsidRDefault="00B37D3D" w:rsidP="00B37D3D">
      <w:pPr>
        <w:spacing w:before="100" w:beforeAutospacing="1" w:after="100" w:afterAutospacing="1"/>
        <w:jc w:val="both"/>
      </w:pPr>
      <w:r>
        <w:t xml:space="preserve"> </w:t>
      </w:r>
    </w:p>
    <w:p w:rsidR="001B50FF" w:rsidRDefault="001B50FF" w:rsidP="004018A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1B50FF" w:rsidRDefault="001B50FF" w:rsidP="004018A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882067" w:rsidRDefault="00882067" w:rsidP="00E744D7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E818F4" w:rsidRDefault="00E818F4" w:rsidP="00E744D7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F76AA8" w:rsidRDefault="00F76AA8" w:rsidP="00E744D7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F76AA8" w:rsidRDefault="00F76AA8" w:rsidP="00E744D7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F76AA8" w:rsidRDefault="00F76AA8" w:rsidP="00E744D7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F76AA8" w:rsidRDefault="00F76AA8" w:rsidP="00E744D7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F76AA8" w:rsidRDefault="00F76AA8" w:rsidP="00E744D7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F76AA8" w:rsidRDefault="00F76AA8" w:rsidP="00E744D7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F76AA8" w:rsidRDefault="00F76AA8" w:rsidP="00E744D7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F76AA8" w:rsidRDefault="00F76AA8" w:rsidP="00E744D7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F76AA8" w:rsidRDefault="00F76AA8" w:rsidP="00E744D7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F76AA8" w:rsidRDefault="00F76AA8" w:rsidP="00E744D7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F76AA8" w:rsidRDefault="00F76AA8" w:rsidP="00E744D7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F76AA8" w:rsidRDefault="00F76AA8" w:rsidP="00E744D7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F76AA8" w:rsidRDefault="00F76AA8" w:rsidP="00E744D7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F76AA8" w:rsidRDefault="00F76AA8" w:rsidP="00E744D7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F76AA8" w:rsidRDefault="00F76AA8" w:rsidP="00E744D7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F76AA8" w:rsidRDefault="00F76AA8" w:rsidP="00E744D7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F76AA8" w:rsidRDefault="00F76AA8" w:rsidP="00E744D7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E744D7" w:rsidRDefault="00D44675" w:rsidP="00E1784B">
      <w:pPr>
        <w:spacing w:line="360" w:lineRule="auto"/>
        <w:ind w:left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4. </w:t>
      </w:r>
      <w:r w:rsidR="00E744D7" w:rsidRPr="00836400">
        <w:rPr>
          <w:rFonts w:ascii="Arial" w:hAnsi="Arial" w:cs="Arial"/>
          <w:b/>
          <w:sz w:val="28"/>
          <w:szCs w:val="28"/>
        </w:rPr>
        <w:t>Проблемы Ямайской валютной системы</w:t>
      </w:r>
      <w:r w:rsidR="00E1784B">
        <w:rPr>
          <w:rFonts w:ascii="Arial" w:hAnsi="Arial" w:cs="Arial"/>
          <w:b/>
          <w:sz w:val="28"/>
          <w:szCs w:val="28"/>
        </w:rPr>
        <w:t xml:space="preserve"> </w:t>
      </w:r>
    </w:p>
    <w:p w:rsidR="00E1784B" w:rsidRPr="00E744D7" w:rsidRDefault="00E1784B" w:rsidP="00E1784B">
      <w:pPr>
        <w:spacing w:line="360" w:lineRule="auto"/>
        <w:ind w:left="360"/>
        <w:jc w:val="center"/>
        <w:rPr>
          <w:rFonts w:ascii="Arial" w:hAnsi="Arial" w:cs="Arial"/>
          <w:b/>
          <w:sz w:val="28"/>
          <w:szCs w:val="28"/>
        </w:rPr>
      </w:pPr>
    </w:p>
    <w:p w:rsidR="007F4A0E" w:rsidRDefault="004018A0" w:rsidP="004018A0">
      <w:pPr>
        <w:spacing w:line="360" w:lineRule="auto"/>
        <w:ind w:firstLine="720"/>
        <w:jc w:val="both"/>
      </w:pPr>
      <w:r>
        <w:t>Функционирование Ямайской валютной системы противоречиво. Ожидания, связанные с ведением плавающих валютных курсов, исполнились лишь частично. Одной из причин является разнообразие возможных вариантов действий стран – участниц, доступных им в рамках этой системы</w:t>
      </w:r>
      <w:r w:rsidR="00075446">
        <w:t xml:space="preserve">. Режимы обменных курсов в своем чистом виде </w:t>
      </w:r>
      <w:r w:rsidR="00C0179E">
        <w:t>не практикуются в течение длительного периода. Так, например, количество стран, привязавших свои валюты к доллару, за период с</w:t>
      </w:r>
      <w:r w:rsidR="005A0D9B">
        <w:t xml:space="preserve"> </w:t>
      </w:r>
      <w:r w:rsidR="00C0179E">
        <w:t xml:space="preserve">1982-2001 гг. уменьшилось с 38 до 20, а к СДР – с 11 до 5, а потом до 4. Следует отметить, если в </w:t>
      </w:r>
      <w:smartTag w:uri="urn:schemas-microsoft-com:office:smarttags" w:element="metricconverter">
        <w:smartTagPr>
          <w:attr w:name="ProductID" w:val="1982 г"/>
        </w:smartTagPr>
        <w:r w:rsidR="00C0179E">
          <w:t>1982 г</w:t>
        </w:r>
      </w:smartTag>
      <w:r w:rsidR="00C0179E">
        <w:t xml:space="preserve">. 8 стран осуществляли независимое плавание, то в </w:t>
      </w:r>
      <w:smartTag w:uri="urn:schemas-microsoft-com:office:smarttags" w:element="metricconverter">
        <w:smartTagPr>
          <w:attr w:name="ProductID" w:val="1994 г"/>
        </w:smartTagPr>
        <w:r w:rsidR="00C0179E">
          <w:t>1994 г</w:t>
        </w:r>
      </w:smartTag>
      <w:r w:rsidR="005A0D9B">
        <w:t>. – 52. с</w:t>
      </w:r>
      <w:r w:rsidR="00C0179E">
        <w:t>траны, объявившие о свободном плавании своих валют, поддерживали валютный курс с помощью интервенций, то есть вместо чистого плавания фактически осущ</w:t>
      </w:r>
      <w:r w:rsidR="00836400">
        <w:t xml:space="preserve">ествлялось управляемое </w:t>
      </w:r>
      <w:r w:rsidR="00836400" w:rsidRPr="00E818F4">
        <w:t>плавание [</w:t>
      </w:r>
      <w:r w:rsidR="00E818F4" w:rsidRPr="00E818F4">
        <w:t>1. С.</w:t>
      </w:r>
      <w:r w:rsidR="00836400" w:rsidRPr="00E818F4">
        <w:t>389].</w:t>
      </w:r>
    </w:p>
    <w:p w:rsidR="00C0179E" w:rsidRDefault="00C0179E" w:rsidP="004018A0">
      <w:pPr>
        <w:spacing w:line="360" w:lineRule="auto"/>
        <w:ind w:firstLine="720"/>
        <w:jc w:val="both"/>
      </w:pPr>
      <w:r>
        <w:t>Другой причиной является сохранение долларом США лидирующих позиций в Ямайской валютной системе. Объясняется это рядом обстоятельств:</w:t>
      </w:r>
    </w:p>
    <w:p w:rsidR="00C0179E" w:rsidRDefault="00C0179E" w:rsidP="00C0179E">
      <w:pPr>
        <w:numPr>
          <w:ilvl w:val="0"/>
          <w:numId w:val="22"/>
        </w:numPr>
        <w:spacing w:line="360" w:lineRule="auto"/>
        <w:jc w:val="both"/>
      </w:pPr>
      <w:r>
        <w:t>со времен Бреттонвудсской валютной системы сохранились значительные запасы долларов у частных лиц и правительств во всем мире;</w:t>
      </w:r>
    </w:p>
    <w:p w:rsidR="00C0179E" w:rsidRDefault="00C0179E" w:rsidP="00C0179E">
      <w:pPr>
        <w:numPr>
          <w:ilvl w:val="0"/>
          <w:numId w:val="22"/>
        </w:numPr>
        <w:spacing w:line="360" w:lineRule="auto"/>
        <w:jc w:val="both"/>
      </w:pPr>
      <w:r>
        <w:t>альтернативные к доллару,</w:t>
      </w:r>
      <w:r w:rsidR="001B50FF">
        <w:t xml:space="preserve"> признанные всеми резервные и трансакционные валюты будут постоянно в дефиците до тех пор, пока платежные балансы стран, валюты которых могут претендовать на эту роль (евро, Швейцария, Япония), имеют стабильные активные сальдо;</w:t>
      </w:r>
    </w:p>
    <w:p w:rsidR="007F4A0E" w:rsidRDefault="001B50FF" w:rsidP="002A72A4">
      <w:pPr>
        <w:numPr>
          <w:ilvl w:val="0"/>
          <w:numId w:val="22"/>
        </w:numPr>
        <w:spacing w:line="360" w:lineRule="auto"/>
        <w:jc w:val="both"/>
      </w:pPr>
      <w:r>
        <w:t>евродолларовые рынки создают доллары не зависимо от состояния платежного баланса США и тем самым способствуют снабжению мировой валютной системы необх</w:t>
      </w:r>
      <w:r w:rsidR="005E209B">
        <w:t>одимым средством для трансакций</w:t>
      </w:r>
      <w:r w:rsidR="005E209B" w:rsidRPr="005E209B">
        <w:t xml:space="preserve"> </w:t>
      </w:r>
      <w:r w:rsidR="00F76AA8">
        <w:t>[3. С.208</w:t>
      </w:r>
      <w:r w:rsidR="005E209B" w:rsidRPr="00135BA1">
        <w:t>]</w:t>
      </w:r>
      <w:r w:rsidR="005E209B">
        <w:t>.</w:t>
      </w:r>
    </w:p>
    <w:p w:rsidR="007F4A0E" w:rsidRDefault="00836400" w:rsidP="00E744D7">
      <w:pPr>
        <w:spacing w:line="360" w:lineRule="auto"/>
        <w:ind w:firstLine="720"/>
        <w:jc w:val="both"/>
      </w:pPr>
      <w:r>
        <w:t>Ямайская валютная система более гибко, чем Бреттонвудсская система, приспособилась к нестабильности платежных балансов и валютных курсов и новой расстановке сил в мире. Вместе с тем ее функционирование порождает ряд сложных проблем.</w:t>
      </w:r>
    </w:p>
    <w:p w:rsidR="007F4A0E" w:rsidRDefault="00CB5DDF" w:rsidP="00836400">
      <w:pPr>
        <w:spacing w:line="360" w:lineRule="auto"/>
        <w:ind w:firstLine="720"/>
        <w:jc w:val="both"/>
      </w:pPr>
      <w:r>
        <w:t xml:space="preserve">Для Ямайской валютной системы характерно сильное колебание валютного курса доллара США, что объясняется противоречивой экономической политикой США в форме экспансионистской фискальной и рестриктивной денежной политики. Это колебание доллара стало причиной многих валютных кризисов. Все эти обстоятельства показывают, что в условиях Ямайской валютной системы, во-первых, начала формироваться группировка стран, ориентированных на доллар (фактически ‒ новая долларовая зона), а во-вторых, Ямайская валютная система, вопреки задуманному, оказалась ассиметричной валютной группировкой. К тому же цели, поставленные перед ней при создании, должны были быть положены в ее фундамент, то есть сначала следовало добиться сбалансированности по инфляции, платежным балансам, что и создало бы основу этой системы. Что касается третьей цели – независимой </w:t>
      </w:r>
      <w:r w:rsidRPr="00E818F4">
        <w:t>внутренней денежной политики, ‒ то вряд ли ее реализация</w:t>
      </w:r>
      <w:r w:rsidR="005E49A1" w:rsidRPr="00E818F4">
        <w:t xml:space="preserve"> способствует развитию системного качества</w:t>
      </w:r>
      <w:r w:rsidR="00E40F9E" w:rsidRPr="00E818F4">
        <w:t xml:space="preserve"> [</w:t>
      </w:r>
      <w:r w:rsidR="00E818F4" w:rsidRPr="00E818F4">
        <w:t>1. С.</w:t>
      </w:r>
      <w:r w:rsidR="00E40F9E" w:rsidRPr="00E818F4">
        <w:t>398].</w:t>
      </w:r>
    </w:p>
    <w:p w:rsidR="00E40F9E" w:rsidRDefault="00E40F9E" w:rsidP="00836400">
      <w:pPr>
        <w:spacing w:line="360" w:lineRule="auto"/>
        <w:ind w:firstLine="720"/>
        <w:jc w:val="both"/>
      </w:pPr>
      <w:r>
        <w:t xml:space="preserve"> Идея СДР не получила сколь-либо значительного практического развития, и доля в общем объема валютного (без учета золота) сектора официальных резервов уменьшилась с 5,5% в конце </w:t>
      </w:r>
      <w:smartTag w:uri="urn:schemas-microsoft-com:office:smarttags" w:element="metricconverter">
        <w:smartTagPr>
          <w:attr w:name="ProductID" w:val="1975 г"/>
        </w:smartTagPr>
        <w:r>
          <w:t>1975 г</w:t>
        </w:r>
      </w:smartTag>
      <w:r>
        <w:t xml:space="preserve">. до 1,2% в конце </w:t>
      </w:r>
      <w:smartTag w:uri="urn:schemas-microsoft-com:office:smarttags" w:element="metricconverter">
        <w:smartTagPr>
          <w:attr w:name="ProductID" w:val="2000 г"/>
        </w:smartTagPr>
        <w:r>
          <w:t>2000 г</w:t>
        </w:r>
      </w:smartTag>
      <w:r>
        <w:t xml:space="preserve">. При оценке золота по рыночной цене в общем объема официальных международных ликвидных резервов доля СДР составляет мизерные 1,1% </w:t>
      </w:r>
      <w:r w:rsidR="00E818F4">
        <w:t xml:space="preserve">       </w:t>
      </w:r>
      <w:r w:rsidRPr="00E818F4">
        <w:t>[</w:t>
      </w:r>
      <w:r w:rsidR="00E818F4" w:rsidRPr="00E818F4">
        <w:t>13. С.</w:t>
      </w:r>
      <w:r w:rsidRPr="00E818F4">
        <w:t>59].</w:t>
      </w:r>
    </w:p>
    <w:p w:rsidR="00474022" w:rsidRDefault="00474022" w:rsidP="00836400">
      <w:pPr>
        <w:spacing w:line="360" w:lineRule="auto"/>
        <w:ind w:firstLine="720"/>
        <w:jc w:val="both"/>
      </w:pPr>
      <w:r>
        <w:t>Таким образом, функционирование Ямайской валютной системы пор</w:t>
      </w:r>
      <w:r w:rsidR="00C61B21">
        <w:t>о</w:t>
      </w:r>
      <w:r>
        <w:t>ждает ряд сложных проблем</w:t>
      </w:r>
      <w:r w:rsidR="00100461">
        <w:t>:</w:t>
      </w:r>
    </w:p>
    <w:p w:rsidR="00474022" w:rsidRDefault="00E1784B" w:rsidP="00474022">
      <w:pPr>
        <w:numPr>
          <w:ilvl w:val="0"/>
          <w:numId w:val="23"/>
        </w:numPr>
        <w:spacing w:line="360" w:lineRule="auto"/>
        <w:jc w:val="both"/>
      </w:pPr>
      <w:r>
        <w:t>о</w:t>
      </w:r>
      <w:r w:rsidRPr="00E1784B">
        <w:t>жидания, связанные с введением плавающих валютных ку</w:t>
      </w:r>
      <w:r>
        <w:t>рсов, исполнились лишь частично</w:t>
      </w:r>
      <w:r w:rsidR="00474022">
        <w:t>;</w:t>
      </w:r>
    </w:p>
    <w:p w:rsidR="00474022" w:rsidRDefault="00E1784B" w:rsidP="00474022">
      <w:pPr>
        <w:numPr>
          <w:ilvl w:val="0"/>
          <w:numId w:val="23"/>
        </w:numPr>
        <w:spacing w:line="360" w:lineRule="auto"/>
        <w:jc w:val="both"/>
      </w:pPr>
      <w:r>
        <w:t>сохране</w:t>
      </w:r>
      <w:r w:rsidRPr="00E1784B">
        <w:t xml:space="preserve">ние </w:t>
      </w:r>
      <w:r>
        <w:t>долларом США лидирующих позиций</w:t>
      </w:r>
      <w:r w:rsidR="00C61B21">
        <w:t>;</w:t>
      </w:r>
    </w:p>
    <w:p w:rsidR="00C61B21" w:rsidRDefault="00E1784B" w:rsidP="00C61B21">
      <w:pPr>
        <w:numPr>
          <w:ilvl w:val="0"/>
          <w:numId w:val="23"/>
        </w:numPr>
        <w:spacing w:line="360" w:lineRule="auto"/>
        <w:jc w:val="both"/>
      </w:pPr>
      <w:r>
        <w:t>д</w:t>
      </w:r>
      <w:r w:rsidRPr="00E1784B">
        <w:t>ля Ямайской валютной системы характерно сильное колебание валютного курса доллара</w:t>
      </w:r>
      <w:r w:rsidR="00C61B21">
        <w:t>;</w:t>
      </w:r>
    </w:p>
    <w:p w:rsidR="00C61B21" w:rsidRDefault="00E1784B" w:rsidP="00E1784B">
      <w:pPr>
        <w:numPr>
          <w:ilvl w:val="0"/>
          <w:numId w:val="23"/>
        </w:numPr>
        <w:spacing w:line="360" w:lineRule="auto"/>
        <w:jc w:val="both"/>
      </w:pPr>
      <w:r>
        <w:t>и</w:t>
      </w:r>
      <w:r w:rsidRPr="00E1784B">
        <w:t>дея СДР не получила значительного практического развития</w:t>
      </w:r>
      <w:r>
        <w:t>;</w:t>
      </w:r>
    </w:p>
    <w:p w:rsidR="00E1784B" w:rsidRDefault="00E1784B" w:rsidP="00E1784B">
      <w:pPr>
        <w:numPr>
          <w:ilvl w:val="0"/>
          <w:numId w:val="23"/>
        </w:numPr>
        <w:spacing w:line="360" w:lineRule="auto"/>
        <w:jc w:val="both"/>
      </w:pPr>
      <w:r>
        <w:t>п</w:t>
      </w:r>
      <w:r w:rsidRPr="00E1784B">
        <w:t>ротиворечия меду юридической демонетализацией золота и фактическим сохранением его статуса как чрезвычайных мировых денег</w:t>
      </w:r>
      <w:r>
        <w:t>;</w:t>
      </w:r>
    </w:p>
    <w:p w:rsidR="00E1784B" w:rsidRDefault="00E1784B" w:rsidP="00E1784B">
      <w:pPr>
        <w:numPr>
          <w:ilvl w:val="0"/>
          <w:numId w:val="23"/>
        </w:numPr>
        <w:spacing w:line="360" w:lineRule="auto"/>
        <w:jc w:val="both"/>
      </w:pPr>
      <w:r>
        <w:t>р</w:t>
      </w:r>
      <w:r w:rsidRPr="00E1784B">
        <w:t xml:space="preserve">азвивающиеся страны недовольны своим зависимым  положением в </w:t>
      </w:r>
      <w:r>
        <w:t>мировой валютной системе и наста</w:t>
      </w:r>
      <w:r w:rsidRPr="00E1784B">
        <w:t>ивают н</w:t>
      </w:r>
      <w:r>
        <w:t>а ее реформе с учетом их интере</w:t>
      </w:r>
      <w:r w:rsidRPr="00E1784B">
        <w:t>сов</w:t>
      </w:r>
      <w:r w:rsidR="00100461">
        <w:t>.</w:t>
      </w:r>
      <w:r w:rsidR="00100461">
        <w:rPr>
          <w:rStyle w:val="a5"/>
        </w:rPr>
        <w:footnoteReference w:id="4"/>
      </w:r>
      <w:r w:rsidR="00100461">
        <w:t xml:space="preserve"> </w:t>
      </w:r>
    </w:p>
    <w:p w:rsidR="009F4C12" w:rsidRPr="009F4C12" w:rsidRDefault="009F4C12" w:rsidP="009F4C12">
      <w:pPr>
        <w:spacing w:line="360" w:lineRule="auto"/>
        <w:ind w:firstLine="720"/>
        <w:jc w:val="both"/>
      </w:pPr>
      <w:r w:rsidRPr="009F4C12">
        <w:t>Неудовлетворенность современным состоянием мировой валютной системы</w:t>
      </w:r>
      <w:r>
        <w:t xml:space="preserve"> ощущается </w:t>
      </w:r>
      <w:r w:rsidRPr="009F4C12">
        <w:t>повсеместно. Редакторы вышедшей в свет в 1994 году книги</w:t>
      </w:r>
      <w:r>
        <w:t xml:space="preserve"> </w:t>
      </w:r>
      <w:r w:rsidRPr="009F4C12">
        <w:t>“Международная валютная система” П. Кенен, Ф. Пападиа И.Ф. Саккоманни</w:t>
      </w:r>
      <w:r>
        <w:t xml:space="preserve"> </w:t>
      </w:r>
      <w:r w:rsidRPr="009F4C12">
        <w:t>пишут: “ Никто из авторов не защищает нынешнюю международную валютную</w:t>
      </w:r>
      <w:r>
        <w:t xml:space="preserve"> </w:t>
      </w:r>
      <w:r w:rsidRPr="009F4C12">
        <w:t>систему как наилучшую из всех возможных. Самые веские доводы в пользу этой</w:t>
      </w:r>
      <w:r>
        <w:t xml:space="preserve"> </w:t>
      </w:r>
      <w:r w:rsidRPr="009F4C12">
        <w:t>системы, которые можно здесь встретить, состоят в том, что она</w:t>
      </w:r>
    </w:p>
    <w:p w:rsidR="009F4C12" w:rsidRPr="009F4C12" w:rsidRDefault="009F4C12" w:rsidP="009F4C12">
      <w:pPr>
        <w:spacing w:line="360" w:lineRule="auto"/>
        <w:jc w:val="both"/>
      </w:pPr>
      <w:r w:rsidRPr="009F4C12">
        <w:t>функционирует относительно неплохо и что нет никаких очевидных путей ее</w:t>
      </w:r>
      <w:r>
        <w:t xml:space="preserve"> </w:t>
      </w:r>
      <w:r w:rsidRPr="009F4C12">
        <w:t>улучшения. Критические суждения весьма эмоциональны и резки – от обвинений</w:t>
      </w:r>
      <w:r>
        <w:t xml:space="preserve"> в несправедливом </w:t>
      </w:r>
      <w:r w:rsidRPr="009F4C12">
        <w:t>отношении к развивающимся странам до упреков в</w:t>
      </w:r>
      <w:r>
        <w:t xml:space="preserve"> </w:t>
      </w:r>
      <w:r w:rsidRPr="009F4C12">
        <w:t>неспо</w:t>
      </w:r>
      <w:r>
        <w:t xml:space="preserve">собности обеспечить ресурсами и </w:t>
      </w:r>
      <w:r w:rsidRPr="009F4C12">
        <w:t>оказать эффективное содействие</w:t>
      </w:r>
      <w:r>
        <w:t xml:space="preserve"> </w:t>
      </w:r>
      <w:r w:rsidRPr="009F4C12">
        <w:t>процессам экономического роста”</w:t>
      </w:r>
    </w:p>
    <w:p w:rsidR="00E40F9E" w:rsidRDefault="00E40F9E" w:rsidP="009F4C12">
      <w:pPr>
        <w:spacing w:line="360" w:lineRule="auto"/>
        <w:ind w:firstLine="720"/>
        <w:jc w:val="both"/>
      </w:pPr>
      <w:r>
        <w:t xml:space="preserve">Как следствие – ширятся требования о создании новой, более сбалансированной мировой валютной системы. Так, в октябре </w:t>
      </w:r>
      <w:smartTag w:uri="urn:schemas-microsoft-com:office:smarttags" w:element="metricconverter">
        <w:smartTagPr>
          <w:attr w:name="ProductID" w:val="2000 г"/>
        </w:smartTagPr>
        <w:r>
          <w:t>2000 г</w:t>
        </w:r>
      </w:smartTag>
      <w:r>
        <w:t>. более 30 членов Сената Италии</w:t>
      </w:r>
      <w:r w:rsidR="00CE0A6D">
        <w:t xml:space="preserve"> выступили с инициативой о воссоздании обновле</w:t>
      </w:r>
      <w:r w:rsidR="00E818F4">
        <w:t>нных Бреттонвудсских соглашений</w:t>
      </w:r>
      <w:r w:rsidR="00CE0A6D" w:rsidRPr="00E818F4">
        <w:t xml:space="preserve"> [</w:t>
      </w:r>
      <w:r w:rsidR="00E818F4" w:rsidRPr="00E818F4">
        <w:t>12. С.</w:t>
      </w:r>
      <w:r w:rsidR="00CE0A6D" w:rsidRPr="00E818F4">
        <w:t>5].</w:t>
      </w:r>
    </w:p>
    <w:p w:rsidR="00CE0A6D" w:rsidRDefault="00CE0A6D" w:rsidP="00836400">
      <w:pPr>
        <w:spacing w:line="360" w:lineRule="auto"/>
        <w:ind w:firstLine="720"/>
        <w:jc w:val="both"/>
      </w:pPr>
      <w:r>
        <w:t xml:space="preserve">Лауреат нобелевской премии по экономике </w:t>
      </w:r>
      <w:smartTag w:uri="urn:schemas-microsoft-com:office:smarttags" w:element="metricconverter">
        <w:smartTagPr>
          <w:attr w:name="ProductID" w:val="1999 г"/>
        </w:smartTagPr>
        <w:r>
          <w:t>1999 г</w:t>
        </w:r>
      </w:smartTag>
      <w:r>
        <w:t xml:space="preserve">. Р. Мандель, ссылаясь на пример Экономического и валютного союза ЕС, в создании которого весомую роль сыграла разработанная им теория оптимальной валютной зоны, предложил образовать новую «валютную зону фиксированного валютного курса» на основе трех валют – евро, доллара и иены </w:t>
      </w:r>
      <w:r w:rsidRPr="00E818F4">
        <w:t>[</w:t>
      </w:r>
      <w:r w:rsidR="00E818F4" w:rsidRPr="00E818F4">
        <w:t>14. С.</w:t>
      </w:r>
      <w:r w:rsidRPr="00E818F4">
        <w:t>57].</w:t>
      </w:r>
    </w:p>
    <w:p w:rsidR="00CE0A6D" w:rsidRDefault="00CE0A6D" w:rsidP="00836400">
      <w:pPr>
        <w:spacing w:line="360" w:lineRule="auto"/>
        <w:ind w:firstLine="720"/>
        <w:jc w:val="both"/>
      </w:pPr>
      <w:r>
        <w:t>Некоторые российские исследователи, предлагая реформу МВС, имеют в виду создание универсального платежного средства – платежного эквивалента доллара – чека ЭДС</w:t>
      </w:r>
      <w:r w:rsidRPr="00CE0A6D">
        <w:t xml:space="preserve"> (</w:t>
      </w:r>
      <w:r w:rsidRPr="00CE0A6D">
        <w:rPr>
          <w:i/>
          <w:lang w:val="en-US"/>
        </w:rPr>
        <w:t>cheque</w:t>
      </w:r>
      <w:r w:rsidRPr="00CE0A6D">
        <w:rPr>
          <w:i/>
        </w:rPr>
        <w:t xml:space="preserve"> </w:t>
      </w:r>
      <w:r w:rsidRPr="00CE0A6D">
        <w:rPr>
          <w:i/>
          <w:lang w:val="en-US"/>
        </w:rPr>
        <w:t>EDU</w:t>
      </w:r>
      <w:r w:rsidRPr="00E818F4">
        <w:t>) [</w:t>
      </w:r>
      <w:r w:rsidR="00B86F46">
        <w:t>15</w:t>
      </w:r>
      <w:r w:rsidR="00E818F4" w:rsidRPr="00E818F4">
        <w:t>. С.</w:t>
      </w:r>
      <w:r w:rsidR="00B86F46">
        <w:t>82</w:t>
      </w:r>
      <w:r w:rsidRPr="00E818F4">
        <w:t>].</w:t>
      </w:r>
      <w:r>
        <w:t xml:space="preserve"> Все это говорит о </w:t>
      </w:r>
      <w:r w:rsidR="00474022">
        <w:t>возможном развитии кризиса современной Международной валютной системы.</w:t>
      </w:r>
    </w:p>
    <w:p w:rsidR="007D363C" w:rsidRDefault="00474022" w:rsidP="007D363C">
      <w:pPr>
        <w:spacing w:line="360" w:lineRule="auto"/>
        <w:ind w:firstLine="720"/>
        <w:jc w:val="both"/>
      </w:pPr>
      <w:r>
        <w:t>На фоне многочисленных проблем, связанных с колебанием валютных курсов, особый интерес в мире вызывает опыт функционирования зоны стабильных валютных курсов в Европе, который позволяет входящим в эту валютную группировку странам устойчиво развиваться, невзирая на проблемы, возникающие в мировой валютной системе.</w:t>
      </w:r>
    </w:p>
    <w:p w:rsidR="007D363C" w:rsidRDefault="00CD2313" w:rsidP="007D363C">
      <w:pPr>
        <w:spacing w:line="360" w:lineRule="auto"/>
        <w:ind w:firstLine="720"/>
        <w:jc w:val="both"/>
      </w:pPr>
      <w:r w:rsidRPr="007D363C">
        <w:t>Что же касается России</w:t>
      </w:r>
      <w:r w:rsidR="00093D9B" w:rsidRPr="007D363C">
        <w:t>,</w:t>
      </w:r>
      <w:r w:rsidRPr="007D363C">
        <w:t xml:space="preserve"> то на </w:t>
      </w:r>
      <w:r w:rsidR="00093D9B" w:rsidRPr="007D363C">
        <w:t xml:space="preserve">пленарном заседании Петербургского Международного Экономического Форума 5 июня </w:t>
      </w:r>
      <w:smartTag w:uri="urn:schemas-microsoft-com:office:smarttags" w:element="metricconverter">
        <w:smartTagPr>
          <w:attr w:name="ProductID" w:val="2009 г"/>
        </w:smartTagPr>
        <w:r w:rsidR="00093D9B" w:rsidRPr="007D363C">
          <w:t>2009 г</w:t>
        </w:r>
      </w:smartTag>
      <w:r w:rsidR="00093D9B" w:rsidRPr="007D363C">
        <w:t>. Президент РФ Дмитрий Медведев заявил: «</w:t>
      </w:r>
      <w:r w:rsidRPr="007D363C">
        <w:t>Структура м</w:t>
      </w:r>
      <w:r w:rsidR="00093D9B" w:rsidRPr="007D363C">
        <w:t>ировой системы неизбежно меняет</w:t>
      </w:r>
      <w:r w:rsidRPr="007D363C">
        <w:t>ся</w:t>
      </w:r>
      <w:r w:rsidR="00093D9B" w:rsidRPr="007D363C">
        <w:t xml:space="preserve"> </w:t>
      </w:r>
      <w:r w:rsidRPr="007D363C">
        <w:t>-</w:t>
      </w:r>
      <w:r w:rsidR="00093D9B" w:rsidRPr="007D363C">
        <w:t xml:space="preserve"> </w:t>
      </w:r>
      <w:r w:rsidRPr="007D363C">
        <w:t>повышаются</w:t>
      </w:r>
      <w:r w:rsidR="00093D9B" w:rsidRPr="007D363C">
        <w:t xml:space="preserve"> роли новых региональных резервных</w:t>
      </w:r>
      <w:r w:rsidRPr="007D363C">
        <w:t xml:space="preserve"> </w:t>
      </w:r>
      <w:r w:rsidR="00093D9B" w:rsidRPr="007D363C">
        <w:t>в</w:t>
      </w:r>
      <w:r w:rsidRPr="007D363C">
        <w:t>алют, необходимо также оценить потенциальную роль золот</w:t>
      </w:r>
      <w:r w:rsidR="00093D9B" w:rsidRPr="007D363C">
        <w:t>а в глобальной валютной системе»</w:t>
      </w:r>
      <w:r w:rsidR="00B31E60">
        <w:t>.</w:t>
      </w:r>
    </w:p>
    <w:p w:rsidR="00B31E60" w:rsidRDefault="00B31E60" w:rsidP="007D363C">
      <w:pPr>
        <w:spacing w:line="360" w:lineRule="auto"/>
        <w:ind w:firstLine="720"/>
        <w:jc w:val="both"/>
      </w:pPr>
      <w:r>
        <w:t>«Мы не раз рассуждали о том, что существует объективная тенденция, которая заключается в необходимости создания новых резервных валют. В этой ситуации многие страны переходят уже от разговоров к вполне конкретным действиям, речь идет о Юго-Восточной Азии, и о Латинской Америке. Повышается и роль нашей национальной валюты в торговых расчетах с рядом стран», - сказал он.</w:t>
      </w:r>
    </w:p>
    <w:p w:rsidR="00B31E60" w:rsidRDefault="00B31E60" w:rsidP="007D363C">
      <w:pPr>
        <w:spacing w:line="360" w:lineRule="auto"/>
        <w:ind w:firstLine="720"/>
        <w:jc w:val="both"/>
      </w:pPr>
      <w:r>
        <w:t>«Я думаю, все согласятся, что сила евро в качестве резервной валюты смягчила последствия глобального финансового кризиса для многих европейских стран.</w:t>
      </w:r>
    </w:p>
    <w:p w:rsidR="00B31E60" w:rsidRDefault="00B31E60" w:rsidP="007D363C">
      <w:pPr>
        <w:spacing w:line="360" w:lineRule="auto"/>
        <w:ind w:firstLine="720"/>
        <w:jc w:val="both"/>
      </w:pPr>
      <w:r>
        <w:t>По его словам, принимаемые в настоящее время решения по созданию антикризисных фондов, в том числе в рамках ЕврАзЭС, об увеличении ресурсов МВФ повлекут за собой и перемены в относительной силе валют. Результатом этого является и повышение роли специальных валютных инструментов, таких, как специальные права заимствования МВФ</w:t>
      </w:r>
      <w:r w:rsidR="00C07C9D">
        <w:t>.</w:t>
      </w:r>
    </w:p>
    <w:p w:rsidR="00C07C9D" w:rsidRDefault="00C07C9D" w:rsidP="007D363C">
      <w:pPr>
        <w:spacing w:line="360" w:lineRule="auto"/>
        <w:ind w:firstLine="720"/>
        <w:jc w:val="both"/>
      </w:pPr>
      <w:r>
        <w:t>«Структура этой своеобразной наднациональной валюты, учитывая возрастающий вес региональных валют в международных расчетах, видимо, будет постепенно меняться. Следует также дополнительно оценить и потенциальную роль золота в глобальной валютной системе».</w:t>
      </w:r>
    </w:p>
    <w:p w:rsidR="007D363C" w:rsidRPr="007D363C" w:rsidRDefault="007D363C" w:rsidP="007D363C">
      <w:pPr>
        <w:spacing w:line="360" w:lineRule="auto"/>
        <w:ind w:firstLine="720"/>
        <w:jc w:val="both"/>
      </w:pPr>
      <w:r w:rsidRPr="007D363C">
        <w:t>Международная координация макроэкономической политики и некоторое</w:t>
      </w:r>
      <w:r>
        <w:t xml:space="preserve"> ограничение </w:t>
      </w:r>
      <w:r w:rsidRPr="007D363C">
        <w:t>колебаний рыночных валютных курсов вряд ли позволяют сделать</w:t>
      </w:r>
      <w:r>
        <w:t xml:space="preserve"> вывод о том, что в сфере </w:t>
      </w:r>
      <w:r w:rsidRPr="007D363C">
        <w:t>международных денежных расчетов “правила” вновь</w:t>
      </w:r>
      <w:r>
        <w:t xml:space="preserve"> возобладали над “действием по </w:t>
      </w:r>
      <w:r w:rsidRPr="007D363C">
        <w:t>усмотрению”. Но можно, по крайне мере,</w:t>
      </w:r>
      <w:r>
        <w:t xml:space="preserve"> </w:t>
      </w:r>
      <w:r w:rsidRPr="007D363C">
        <w:t>утверждать о</w:t>
      </w:r>
      <w:r>
        <w:t xml:space="preserve"> движении в данном направлении. </w:t>
      </w:r>
      <w:r w:rsidRPr="007D363C">
        <w:t>Очевидно, что национальные</w:t>
      </w:r>
      <w:r>
        <w:t xml:space="preserve"> </w:t>
      </w:r>
      <w:r w:rsidRPr="007D363C">
        <w:t>государственные органы не м</w:t>
      </w:r>
      <w:r>
        <w:t xml:space="preserve">огут уйти от ответственности за </w:t>
      </w:r>
      <w:r w:rsidRPr="007D363C">
        <w:t>обеспечение</w:t>
      </w:r>
      <w:r>
        <w:t xml:space="preserve"> </w:t>
      </w:r>
      <w:r w:rsidRPr="007D363C">
        <w:t>равновесия макроэкономического обмена и платежного оборота своих стран с</w:t>
      </w:r>
      <w:r>
        <w:t xml:space="preserve"> </w:t>
      </w:r>
      <w:r w:rsidRPr="007D363C">
        <w:t>внешним миром. Однако чтобы действия властей одних стран не причиняли</w:t>
      </w:r>
      <w:r>
        <w:t xml:space="preserve"> ущерба другим, они </w:t>
      </w:r>
      <w:r w:rsidRPr="007D363C">
        <w:t>должны быть подчинены международным правилам –</w:t>
      </w:r>
      <w:r>
        <w:t xml:space="preserve"> достаточно твердым, внушающим </w:t>
      </w:r>
      <w:r w:rsidRPr="007D363C">
        <w:t>доверие и отвечающим унифицированным</w:t>
      </w:r>
      <w:r>
        <w:t xml:space="preserve"> </w:t>
      </w:r>
      <w:r w:rsidRPr="007D363C">
        <w:t>стандартам целесообразности и справедливости.</w:t>
      </w:r>
      <w:r w:rsidR="00093D9B" w:rsidRPr="007D363C">
        <w:t>.</w:t>
      </w:r>
    </w:p>
    <w:p w:rsidR="007D363C" w:rsidRPr="007D363C" w:rsidRDefault="007D363C" w:rsidP="007D363C">
      <w:pPr>
        <w:spacing w:line="360" w:lineRule="auto"/>
        <w:ind w:firstLine="720"/>
        <w:jc w:val="both"/>
      </w:pPr>
      <w:r w:rsidRPr="007D363C">
        <w:t>Завершая работу над этой главой, хотелось бы сказать, что будущее</w:t>
      </w:r>
      <w:r>
        <w:t xml:space="preserve"> </w:t>
      </w:r>
      <w:r w:rsidRPr="007D363C">
        <w:t>мировой валютной системы пока еще не ясно, ведь приспособление мировой</w:t>
      </w:r>
      <w:r>
        <w:t xml:space="preserve"> </w:t>
      </w:r>
      <w:r w:rsidRPr="007D363C">
        <w:t>валютной системы к меняющимся экономическим реалиям осуществляется путем,</w:t>
      </w:r>
      <w:r>
        <w:t xml:space="preserve"> </w:t>
      </w:r>
      <w:r w:rsidRPr="007D363C">
        <w:t>который по-английски обозначает “muddling through”. На русский это</w:t>
      </w:r>
      <w:r>
        <w:t xml:space="preserve"> </w:t>
      </w:r>
      <w:r w:rsidRPr="007D363C">
        <w:t>переводится как “блуждание  впотьмах”, или “движение на ощупь” – с помощью</w:t>
      </w:r>
      <w:r>
        <w:t xml:space="preserve"> </w:t>
      </w:r>
      <w:r w:rsidRPr="007D363C">
        <w:t>метода проб и ошибок и, судя по всему, так и будет обстоять дело в</w:t>
      </w:r>
      <w:r>
        <w:t xml:space="preserve"> обозримом </w:t>
      </w:r>
      <w:r w:rsidRPr="007D363C">
        <w:t>будущем. Но уже явно проглядываются направления, по которым ей</w:t>
      </w:r>
      <w:r>
        <w:t xml:space="preserve"> </w:t>
      </w:r>
      <w:r w:rsidRPr="007D363C">
        <w:t>следует развиваться.</w:t>
      </w:r>
    </w:p>
    <w:p w:rsidR="00C31638" w:rsidRPr="007D363C" w:rsidRDefault="00C31638" w:rsidP="007D363C">
      <w:pPr>
        <w:spacing w:line="360" w:lineRule="auto"/>
        <w:jc w:val="both"/>
      </w:pPr>
    </w:p>
    <w:p w:rsidR="00C31638" w:rsidRPr="00C31638" w:rsidRDefault="00C31638" w:rsidP="00C31638"/>
    <w:p w:rsidR="00C31638" w:rsidRPr="00C31638" w:rsidRDefault="00C31638" w:rsidP="00C31638"/>
    <w:p w:rsidR="00C31638" w:rsidRPr="00C31638" w:rsidRDefault="00C31638" w:rsidP="00C31638"/>
    <w:p w:rsidR="00C31638" w:rsidRPr="00C31638" w:rsidRDefault="00C31638" w:rsidP="00C31638"/>
    <w:p w:rsidR="00C31638" w:rsidRPr="00C31638" w:rsidRDefault="00C31638" w:rsidP="00C31638"/>
    <w:p w:rsidR="00C31638" w:rsidRPr="00C31638" w:rsidRDefault="00C31638" w:rsidP="00C31638"/>
    <w:p w:rsidR="00C31638" w:rsidRPr="00C31638" w:rsidRDefault="00C31638" w:rsidP="00C31638"/>
    <w:p w:rsidR="00C31638" w:rsidRPr="00C31638" w:rsidRDefault="00C31638" w:rsidP="00C31638"/>
    <w:p w:rsidR="00C31638" w:rsidRPr="00C31638" w:rsidRDefault="00C31638" w:rsidP="00C31638"/>
    <w:p w:rsidR="00C31638" w:rsidRPr="00C31638" w:rsidRDefault="00C31638" w:rsidP="00C31638"/>
    <w:p w:rsidR="00C31638" w:rsidRPr="00C31638" w:rsidRDefault="00C31638" w:rsidP="00C31638"/>
    <w:p w:rsidR="00C31638" w:rsidRPr="00C31638" w:rsidRDefault="00C31638" w:rsidP="00C31638"/>
    <w:p w:rsidR="00C31638" w:rsidRPr="00C31638" w:rsidRDefault="00C31638" w:rsidP="00C31638"/>
    <w:p w:rsidR="00C31638" w:rsidRPr="00C31638" w:rsidRDefault="00C31638" w:rsidP="00C31638"/>
    <w:p w:rsidR="00C31638" w:rsidRPr="00C31638" w:rsidRDefault="00C31638" w:rsidP="00C31638"/>
    <w:p w:rsidR="00C31638" w:rsidRPr="00C31638" w:rsidRDefault="00C31638" w:rsidP="00C31638"/>
    <w:p w:rsidR="00C31638" w:rsidRPr="00C31638" w:rsidRDefault="00C31638" w:rsidP="00C31638"/>
    <w:p w:rsidR="00C31638" w:rsidRPr="00C31638" w:rsidRDefault="00C31638" w:rsidP="00C31638"/>
    <w:p w:rsidR="00C31638" w:rsidRPr="00C31638" w:rsidRDefault="00C31638" w:rsidP="00C31638"/>
    <w:p w:rsidR="00C31638" w:rsidRPr="00C31638" w:rsidRDefault="00C31638" w:rsidP="00C31638"/>
    <w:p w:rsidR="00C31638" w:rsidRPr="00C31638" w:rsidRDefault="00C31638" w:rsidP="00C31638"/>
    <w:p w:rsidR="00C31638" w:rsidRPr="00C31638" w:rsidRDefault="00C31638" w:rsidP="00C31638"/>
    <w:p w:rsidR="00C31638" w:rsidRPr="00C31638" w:rsidRDefault="00C31638" w:rsidP="00C31638"/>
    <w:p w:rsidR="00C31638" w:rsidRDefault="00C31638" w:rsidP="00C31638"/>
    <w:p w:rsidR="00C31638" w:rsidRPr="00C31638" w:rsidRDefault="00C31638" w:rsidP="00C31638"/>
    <w:p w:rsidR="00C31638" w:rsidRDefault="00C31638" w:rsidP="00C31638"/>
    <w:p w:rsidR="00C31638" w:rsidRDefault="00C31638" w:rsidP="00C31638"/>
    <w:p w:rsidR="00C31638" w:rsidRDefault="00C31638" w:rsidP="00C31638"/>
    <w:p w:rsidR="00C31638" w:rsidRDefault="00C31638" w:rsidP="00C31638"/>
    <w:p w:rsidR="00C31638" w:rsidRDefault="00C31638" w:rsidP="00C31638"/>
    <w:p w:rsidR="00C31638" w:rsidRDefault="00C31638" w:rsidP="00C31638"/>
    <w:p w:rsidR="00E744D7" w:rsidRDefault="00E744D7" w:rsidP="00C31638"/>
    <w:p w:rsidR="00E744D7" w:rsidRDefault="00E744D7" w:rsidP="00C31638"/>
    <w:p w:rsidR="00E744D7" w:rsidRDefault="00E744D7" w:rsidP="00C31638"/>
    <w:p w:rsidR="00E818F4" w:rsidRDefault="00E818F4" w:rsidP="00C31638"/>
    <w:p w:rsidR="00100461" w:rsidRDefault="00100461" w:rsidP="00C31638"/>
    <w:p w:rsidR="007D363C" w:rsidRDefault="007D363C" w:rsidP="00C31638"/>
    <w:p w:rsidR="000050FC" w:rsidRDefault="000050FC" w:rsidP="000050FC">
      <w:pPr>
        <w:jc w:val="center"/>
        <w:rPr>
          <w:rFonts w:ascii="Arial" w:hAnsi="Arial" w:cs="Arial"/>
          <w:b/>
          <w:sz w:val="28"/>
          <w:szCs w:val="28"/>
        </w:rPr>
      </w:pPr>
      <w:r w:rsidRPr="000050FC">
        <w:rPr>
          <w:rFonts w:ascii="Arial" w:hAnsi="Arial" w:cs="Arial"/>
          <w:b/>
          <w:sz w:val="28"/>
          <w:szCs w:val="28"/>
        </w:rPr>
        <w:t>Заключение</w:t>
      </w:r>
    </w:p>
    <w:p w:rsidR="000050FC" w:rsidRDefault="000050FC" w:rsidP="000050FC">
      <w:pPr>
        <w:rPr>
          <w:rFonts w:ascii="Arial" w:hAnsi="Arial" w:cs="Arial"/>
          <w:b/>
          <w:sz w:val="28"/>
          <w:szCs w:val="28"/>
        </w:rPr>
      </w:pPr>
    </w:p>
    <w:p w:rsidR="005679BD" w:rsidRDefault="005679BD" w:rsidP="005679BD">
      <w:pPr>
        <w:pStyle w:val="HTML"/>
      </w:pPr>
    </w:p>
    <w:p w:rsidR="005679BD" w:rsidRDefault="005679BD" w:rsidP="00CB5F23">
      <w:pPr>
        <w:spacing w:line="360" w:lineRule="auto"/>
        <w:ind w:firstLine="720"/>
        <w:jc w:val="both"/>
      </w:pPr>
      <w:r w:rsidRPr="005679BD">
        <w:t>Международная валютная система представляет собой совокупность</w:t>
      </w:r>
      <w:r>
        <w:t xml:space="preserve"> способов, </w:t>
      </w:r>
      <w:r w:rsidRPr="005679BD">
        <w:t>инструментов и межгосударственных органов, с помощью которых</w:t>
      </w:r>
      <w:r>
        <w:t xml:space="preserve"> осуществляется взаимный </w:t>
      </w:r>
      <w:r w:rsidRPr="005679BD">
        <w:t>платежно-расчетный оборот в рамках мирового</w:t>
      </w:r>
      <w:r>
        <w:t xml:space="preserve"> </w:t>
      </w:r>
      <w:r w:rsidRPr="005679BD">
        <w:t>хозяйства.</w:t>
      </w:r>
      <w:r>
        <w:t xml:space="preserve"> Ее возникновение и последующая </w:t>
      </w:r>
      <w:r w:rsidRPr="005679BD">
        <w:t>эволюция отражают объективное</w:t>
      </w:r>
      <w:r>
        <w:t xml:space="preserve"> р</w:t>
      </w:r>
      <w:r w:rsidRPr="005679BD">
        <w:t>азвитие процессов интернационализации капитала, требующих адекватных</w:t>
      </w:r>
      <w:r>
        <w:t xml:space="preserve"> </w:t>
      </w:r>
      <w:r w:rsidRPr="005679BD">
        <w:t>условий в международной денежной сфере. Основными конструктивными</w:t>
      </w:r>
      <w:r>
        <w:t xml:space="preserve"> </w:t>
      </w:r>
      <w:r w:rsidRPr="005679BD">
        <w:t>элементами МВС являются мировой</w:t>
      </w:r>
      <w:r>
        <w:t xml:space="preserve"> денежный товар и международная </w:t>
      </w:r>
      <w:r w:rsidRPr="005679BD">
        <w:t>ликвидность,</w:t>
      </w:r>
      <w:r>
        <w:t xml:space="preserve"> </w:t>
      </w:r>
      <w:r w:rsidRPr="005679BD">
        <w:t>валютный курс, валютные рынки, м</w:t>
      </w:r>
      <w:r>
        <w:t xml:space="preserve">еждународные валютно-финансовые </w:t>
      </w:r>
      <w:r w:rsidRPr="005679BD">
        <w:t>организации</w:t>
      </w:r>
      <w:r>
        <w:t xml:space="preserve"> </w:t>
      </w:r>
      <w:r w:rsidRPr="005679BD">
        <w:t>и межгосударственные договоренности.</w:t>
      </w:r>
    </w:p>
    <w:p w:rsidR="005679BD" w:rsidRDefault="005679BD" w:rsidP="00BA5062">
      <w:pPr>
        <w:spacing w:line="360" w:lineRule="auto"/>
        <w:ind w:firstLine="720"/>
        <w:jc w:val="both"/>
      </w:pPr>
      <w:r w:rsidRPr="005679BD">
        <w:t>Последовательно существовали и сменяли друг друга три мировые валютные</w:t>
      </w:r>
      <w:r>
        <w:t xml:space="preserve"> системы. </w:t>
      </w:r>
    </w:p>
    <w:p w:rsidR="00BA5062" w:rsidRDefault="005679BD" w:rsidP="00BA5062">
      <w:pPr>
        <w:spacing w:line="360" w:lineRule="auto"/>
        <w:jc w:val="both"/>
      </w:pPr>
      <w:r w:rsidRPr="00BA5062">
        <w:t>Третья,</w:t>
      </w:r>
      <w:r w:rsidR="00BA5062" w:rsidRPr="00BA5062">
        <w:t xml:space="preserve"> ныне действующая, Ямайская</w:t>
      </w:r>
      <w:r w:rsidRPr="00BA5062">
        <w:t xml:space="preserve"> валютная система основана на плавающих обменных курсах и является </w:t>
      </w:r>
      <w:r w:rsidR="00BA5062" w:rsidRPr="00BA5062">
        <w:t xml:space="preserve">многовалютным </w:t>
      </w:r>
      <w:r w:rsidRPr="00BA5062">
        <w:t>стандартом. Страна может выбирать фиксированный, плавающий или смешанный режим валютного курса.</w:t>
      </w:r>
      <w:r w:rsidR="00BA5062" w:rsidRPr="00BA5062">
        <w:t xml:space="preserve"> Но, итоги функционирования СДР свидетельствуют о том, что они</w:t>
      </w:r>
      <w:r w:rsidR="00BA5062">
        <w:t xml:space="preserve"> </w:t>
      </w:r>
      <w:r w:rsidR="00BA5062" w:rsidRPr="00BA5062">
        <w:t>оказались далеки от мировых денег. Более того, возникли проблемы эмиссии и</w:t>
      </w:r>
      <w:r w:rsidR="00BA5062">
        <w:t xml:space="preserve"> </w:t>
      </w:r>
      <w:r w:rsidR="00BA5062" w:rsidRPr="00BA5062">
        <w:t>распределения, обеспечения, метода определения курса и сферы использования</w:t>
      </w:r>
      <w:r w:rsidR="00BA5062">
        <w:t xml:space="preserve"> </w:t>
      </w:r>
      <w:r w:rsidR="00BA5062" w:rsidRPr="00BA5062">
        <w:t>СДР. Вопреки замыслу СДР не стали эталоном стоимости, главным международным</w:t>
      </w:r>
      <w:r w:rsidR="00BA5062">
        <w:t xml:space="preserve"> </w:t>
      </w:r>
      <w:r w:rsidR="00BA5062" w:rsidRPr="00BA5062">
        <w:t>резервным и платежным средством.</w:t>
      </w:r>
    </w:p>
    <w:p w:rsidR="00BA5062" w:rsidRDefault="00BA5062" w:rsidP="00BA5062">
      <w:pPr>
        <w:spacing w:line="360" w:lineRule="auto"/>
        <w:ind w:firstLine="720"/>
        <w:jc w:val="both"/>
      </w:pPr>
      <w:r w:rsidRPr="00BA5062">
        <w:t>Введение плавающих вместо фиксированных валютных курсов в большинстве</w:t>
      </w:r>
      <w:r>
        <w:t xml:space="preserve"> стран в </w:t>
      </w:r>
      <w:r w:rsidRPr="00BA5062">
        <w:t>марте 1973 года не обеспечило их стабильности, несмотря на огромные</w:t>
      </w:r>
      <w:r>
        <w:t xml:space="preserve"> затраты на валютную </w:t>
      </w:r>
      <w:r w:rsidRPr="00BA5062">
        <w:t>интервенцию. Этот режим оказался неспособным обеспечить</w:t>
      </w:r>
      <w:r>
        <w:t xml:space="preserve"> выравнивание платежных </w:t>
      </w:r>
      <w:r w:rsidRPr="00BA5062">
        <w:t>балансов, покончить с внезапными перемещениями</w:t>
      </w:r>
      <w:r>
        <w:t xml:space="preserve"> </w:t>
      </w:r>
      <w:r w:rsidRPr="00BA5062">
        <w:t>“горячих денег”, с валютной спекуляцией.</w:t>
      </w:r>
    </w:p>
    <w:p w:rsidR="00BA5062" w:rsidRDefault="00BA5062" w:rsidP="00BA5062">
      <w:pPr>
        <w:spacing w:line="360" w:lineRule="auto"/>
        <w:ind w:firstLine="720"/>
        <w:jc w:val="both"/>
      </w:pPr>
      <w:r w:rsidRPr="00BA5062">
        <w:t>Ямайская валютная реформа не обеспечила валютной стабилизации.</w:t>
      </w:r>
      <w:r>
        <w:t xml:space="preserve"> Кредитные </w:t>
      </w:r>
      <w:r w:rsidRPr="00BA5062">
        <w:t>возможности МВФ, несмотря на увеличение кредитов, остались</w:t>
      </w:r>
      <w:r>
        <w:t xml:space="preserve"> скромными по сравнению с </w:t>
      </w:r>
      <w:r w:rsidRPr="00BA5062">
        <w:t>огромными международно-финансовыми потоками и</w:t>
      </w:r>
      <w:r>
        <w:t xml:space="preserve"> </w:t>
      </w:r>
      <w:r w:rsidRPr="00BA5062">
        <w:t>дефицитом платежных балансов.</w:t>
      </w:r>
    </w:p>
    <w:p w:rsidR="005679BD" w:rsidRDefault="00BA5062" w:rsidP="00BA5062">
      <w:pPr>
        <w:spacing w:line="360" w:lineRule="auto"/>
        <w:ind w:firstLine="720"/>
        <w:jc w:val="both"/>
      </w:pPr>
      <w:r w:rsidRPr="00BA5062">
        <w:t>На фоне многочисленных проблем, связанных с колебанием валютных</w:t>
      </w:r>
      <w:r>
        <w:t xml:space="preserve"> курсов, особый </w:t>
      </w:r>
      <w:r w:rsidRPr="00BA5062">
        <w:t>интерес в мире вызывает опыт функционирования зоны</w:t>
      </w:r>
      <w:r>
        <w:t xml:space="preserve"> </w:t>
      </w:r>
      <w:r w:rsidRPr="00BA5062">
        <w:t>стаби</w:t>
      </w:r>
      <w:r>
        <w:t xml:space="preserve">льных валютных курсов в Европе, </w:t>
      </w:r>
      <w:r w:rsidRPr="00BA5062">
        <w:t>который позволяет входящим в эту</w:t>
      </w:r>
      <w:r>
        <w:t xml:space="preserve"> </w:t>
      </w:r>
      <w:r w:rsidRPr="00BA5062">
        <w:t>валютную группировку</w:t>
      </w:r>
      <w:r>
        <w:t xml:space="preserve"> странам устойчиво развиваться, </w:t>
      </w:r>
      <w:r w:rsidRPr="00BA5062">
        <w:t>невзирая на проблемы,</w:t>
      </w:r>
      <w:r>
        <w:t xml:space="preserve"> </w:t>
      </w:r>
      <w:r w:rsidRPr="00BA5062">
        <w:t>возникающие в мировой валютной системе.</w:t>
      </w:r>
    </w:p>
    <w:p w:rsidR="005679BD" w:rsidRDefault="005679BD" w:rsidP="00BA5062">
      <w:pPr>
        <w:spacing w:line="360" w:lineRule="auto"/>
        <w:ind w:firstLine="720"/>
        <w:jc w:val="both"/>
      </w:pPr>
      <w:r w:rsidRPr="005679BD">
        <w:t>Основной категорией в международных валютно-финансовых и кредитных</w:t>
      </w:r>
      <w:r>
        <w:t xml:space="preserve"> отношениях </w:t>
      </w:r>
      <w:r w:rsidRPr="005679BD">
        <w:t>является валютный курс. В нем находят отражение все основные</w:t>
      </w:r>
      <w:r>
        <w:t xml:space="preserve"> макроэкономические </w:t>
      </w:r>
      <w:r w:rsidRPr="005679BD">
        <w:t>показатели: цены в различных странах, экономический рост</w:t>
      </w:r>
      <w:r>
        <w:t xml:space="preserve"> и др</w:t>
      </w:r>
      <w:r w:rsidR="00282C6C">
        <w:t>угое</w:t>
      </w:r>
      <w:r>
        <w:t xml:space="preserve">. Он аккумулирует </w:t>
      </w:r>
      <w:r w:rsidRPr="005679BD">
        <w:t>информацию о происходящих экономических и</w:t>
      </w:r>
      <w:r>
        <w:t xml:space="preserve"> </w:t>
      </w:r>
      <w:r w:rsidRPr="005679BD">
        <w:t>политических изменениях как в настоящем, так и в будущем. Кроме того, сам</w:t>
      </w:r>
      <w:r>
        <w:t xml:space="preserve"> </w:t>
      </w:r>
      <w:r w:rsidRPr="005679BD">
        <w:t>валютный курс активно в</w:t>
      </w:r>
      <w:r>
        <w:t xml:space="preserve">лияет на характер развития этих </w:t>
      </w:r>
      <w:r w:rsidRPr="005679BD">
        <w:t>процессов.</w:t>
      </w:r>
    </w:p>
    <w:p w:rsidR="005679BD" w:rsidRDefault="005679BD" w:rsidP="00BA5062">
      <w:pPr>
        <w:spacing w:line="360" w:lineRule="auto"/>
        <w:ind w:firstLine="720"/>
        <w:jc w:val="both"/>
      </w:pPr>
      <w:r w:rsidRPr="005679BD">
        <w:t>Конъюнктурные факторы изменения валютного курса могут значительно</w:t>
      </w:r>
      <w:r>
        <w:t xml:space="preserve"> изменять </w:t>
      </w:r>
      <w:r w:rsidRPr="005679BD">
        <w:t>величину курса национальной валюты, однако в краткосрочных</w:t>
      </w:r>
      <w:r>
        <w:t xml:space="preserve"> интервалах времени. К ним </w:t>
      </w:r>
      <w:r w:rsidRPr="005679BD">
        <w:t>относятся колебания деловой активности в стране,</w:t>
      </w:r>
      <w:r>
        <w:t xml:space="preserve"> </w:t>
      </w:r>
      <w:r w:rsidRPr="005679BD">
        <w:t>прогнозы, валютные спекуляции и кризисы.</w:t>
      </w:r>
    </w:p>
    <w:p w:rsidR="005679BD" w:rsidRDefault="005679BD" w:rsidP="00BA5062">
      <w:pPr>
        <w:spacing w:line="360" w:lineRule="auto"/>
        <w:ind w:firstLine="720"/>
        <w:jc w:val="both"/>
      </w:pPr>
      <w:r w:rsidRPr="005679BD">
        <w:t>Мерами государственного воздействия на величину валютного курса</w:t>
      </w:r>
      <w:r>
        <w:t xml:space="preserve"> являются валютные </w:t>
      </w:r>
      <w:r w:rsidRPr="005679BD">
        <w:t>интервенции, дисконтная политика и протекционистские</w:t>
      </w:r>
      <w:r>
        <w:t xml:space="preserve"> </w:t>
      </w:r>
      <w:r w:rsidRPr="005679BD">
        <w:t>меры. Наиболее действенным методом</w:t>
      </w:r>
      <w:r>
        <w:t xml:space="preserve"> </w:t>
      </w:r>
      <w:r w:rsidRPr="005679BD">
        <w:t>воздействия выступают валютные</w:t>
      </w:r>
      <w:r>
        <w:t xml:space="preserve"> </w:t>
      </w:r>
      <w:r w:rsidRPr="005679BD">
        <w:t>интервенции – операции</w:t>
      </w:r>
      <w:r>
        <w:t xml:space="preserve"> центральных банков на валютных </w:t>
      </w:r>
      <w:r w:rsidRPr="005679BD">
        <w:t>рынках по купле-</w:t>
      </w:r>
      <w:r>
        <w:t xml:space="preserve"> </w:t>
      </w:r>
      <w:r w:rsidRPr="005679BD">
        <w:t>продаже национальной денежной единиц</w:t>
      </w:r>
      <w:r>
        <w:t xml:space="preserve">ы против основных ведущих валют </w:t>
      </w:r>
      <w:r w:rsidRPr="005679BD">
        <w:t>мира.</w:t>
      </w:r>
      <w:r>
        <w:t xml:space="preserve"> </w:t>
      </w:r>
    </w:p>
    <w:p w:rsidR="005679BD" w:rsidRDefault="005679BD" w:rsidP="00BA5062">
      <w:pPr>
        <w:spacing w:line="360" w:lineRule="auto"/>
        <w:ind w:firstLine="720"/>
        <w:jc w:val="both"/>
      </w:pPr>
      <w:r w:rsidRPr="005679BD">
        <w:t>Манипулирование с валютным курсом может оказать влияние на</w:t>
      </w:r>
      <w:r>
        <w:t xml:space="preserve"> </w:t>
      </w:r>
      <w:r w:rsidRPr="005679BD">
        <w:t>внешнеторговые</w:t>
      </w:r>
      <w:r>
        <w:t xml:space="preserve"> </w:t>
      </w:r>
      <w:r w:rsidRPr="005679BD">
        <w:t>операции в стране. Так, заниженный курс национальной валюты</w:t>
      </w:r>
      <w:r>
        <w:t xml:space="preserve"> </w:t>
      </w:r>
      <w:r w:rsidRPr="005679BD">
        <w:t>выгоден экспортерам, а завышенный курс удешевляет импорт.</w:t>
      </w:r>
    </w:p>
    <w:p w:rsidR="005679BD" w:rsidRPr="005679BD" w:rsidRDefault="005679BD" w:rsidP="00BA5062">
      <w:pPr>
        <w:spacing w:line="360" w:lineRule="auto"/>
        <w:ind w:firstLine="720"/>
        <w:jc w:val="both"/>
      </w:pPr>
      <w:r w:rsidRPr="005679BD">
        <w:t>Государственная стабилизационная политика должна учитывать способ</w:t>
      </w:r>
      <w:r>
        <w:t xml:space="preserve"> фиксации </w:t>
      </w:r>
      <w:r w:rsidRPr="005679BD">
        <w:t>валютного курса. Так как от этого зависит все дальнейшее поведение</w:t>
      </w:r>
      <w:r>
        <w:t xml:space="preserve"> национальной валютной </w:t>
      </w:r>
      <w:r w:rsidRPr="005679BD">
        <w:t>системы, а, следовательно, и развитие мировой</w:t>
      </w:r>
      <w:r>
        <w:t xml:space="preserve"> </w:t>
      </w:r>
      <w:r w:rsidRPr="005679BD">
        <w:t>валютной системы в целом.</w:t>
      </w:r>
    </w:p>
    <w:p w:rsidR="000050FC" w:rsidRDefault="000050FC" w:rsidP="00BA5062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0050FC" w:rsidRDefault="000050FC" w:rsidP="000050FC">
      <w:pPr>
        <w:jc w:val="center"/>
        <w:rPr>
          <w:rFonts w:ascii="Arial" w:hAnsi="Arial" w:cs="Arial"/>
          <w:b/>
          <w:sz w:val="28"/>
          <w:szCs w:val="28"/>
        </w:rPr>
      </w:pPr>
    </w:p>
    <w:p w:rsidR="000050FC" w:rsidRPr="000050FC" w:rsidRDefault="000050FC" w:rsidP="000050FC">
      <w:pPr>
        <w:jc w:val="center"/>
        <w:rPr>
          <w:rFonts w:ascii="Arial" w:hAnsi="Arial" w:cs="Arial"/>
          <w:sz w:val="28"/>
          <w:szCs w:val="28"/>
        </w:rPr>
      </w:pPr>
    </w:p>
    <w:p w:rsidR="000050FC" w:rsidRDefault="000050FC" w:rsidP="00C31638"/>
    <w:p w:rsidR="000050FC" w:rsidRDefault="000050FC" w:rsidP="00C31638"/>
    <w:p w:rsidR="000050FC" w:rsidRDefault="000050FC" w:rsidP="00C31638"/>
    <w:p w:rsidR="000050FC" w:rsidRDefault="000050FC" w:rsidP="00C31638"/>
    <w:p w:rsidR="000050FC" w:rsidRDefault="000050FC" w:rsidP="00C31638"/>
    <w:p w:rsidR="000050FC" w:rsidRDefault="000050FC" w:rsidP="00C31638"/>
    <w:p w:rsidR="000050FC" w:rsidRDefault="000050FC" w:rsidP="00C31638"/>
    <w:p w:rsidR="000050FC" w:rsidRDefault="000050FC" w:rsidP="00C31638"/>
    <w:p w:rsidR="000050FC" w:rsidRDefault="000050FC" w:rsidP="00C31638"/>
    <w:p w:rsidR="000050FC" w:rsidRDefault="000050FC" w:rsidP="00C31638"/>
    <w:p w:rsidR="000050FC" w:rsidRDefault="000050FC" w:rsidP="00C31638"/>
    <w:p w:rsidR="000050FC" w:rsidRDefault="000050FC" w:rsidP="00C31638"/>
    <w:p w:rsidR="000050FC" w:rsidRDefault="000050FC" w:rsidP="00C31638"/>
    <w:p w:rsidR="000050FC" w:rsidRDefault="000050FC" w:rsidP="00C31638"/>
    <w:p w:rsidR="000050FC" w:rsidRDefault="000050FC" w:rsidP="00C31638"/>
    <w:p w:rsidR="000050FC" w:rsidRDefault="000050FC" w:rsidP="00C31638"/>
    <w:p w:rsidR="000050FC" w:rsidRDefault="000050FC" w:rsidP="00C31638"/>
    <w:p w:rsidR="000050FC" w:rsidRDefault="000050FC" w:rsidP="00C31638"/>
    <w:p w:rsidR="000050FC" w:rsidRDefault="000050FC" w:rsidP="00C31638"/>
    <w:p w:rsidR="000050FC" w:rsidRDefault="000050FC" w:rsidP="00C31638"/>
    <w:p w:rsidR="000050FC" w:rsidRDefault="000050FC" w:rsidP="00C31638"/>
    <w:p w:rsidR="000050FC" w:rsidRDefault="000050FC" w:rsidP="00C31638"/>
    <w:p w:rsidR="003C077C" w:rsidRDefault="003C077C" w:rsidP="00C31638"/>
    <w:p w:rsidR="00E818F4" w:rsidRDefault="00E818F4" w:rsidP="00C31638"/>
    <w:p w:rsidR="003C077C" w:rsidRDefault="003C077C" w:rsidP="00C31638"/>
    <w:p w:rsidR="000050FC" w:rsidRDefault="000050FC" w:rsidP="00C31638"/>
    <w:p w:rsidR="00D44675" w:rsidRDefault="00D44675" w:rsidP="00C31638"/>
    <w:p w:rsidR="0079318B" w:rsidRDefault="0079318B" w:rsidP="0079318B">
      <w:pPr>
        <w:pStyle w:val="a3"/>
        <w:jc w:val="center"/>
        <w:rPr>
          <w:rFonts w:ascii="Arial" w:hAnsi="Arial" w:cs="Arial"/>
          <w:b/>
        </w:rPr>
      </w:pPr>
      <w:r w:rsidRPr="0079318B">
        <w:rPr>
          <w:rFonts w:ascii="Arial" w:hAnsi="Arial" w:cs="Arial"/>
          <w:b/>
        </w:rPr>
        <w:t>Список использованной литературы</w:t>
      </w:r>
    </w:p>
    <w:p w:rsidR="00847B9C" w:rsidRDefault="00847B9C" w:rsidP="0079318B">
      <w:pPr>
        <w:pStyle w:val="a3"/>
        <w:jc w:val="center"/>
        <w:rPr>
          <w:rFonts w:ascii="Arial" w:hAnsi="Arial" w:cs="Arial"/>
          <w:b/>
        </w:rPr>
      </w:pPr>
    </w:p>
    <w:p w:rsidR="00847B9C" w:rsidRDefault="00C21646" w:rsidP="00847B9C">
      <w:pPr>
        <w:pStyle w:val="a3"/>
        <w:rPr>
          <w:sz w:val="24"/>
          <w:szCs w:val="24"/>
        </w:rPr>
      </w:pPr>
      <w:r w:rsidRPr="00C21646">
        <w:rPr>
          <w:sz w:val="24"/>
          <w:szCs w:val="24"/>
        </w:rPr>
        <w:t>1. Базулин,</w:t>
      </w:r>
      <w:r>
        <w:rPr>
          <w:sz w:val="24"/>
          <w:szCs w:val="24"/>
        </w:rPr>
        <w:t xml:space="preserve"> Ю.В. Деньги. Кредит. Банки</w:t>
      </w:r>
      <w:r w:rsidR="00E55EA8">
        <w:rPr>
          <w:sz w:val="24"/>
          <w:szCs w:val="24"/>
        </w:rPr>
        <w:t>/ С.А. Белозеров. – М.: Проспект. – 2008. – 848 с.</w:t>
      </w:r>
    </w:p>
    <w:p w:rsidR="00847B9C" w:rsidRDefault="00847B9C" w:rsidP="00847B9C">
      <w:pPr>
        <w:pStyle w:val="a3"/>
        <w:rPr>
          <w:sz w:val="24"/>
          <w:szCs w:val="24"/>
        </w:rPr>
      </w:pPr>
      <w:r>
        <w:rPr>
          <w:sz w:val="24"/>
          <w:szCs w:val="24"/>
        </w:rPr>
        <w:t>2. Булатов</w:t>
      </w:r>
      <w:r w:rsidR="007E643B">
        <w:rPr>
          <w:sz w:val="24"/>
          <w:szCs w:val="24"/>
        </w:rPr>
        <w:t>, А.С. Экономика. – М.: издательство Бек. – 1997. – 898 с.</w:t>
      </w:r>
    </w:p>
    <w:p w:rsidR="00B718E6" w:rsidRDefault="006A3155" w:rsidP="00847B9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B718E6">
        <w:rPr>
          <w:sz w:val="24"/>
          <w:szCs w:val="24"/>
        </w:rPr>
        <w:t>Буторина, О.В. Международные валюты: интеграция и конкуренция. – М.: Издательский Дом «Деловая литература». – 2003. – 365 с.</w:t>
      </w:r>
    </w:p>
    <w:p w:rsidR="00B620FA" w:rsidRDefault="00B718E6" w:rsidP="00847B9C">
      <w:pPr>
        <w:pStyle w:val="a3"/>
        <w:rPr>
          <w:sz w:val="24"/>
          <w:szCs w:val="24"/>
        </w:rPr>
      </w:pPr>
      <w:r>
        <w:rPr>
          <w:sz w:val="24"/>
          <w:szCs w:val="24"/>
        </w:rPr>
        <w:t>4</w:t>
      </w:r>
      <w:r w:rsidR="00B620FA">
        <w:rPr>
          <w:sz w:val="24"/>
          <w:szCs w:val="24"/>
        </w:rPr>
        <w:t>. Борисов, С.М. Валюты стран мира/ Г.П. Рыбалко. – М.: Финансы и статистика</w:t>
      </w:r>
      <w:r w:rsidR="005076DE">
        <w:rPr>
          <w:sz w:val="24"/>
          <w:szCs w:val="24"/>
        </w:rPr>
        <w:t>. – 1987.  – 704</w:t>
      </w:r>
      <w:r w:rsidR="00F85C29">
        <w:rPr>
          <w:sz w:val="24"/>
          <w:szCs w:val="24"/>
        </w:rPr>
        <w:t xml:space="preserve"> с.</w:t>
      </w:r>
    </w:p>
    <w:p w:rsidR="00FF3857" w:rsidRDefault="00FF3857" w:rsidP="00847B9C">
      <w:pPr>
        <w:pStyle w:val="a3"/>
        <w:rPr>
          <w:sz w:val="24"/>
          <w:szCs w:val="24"/>
        </w:rPr>
      </w:pPr>
      <w:r>
        <w:rPr>
          <w:sz w:val="24"/>
          <w:szCs w:val="24"/>
        </w:rPr>
        <w:t>5. Воеводин, Е.Ф. Международные валютно-кредитные отношения. – М.: Дело и сервис. – 2003. – 424 с.</w:t>
      </w:r>
    </w:p>
    <w:p w:rsidR="00E076E7" w:rsidRDefault="003C077C" w:rsidP="00374A21">
      <w:pPr>
        <w:pStyle w:val="a3"/>
        <w:rPr>
          <w:sz w:val="24"/>
          <w:szCs w:val="24"/>
        </w:rPr>
      </w:pPr>
      <w:r>
        <w:rPr>
          <w:sz w:val="24"/>
          <w:szCs w:val="24"/>
        </w:rPr>
        <w:t>6</w:t>
      </w:r>
      <w:r w:rsidR="00E076E7">
        <w:rPr>
          <w:sz w:val="24"/>
          <w:szCs w:val="24"/>
        </w:rPr>
        <w:t xml:space="preserve">. Жуков, Е.Ф. Деньги и кредит. </w:t>
      </w:r>
      <w:r w:rsidR="00A46ED6">
        <w:rPr>
          <w:sz w:val="24"/>
          <w:szCs w:val="24"/>
        </w:rPr>
        <w:t>–</w:t>
      </w:r>
      <w:r w:rsidR="00E076E7">
        <w:rPr>
          <w:sz w:val="24"/>
          <w:szCs w:val="24"/>
        </w:rPr>
        <w:t xml:space="preserve"> </w:t>
      </w:r>
      <w:r w:rsidR="00A46ED6">
        <w:rPr>
          <w:sz w:val="24"/>
          <w:szCs w:val="24"/>
        </w:rPr>
        <w:t>М.: ЮНИТИ. – 2000. – 305 с.</w:t>
      </w:r>
    </w:p>
    <w:p w:rsidR="00847B9C" w:rsidRDefault="003C077C" w:rsidP="00374A21">
      <w:pPr>
        <w:pStyle w:val="a3"/>
        <w:rPr>
          <w:sz w:val="24"/>
          <w:szCs w:val="24"/>
        </w:rPr>
      </w:pPr>
      <w:r>
        <w:rPr>
          <w:sz w:val="24"/>
          <w:szCs w:val="24"/>
        </w:rPr>
        <w:t>7</w:t>
      </w:r>
      <w:r w:rsidR="00847B9C">
        <w:rPr>
          <w:sz w:val="24"/>
          <w:szCs w:val="24"/>
        </w:rPr>
        <w:t>. Иванов, В.В. Деньги. Кредит. Банки/ Б.И. Соколов. – М.: Проспект. – 2003. – 783 с.</w:t>
      </w:r>
    </w:p>
    <w:p w:rsidR="00E55EA8" w:rsidRDefault="003C077C" w:rsidP="00374A21">
      <w:pPr>
        <w:pStyle w:val="a3"/>
        <w:rPr>
          <w:sz w:val="24"/>
          <w:szCs w:val="24"/>
        </w:rPr>
      </w:pPr>
      <w:r>
        <w:rPr>
          <w:sz w:val="24"/>
          <w:szCs w:val="24"/>
        </w:rPr>
        <w:t>8</w:t>
      </w:r>
      <w:r w:rsidR="00374A21">
        <w:rPr>
          <w:sz w:val="24"/>
          <w:szCs w:val="24"/>
        </w:rPr>
        <w:t>.</w:t>
      </w:r>
      <w:r w:rsidR="00E55EA8">
        <w:rPr>
          <w:sz w:val="24"/>
          <w:szCs w:val="24"/>
        </w:rPr>
        <w:t xml:space="preserve"> Красавина, Л.Н. Международные валютно-кредитные и финансовые отношения. – М.: Финансы и статистика. – 2000. </w:t>
      </w:r>
      <w:r w:rsidR="00374A21">
        <w:rPr>
          <w:sz w:val="24"/>
          <w:szCs w:val="24"/>
        </w:rPr>
        <w:t xml:space="preserve">– 322 </w:t>
      </w:r>
      <w:r w:rsidR="00E55EA8">
        <w:rPr>
          <w:sz w:val="24"/>
          <w:szCs w:val="24"/>
        </w:rPr>
        <w:t>с.</w:t>
      </w:r>
    </w:p>
    <w:p w:rsidR="00B620FA" w:rsidRDefault="003C077C" w:rsidP="00374A21">
      <w:pPr>
        <w:pStyle w:val="a3"/>
        <w:rPr>
          <w:sz w:val="24"/>
          <w:szCs w:val="24"/>
        </w:rPr>
      </w:pPr>
      <w:r>
        <w:rPr>
          <w:sz w:val="24"/>
          <w:szCs w:val="24"/>
        </w:rPr>
        <w:t>9</w:t>
      </w:r>
      <w:r w:rsidR="00B620FA">
        <w:rPr>
          <w:sz w:val="24"/>
          <w:szCs w:val="24"/>
        </w:rPr>
        <w:t>. Криштаносов, В.Б. Международные финансовые организации. – Минск.: Армита-Маркетинг. – 2002. – 382 с.</w:t>
      </w:r>
    </w:p>
    <w:p w:rsidR="00E55EA8" w:rsidRDefault="003C077C" w:rsidP="00E55EA8">
      <w:pPr>
        <w:pStyle w:val="a3"/>
        <w:rPr>
          <w:sz w:val="24"/>
          <w:szCs w:val="24"/>
        </w:rPr>
      </w:pPr>
      <w:r>
        <w:rPr>
          <w:sz w:val="24"/>
          <w:szCs w:val="24"/>
        </w:rPr>
        <w:t>10</w:t>
      </w:r>
      <w:r w:rsidR="00E55EA8">
        <w:rPr>
          <w:sz w:val="24"/>
          <w:szCs w:val="24"/>
        </w:rPr>
        <w:t xml:space="preserve">. </w:t>
      </w:r>
      <w:r w:rsidR="00374A21">
        <w:rPr>
          <w:sz w:val="24"/>
          <w:szCs w:val="24"/>
        </w:rPr>
        <w:t xml:space="preserve">Круглов, В.В. Основы международных валютно-финансовых и кредитных отношений. – М.: ИНФРА-М. – 1998. – 286 с. </w:t>
      </w:r>
    </w:p>
    <w:p w:rsidR="00374A21" w:rsidRDefault="003C077C" w:rsidP="00E55EA8">
      <w:pPr>
        <w:pStyle w:val="a3"/>
        <w:rPr>
          <w:sz w:val="24"/>
          <w:szCs w:val="24"/>
        </w:rPr>
      </w:pPr>
      <w:r>
        <w:rPr>
          <w:sz w:val="24"/>
          <w:szCs w:val="24"/>
        </w:rPr>
        <w:t>11</w:t>
      </w:r>
      <w:r w:rsidR="00374A21">
        <w:rPr>
          <w:sz w:val="24"/>
          <w:szCs w:val="24"/>
        </w:rPr>
        <w:t xml:space="preserve">. Лаврушин, О.И. Деньги. Кредит. Банки./ М.М. Ямпольский., Ю.П. Савинский. – М.: Финансы и статистика. </w:t>
      </w:r>
      <w:r w:rsidR="00E076E7">
        <w:rPr>
          <w:sz w:val="24"/>
          <w:szCs w:val="24"/>
        </w:rPr>
        <w:t>– 2000. – 464с.</w:t>
      </w:r>
    </w:p>
    <w:p w:rsidR="00A46ED6" w:rsidRDefault="003C077C" w:rsidP="00B620FA">
      <w:pPr>
        <w:pStyle w:val="a3"/>
        <w:rPr>
          <w:sz w:val="24"/>
          <w:szCs w:val="24"/>
        </w:rPr>
      </w:pPr>
      <w:r>
        <w:rPr>
          <w:sz w:val="24"/>
          <w:szCs w:val="24"/>
        </w:rPr>
        <w:t>12</w:t>
      </w:r>
      <w:r w:rsidR="00E076E7">
        <w:rPr>
          <w:sz w:val="24"/>
          <w:szCs w:val="24"/>
        </w:rPr>
        <w:t xml:space="preserve">. </w:t>
      </w:r>
      <w:r w:rsidR="00A46ED6">
        <w:rPr>
          <w:sz w:val="24"/>
          <w:szCs w:val="24"/>
        </w:rPr>
        <w:t>Чернышева, Н.Е. Распад мировой долларовой системы: ближайшие перспективы. – М.: Аспект Пресс. – 2001. – 486 с.</w:t>
      </w:r>
    </w:p>
    <w:p w:rsidR="00847B9C" w:rsidRDefault="003C077C" w:rsidP="00B620FA">
      <w:pPr>
        <w:pStyle w:val="a3"/>
        <w:rPr>
          <w:sz w:val="24"/>
          <w:szCs w:val="24"/>
        </w:rPr>
      </w:pPr>
      <w:r>
        <w:rPr>
          <w:sz w:val="24"/>
          <w:szCs w:val="24"/>
        </w:rPr>
        <w:t>13</w:t>
      </w:r>
      <w:r w:rsidR="00847B9C">
        <w:rPr>
          <w:sz w:val="24"/>
          <w:szCs w:val="24"/>
        </w:rPr>
        <w:t>. Ден</w:t>
      </w:r>
      <w:r w:rsidR="005076DE">
        <w:rPr>
          <w:sz w:val="24"/>
          <w:szCs w:val="24"/>
        </w:rPr>
        <w:t>ьги и кредит. – 2002. - №5. – 128</w:t>
      </w:r>
      <w:r w:rsidR="00847B9C">
        <w:rPr>
          <w:sz w:val="24"/>
          <w:szCs w:val="24"/>
        </w:rPr>
        <w:t xml:space="preserve"> с.</w:t>
      </w:r>
    </w:p>
    <w:p w:rsidR="00B620FA" w:rsidRDefault="003C077C" w:rsidP="00B620FA">
      <w:pPr>
        <w:pStyle w:val="a3"/>
        <w:rPr>
          <w:sz w:val="24"/>
          <w:szCs w:val="24"/>
        </w:rPr>
      </w:pPr>
      <w:r>
        <w:rPr>
          <w:sz w:val="24"/>
          <w:szCs w:val="24"/>
        </w:rPr>
        <w:t>14</w:t>
      </w:r>
      <w:r w:rsidR="00A46ED6">
        <w:rPr>
          <w:sz w:val="24"/>
          <w:szCs w:val="24"/>
        </w:rPr>
        <w:t>. Ден</w:t>
      </w:r>
      <w:r w:rsidR="005076DE">
        <w:rPr>
          <w:sz w:val="24"/>
          <w:szCs w:val="24"/>
        </w:rPr>
        <w:t>ьги и кредит. – 2002. - №7. – 114</w:t>
      </w:r>
      <w:r w:rsidR="00A46ED6">
        <w:rPr>
          <w:sz w:val="24"/>
          <w:szCs w:val="24"/>
        </w:rPr>
        <w:t xml:space="preserve"> </w:t>
      </w:r>
      <w:r w:rsidR="00B620FA">
        <w:rPr>
          <w:sz w:val="24"/>
          <w:szCs w:val="24"/>
        </w:rPr>
        <w:t xml:space="preserve">с. </w:t>
      </w:r>
    </w:p>
    <w:p w:rsidR="00A46ED6" w:rsidRPr="00C21646" w:rsidRDefault="003C077C" w:rsidP="00B620FA">
      <w:pPr>
        <w:pStyle w:val="a3"/>
        <w:rPr>
          <w:sz w:val="24"/>
          <w:szCs w:val="24"/>
        </w:rPr>
      </w:pPr>
      <w:r>
        <w:rPr>
          <w:sz w:val="24"/>
          <w:szCs w:val="24"/>
        </w:rPr>
        <w:t>15</w:t>
      </w:r>
      <w:r w:rsidR="00A46ED6">
        <w:rPr>
          <w:sz w:val="24"/>
          <w:szCs w:val="24"/>
        </w:rPr>
        <w:t>. Наша власть:</w:t>
      </w:r>
      <w:r w:rsidR="00B86F46">
        <w:rPr>
          <w:sz w:val="24"/>
          <w:szCs w:val="24"/>
        </w:rPr>
        <w:t xml:space="preserve"> дела и лица. – 2001. - №5. – 234</w:t>
      </w:r>
      <w:r w:rsidR="00A46ED6">
        <w:rPr>
          <w:sz w:val="24"/>
          <w:szCs w:val="24"/>
        </w:rPr>
        <w:t xml:space="preserve"> с.</w:t>
      </w:r>
    </w:p>
    <w:p w:rsidR="00E55EA8" w:rsidRDefault="00E55EA8" w:rsidP="0079318B">
      <w:pPr>
        <w:jc w:val="both"/>
        <w:rPr>
          <w:bCs/>
          <w:iCs/>
          <w:sz w:val="22"/>
          <w:szCs w:val="22"/>
        </w:rPr>
      </w:pPr>
    </w:p>
    <w:p w:rsidR="000050FC" w:rsidRDefault="000050FC" w:rsidP="00C31638"/>
    <w:p w:rsidR="000050FC" w:rsidRDefault="000050FC" w:rsidP="00C31638"/>
    <w:p w:rsidR="000050FC" w:rsidRDefault="000050FC" w:rsidP="00C31638"/>
    <w:p w:rsidR="000050FC" w:rsidRDefault="000050FC" w:rsidP="00C31638"/>
    <w:p w:rsidR="000050FC" w:rsidRDefault="000050FC" w:rsidP="00C31638"/>
    <w:p w:rsidR="000050FC" w:rsidRDefault="000050FC" w:rsidP="00C31638"/>
    <w:p w:rsidR="000050FC" w:rsidRDefault="000050FC" w:rsidP="00C31638"/>
    <w:p w:rsidR="000050FC" w:rsidRDefault="000050FC" w:rsidP="00C31638"/>
    <w:p w:rsidR="000050FC" w:rsidRDefault="000050FC" w:rsidP="00C31638"/>
    <w:p w:rsidR="000050FC" w:rsidRDefault="000050FC" w:rsidP="00C31638"/>
    <w:p w:rsidR="00847B9C" w:rsidRDefault="00847B9C" w:rsidP="00C31638"/>
    <w:p w:rsidR="00E818F4" w:rsidRDefault="00E818F4" w:rsidP="00C31638"/>
    <w:p w:rsidR="00C31638" w:rsidRDefault="00C31638" w:rsidP="00C31638"/>
    <w:p w:rsidR="00C31638" w:rsidRDefault="00C31638" w:rsidP="00C31638">
      <w:r>
        <w:t>ПРИЛОЖЕНИЕ 1</w:t>
      </w:r>
    </w:p>
    <w:p w:rsidR="00C31638" w:rsidRPr="00E818F4" w:rsidRDefault="00C31638" w:rsidP="00C31638"/>
    <w:p w:rsidR="00C31638" w:rsidRPr="00E818F4" w:rsidRDefault="00C31638" w:rsidP="00C31638">
      <w:pPr>
        <w:spacing w:line="360" w:lineRule="auto"/>
        <w:jc w:val="center"/>
      </w:pPr>
      <w:r w:rsidRPr="00E818F4">
        <w:rPr>
          <w:b/>
        </w:rPr>
        <w:t>Удельный вес валют в корзине СДР, % к совокупной стоимости корзины</w:t>
      </w:r>
      <w:r w:rsidR="005E209B">
        <w:rPr>
          <w:rStyle w:val="a5"/>
          <w:b/>
        </w:rPr>
        <w:footnoteReference w:id="5"/>
      </w:r>
    </w:p>
    <w:tbl>
      <w:tblPr>
        <w:tblW w:w="9800" w:type="dxa"/>
        <w:tblInd w:w="93" w:type="dxa"/>
        <w:tblLook w:val="0000" w:firstRow="0" w:lastRow="0" w:firstColumn="0" w:lastColumn="0" w:noHBand="0" w:noVBand="0"/>
      </w:tblPr>
      <w:tblGrid>
        <w:gridCol w:w="2748"/>
        <w:gridCol w:w="1053"/>
        <w:gridCol w:w="1053"/>
        <w:gridCol w:w="1052"/>
        <w:gridCol w:w="1052"/>
        <w:gridCol w:w="1052"/>
        <w:gridCol w:w="1052"/>
        <w:gridCol w:w="1037"/>
      </w:tblGrid>
      <w:tr w:rsidR="00C31638">
        <w:trPr>
          <w:trHeight w:val="57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638" w:rsidRDefault="00C31638" w:rsidP="00F75CB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Валюты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638" w:rsidRDefault="00C31638" w:rsidP="00F75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638" w:rsidRDefault="00C31638" w:rsidP="00F75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638" w:rsidRDefault="00C31638" w:rsidP="00F75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638" w:rsidRDefault="00C31638" w:rsidP="00F75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638" w:rsidRDefault="00C31638" w:rsidP="00F75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01.07.1991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638" w:rsidRDefault="00C31638" w:rsidP="00F75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01.07.1996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638" w:rsidRDefault="00C31638" w:rsidP="00F75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период 2001-2005 гг.</w:t>
            </w:r>
          </w:p>
        </w:tc>
      </w:tr>
      <w:tr w:rsidR="00C31638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Доллар США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C31638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Марка ФРГ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</w:tr>
      <w:tr w:rsidR="00C31638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Иена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C31638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Французский франк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</w:tr>
      <w:tr w:rsidR="00C31638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Фунт стерлингов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C31638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Итальянская лира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</w:tr>
      <w:tr w:rsidR="00C31638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Голландский гульден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</w:tr>
      <w:tr w:rsidR="00C31638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Канадский доллар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</w:tr>
      <w:tr w:rsidR="00C31638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Бельгийский франк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</w:tr>
      <w:tr w:rsidR="00C31638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Риал Саудовской Аравии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</w:tr>
      <w:tr w:rsidR="00C31638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Шведская крона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</w:tr>
      <w:tr w:rsidR="00C31638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Иранский риал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</w:tr>
      <w:tr w:rsidR="00C31638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Австралийский доллар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</w:tr>
      <w:tr w:rsidR="00C31638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Датская крона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</w:tr>
      <w:tr w:rsidR="00C31638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Испанская песета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</w:tr>
      <w:tr w:rsidR="00C31638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Норвежская крона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</w:tr>
      <w:tr w:rsidR="00C31638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Австрийский шиллинг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</w:tr>
      <w:tr w:rsidR="00C31638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Ранд ЮАР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</w:tr>
      <w:tr w:rsidR="00C31638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Евро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8" w:rsidRDefault="00C31638" w:rsidP="00F75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</w:tbl>
    <w:p w:rsidR="00C31638" w:rsidRDefault="00C31638" w:rsidP="00C31638">
      <w:pPr>
        <w:spacing w:line="360" w:lineRule="auto"/>
        <w:jc w:val="both"/>
      </w:pPr>
    </w:p>
    <w:p w:rsidR="00CD2313" w:rsidRPr="00C31638" w:rsidRDefault="00CD2313" w:rsidP="00C31638">
      <w:bookmarkStart w:id="1" w:name="_GoBack"/>
      <w:bookmarkEnd w:id="1"/>
    </w:p>
    <w:sectPr w:rsidR="00CD2313" w:rsidRPr="00C31638" w:rsidSect="00654ABD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D29" w:rsidRDefault="00493D29">
      <w:r>
        <w:separator/>
      </w:r>
    </w:p>
  </w:endnote>
  <w:endnote w:type="continuationSeparator" w:id="0">
    <w:p w:rsidR="00493D29" w:rsidRDefault="00493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D29" w:rsidRDefault="00493D29">
      <w:r>
        <w:separator/>
      </w:r>
    </w:p>
  </w:footnote>
  <w:footnote w:type="continuationSeparator" w:id="0">
    <w:p w:rsidR="00493D29" w:rsidRDefault="00493D29">
      <w:r>
        <w:continuationSeparator/>
      </w:r>
    </w:p>
  </w:footnote>
  <w:footnote w:id="1">
    <w:p w:rsidR="007C50AE" w:rsidRDefault="007C50AE">
      <w:pPr>
        <w:pStyle w:val="a4"/>
      </w:pPr>
      <w:r>
        <w:rPr>
          <w:rStyle w:val="a5"/>
        </w:rPr>
        <w:footnoteRef/>
      </w:r>
      <w:r>
        <w:t xml:space="preserve"> Составлено по</w:t>
      </w:r>
      <w:r w:rsidR="00FF3857">
        <w:t xml:space="preserve"> [</w:t>
      </w:r>
      <w:r w:rsidR="003C077C">
        <w:t>11</w:t>
      </w:r>
      <w:r w:rsidR="00FF3857">
        <w:t>. С.254</w:t>
      </w:r>
      <w:r w:rsidR="00FF3857" w:rsidRPr="00135BA1">
        <w:t>]</w:t>
      </w:r>
      <w:r w:rsidR="003C077C">
        <w:t>, [</w:t>
      </w:r>
      <w:r w:rsidR="003C077C" w:rsidRPr="0003450D">
        <w:t>1. С.376</w:t>
      </w:r>
      <w:r w:rsidR="003C077C" w:rsidRPr="00135BA1">
        <w:t>]</w:t>
      </w:r>
      <w:r w:rsidR="003C077C">
        <w:t>,</w:t>
      </w:r>
      <w:r w:rsidR="003C077C" w:rsidRPr="003C077C">
        <w:t xml:space="preserve"> </w:t>
      </w:r>
      <w:r w:rsidR="003C077C" w:rsidRPr="00FF3857">
        <w:t>[5. С.248].</w:t>
      </w:r>
    </w:p>
  </w:footnote>
  <w:footnote w:id="2">
    <w:p w:rsidR="00B37D3D" w:rsidRPr="00091721" w:rsidRDefault="00B37D3D">
      <w:pPr>
        <w:pStyle w:val="a4"/>
      </w:pPr>
      <w:r>
        <w:rPr>
          <w:rStyle w:val="a5"/>
        </w:rPr>
        <w:footnoteRef/>
      </w:r>
      <w:r>
        <w:t xml:space="preserve"> В конференции участвовало 730 представителей из 44 стран. Все страны, включая СССР, подписали заключительный акт, из них 29 стран впоследствии подписали и Статьи соглашения МВФ. МВФ формально начал действовать 27 декабря 1945г., а осуществлять финансовые операции – с 1 марта 1947г. СССР не подписал этот документ и на 47 лет исключил себя из международной валютной системы </w:t>
      </w:r>
      <w:r w:rsidRPr="00584D18">
        <w:t>[</w:t>
      </w:r>
      <w:r w:rsidR="003C077C">
        <w:t>9. С.</w:t>
      </w:r>
      <w:r>
        <w:t>13</w:t>
      </w:r>
      <w:r w:rsidRPr="00091721">
        <w:t>]</w:t>
      </w:r>
      <w:r>
        <w:t>.</w:t>
      </w:r>
    </w:p>
  </w:footnote>
  <w:footnote w:id="3">
    <w:p w:rsidR="00E744D7" w:rsidRDefault="00E744D7">
      <w:pPr>
        <w:pStyle w:val="a4"/>
      </w:pPr>
      <w:r>
        <w:rPr>
          <w:rStyle w:val="a5"/>
        </w:rPr>
        <w:footnoteRef/>
      </w:r>
      <w:r>
        <w:t xml:space="preserve"> Указан обратный курс доллара по отношению к иене.</w:t>
      </w:r>
    </w:p>
  </w:footnote>
  <w:footnote w:id="4">
    <w:p w:rsidR="00100461" w:rsidRDefault="00100461">
      <w:pPr>
        <w:pStyle w:val="a4"/>
      </w:pPr>
      <w:r>
        <w:rPr>
          <w:rStyle w:val="a5"/>
        </w:rPr>
        <w:footnoteRef/>
      </w:r>
      <w:r>
        <w:t xml:space="preserve"> </w:t>
      </w:r>
      <w:r w:rsidRPr="00E818F4">
        <w:t>[1. С.</w:t>
      </w:r>
      <w:r>
        <w:t>398</w:t>
      </w:r>
      <w:r w:rsidRPr="00E818F4">
        <w:t>]</w:t>
      </w:r>
      <w:r>
        <w:t>,</w:t>
      </w:r>
      <w:r w:rsidRPr="00100461">
        <w:t xml:space="preserve"> </w:t>
      </w:r>
      <w:r w:rsidRPr="00E818F4">
        <w:t>[</w:t>
      </w:r>
      <w:r>
        <w:t>1</w:t>
      </w:r>
      <w:r w:rsidRPr="00E818F4">
        <w:t>1. С.</w:t>
      </w:r>
      <w:r>
        <w:t>258</w:t>
      </w:r>
      <w:r w:rsidRPr="00E818F4">
        <w:t>]</w:t>
      </w:r>
      <w:r>
        <w:t>,</w:t>
      </w:r>
      <w:r w:rsidRPr="00100461">
        <w:t xml:space="preserve"> </w:t>
      </w:r>
      <w:r w:rsidRPr="00E818F4">
        <w:t>[</w:t>
      </w:r>
      <w:r>
        <w:t>13</w:t>
      </w:r>
      <w:r w:rsidRPr="00E818F4">
        <w:t>. С.</w:t>
      </w:r>
      <w:r>
        <w:t>59</w:t>
      </w:r>
      <w:r w:rsidRPr="00E818F4">
        <w:t>]</w:t>
      </w:r>
      <w:r w:rsidRPr="00E1784B">
        <w:t>.</w:t>
      </w:r>
    </w:p>
  </w:footnote>
  <w:footnote w:id="5">
    <w:p w:rsidR="005E209B" w:rsidRDefault="005E209B">
      <w:pPr>
        <w:pStyle w:val="a4"/>
      </w:pPr>
      <w:r>
        <w:rPr>
          <w:rStyle w:val="a5"/>
        </w:rPr>
        <w:footnoteRef/>
      </w:r>
      <w:r>
        <w:t xml:space="preserve"> Составлено по [6. С.82</w:t>
      </w:r>
      <w:r w:rsidRPr="00135BA1">
        <w:t>]</w:t>
      </w:r>
      <w:r>
        <w:t>, [13. С.57</w:t>
      </w:r>
      <w:r w:rsidRPr="00135BA1">
        <w:t>]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24255"/>
    <w:multiLevelType w:val="hybridMultilevel"/>
    <w:tmpl w:val="1708DC82"/>
    <w:lvl w:ilvl="0" w:tplc="A1A01E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B83BAD"/>
    <w:multiLevelType w:val="hybridMultilevel"/>
    <w:tmpl w:val="5C56D704"/>
    <w:lvl w:ilvl="0" w:tplc="A1A01E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9E109B"/>
    <w:multiLevelType w:val="hybridMultilevel"/>
    <w:tmpl w:val="8C3A32CC"/>
    <w:lvl w:ilvl="0" w:tplc="B5A028F4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">
    <w:nsid w:val="0AB7320C"/>
    <w:multiLevelType w:val="hybridMultilevel"/>
    <w:tmpl w:val="273EF65E"/>
    <w:lvl w:ilvl="0" w:tplc="68DE63F4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4692A3D"/>
    <w:multiLevelType w:val="hybridMultilevel"/>
    <w:tmpl w:val="3A8EAFAE"/>
    <w:lvl w:ilvl="0" w:tplc="A1A01E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0E03B3"/>
    <w:multiLevelType w:val="hybridMultilevel"/>
    <w:tmpl w:val="21DA0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C96BE3"/>
    <w:multiLevelType w:val="hybridMultilevel"/>
    <w:tmpl w:val="48369C64"/>
    <w:lvl w:ilvl="0" w:tplc="A1A01E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215698"/>
    <w:multiLevelType w:val="hybridMultilevel"/>
    <w:tmpl w:val="BD7E0790"/>
    <w:lvl w:ilvl="0" w:tplc="A1A01E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6C4726"/>
    <w:multiLevelType w:val="hybridMultilevel"/>
    <w:tmpl w:val="7F52EA5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>
    <w:nsid w:val="2B396518"/>
    <w:multiLevelType w:val="hybridMultilevel"/>
    <w:tmpl w:val="4580B576"/>
    <w:lvl w:ilvl="0" w:tplc="53DA251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5303387"/>
    <w:multiLevelType w:val="hybridMultilevel"/>
    <w:tmpl w:val="1FCAEB58"/>
    <w:lvl w:ilvl="0" w:tplc="A1A01E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FD155C"/>
    <w:multiLevelType w:val="hybridMultilevel"/>
    <w:tmpl w:val="8F148B1E"/>
    <w:lvl w:ilvl="0" w:tplc="E364263E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C5A0843"/>
    <w:multiLevelType w:val="hybridMultilevel"/>
    <w:tmpl w:val="CDB67C8E"/>
    <w:lvl w:ilvl="0" w:tplc="C682004C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3C22FCB"/>
    <w:multiLevelType w:val="hybridMultilevel"/>
    <w:tmpl w:val="5786239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465C7BFB"/>
    <w:multiLevelType w:val="hybridMultilevel"/>
    <w:tmpl w:val="5EAA315E"/>
    <w:lvl w:ilvl="0" w:tplc="A1A01E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AE382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B0665F6"/>
    <w:multiLevelType w:val="hybridMultilevel"/>
    <w:tmpl w:val="856E64C2"/>
    <w:lvl w:ilvl="0" w:tplc="D43A3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DC7BF8">
      <w:numFmt w:val="none"/>
      <w:lvlText w:val=""/>
      <w:lvlJc w:val="left"/>
      <w:pPr>
        <w:tabs>
          <w:tab w:val="num" w:pos="360"/>
        </w:tabs>
      </w:pPr>
    </w:lvl>
    <w:lvl w:ilvl="2" w:tplc="38EC177E">
      <w:numFmt w:val="none"/>
      <w:lvlText w:val=""/>
      <w:lvlJc w:val="left"/>
      <w:pPr>
        <w:tabs>
          <w:tab w:val="num" w:pos="360"/>
        </w:tabs>
      </w:pPr>
    </w:lvl>
    <w:lvl w:ilvl="3" w:tplc="A01E16D8">
      <w:numFmt w:val="none"/>
      <w:lvlText w:val=""/>
      <w:lvlJc w:val="left"/>
      <w:pPr>
        <w:tabs>
          <w:tab w:val="num" w:pos="360"/>
        </w:tabs>
      </w:pPr>
    </w:lvl>
    <w:lvl w:ilvl="4" w:tplc="9D847E32">
      <w:numFmt w:val="none"/>
      <w:lvlText w:val=""/>
      <w:lvlJc w:val="left"/>
      <w:pPr>
        <w:tabs>
          <w:tab w:val="num" w:pos="360"/>
        </w:tabs>
      </w:pPr>
    </w:lvl>
    <w:lvl w:ilvl="5" w:tplc="B8A65A42">
      <w:numFmt w:val="none"/>
      <w:lvlText w:val=""/>
      <w:lvlJc w:val="left"/>
      <w:pPr>
        <w:tabs>
          <w:tab w:val="num" w:pos="360"/>
        </w:tabs>
      </w:pPr>
    </w:lvl>
    <w:lvl w:ilvl="6" w:tplc="0E5E6C52">
      <w:numFmt w:val="none"/>
      <w:lvlText w:val=""/>
      <w:lvlJc w:val="left"/>
      <w:pPr>
        <w:tabs>
          <w:tab w:val="num" w:pos="360"/>
        </w:tabs>
      </w:pPr>
    </w:lvl>
    <w:lvl w:ilvl="7" w:tplc="FA7C11E4">
      <w:numFmt w:val="none"/>
      <w:lvlText w:val=""/>
      <w:lvlJc w:val="left"/>
      <w:pPr>
        <w:tabs>
          <w:tab w:val="num" w:pos="360"/>
        </w:tabs>
      </w:pPr>
    </w:lvl>
    <w:lvl w:ilvl="8" w:tplc="B90ECE92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51D633F6"/>
    <w:multiLevelType w:val="hybridMultilevel"/>
    <w:tmpl w:val="699E5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9A1E46"/>
    <w:multiLevelType w:val="hybridMultilevel"/>
    <w:tmpl w:val="440CD092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9">
    <w:nsid w:val="6A575E0D"/>
    <w:multiLevelType w:val="hybridMultilevel"/>
    <w:tmpl w:val="DDC439EE"/>
    <w:lvl w:ilvl="0" w:tplc="FED86896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17A20FB"/>
    <w:multiLevelType w:val="hybridMultilevel"/>
    <w:tmpl w:val="DE12D5BE"/>
    <w:lvl w:ilvl="0" w:tplc="A1A01E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1">
    <w:nsid w:val="720E6154"/>
    <w:multiLevelType w:val="hybridMultilevel"/>
    <w:tmpl w:val="769CBE30"/>
    <w:lvl w:ilvl="0" w:tplc="ACA00484">
      <w:start w:val="1"/>
      <w:numFmt w:val="decimal"/>
      <w:lvlText w:val="%1)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7395630F"/>
    <w:multiLevelType w:val="singleLevel"/>
    <w:tmpl w:val="17C895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7195C51"/>
    <w:multiLevelType w:val="hybridMultilevel"/>
    <w:tmpl w:val="C652C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3"/>
  </w:num>
  <w:num w:numId="4">
    <w:abstractNumId w:val="7"/>
  </w:num>
  <w:num w:numId="5">
    <w:abstractNumId w:val="0"/>
  </w:num>
  <w:num w:numId="6">
    <w:abstractNumId w:val="4"/>
  </w:num>
  <w:num w:numId="7">
    <w:abstractNumId w:val="20"/>
  </w:num>
  <w:num w:numId="8">
    <w:abstractNumId w:val="1"/>
  </w:num>
  <w:num w:numId="9">
    <w:abstractNumId w:val="10"/>
  </w:num>
  <w:num w:numId="10">
    <w:abstractNumId w:val="14"/>
  </w:num>
  <w:num w:numId="11">
    <w:abstractNumId w:val="6"/>
  </w:num>
  <w:num w:numId="12">
    <w:abstractNumId w:val="18"/>
  </w:num>
  <w:num w:numId="13">
    <w:abstractNumId w:val="22"/>
  </w:num>
  <w:num w:numId="14">
    <w:abstractNumId w:val="5"/>
  </w:num>
  <w:num w:numId="15">
    <w:abstractNumId w:val="8"/>
  </w:num>
  <w:num w:numId="16">
    <w:abstractNumId w:val="21"/>
  </w:num>
  <w:num w:numId="17">
    <w:abstractNumId w:val="16"/>
  </w:num>
  <w:num w:numId="18">
    <w:abstractNumId w:val="23"/>
  </w:num>
  <w:num w:numId="19">
    <w:abstractNumId w:val="17"/>
  </w:num>
  <w:num w:numId="20">
    <w:abstractNumId w:val="12"/>
  </w:num>
  <w:num w:numId="21">
    <w:abstractNumId w:val="3"/>
  </w:num>
  <w:num w:numId="22">
    <w:abstractNumId w:val="11"/>
  </w:num>
  <w:num w:numId="23">
    <w:abstractNumId w:val="9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2428"/>
    <w:rsid w:val="00000A4D"/>
    <w:rsid w:val="000050FC"/>
    <w:rsid w:val="00010BC9"/>
    <w:rsid w:val="00014F1B"/>
    <w:rsid w:val="00015E6B"/>
    <w:rsid w:val="00032428"/>
    <w:rsid w:val="0003450D"/>
    <w:rsid w:val="000358EE"/>
    <w:rsid w:val="00041849"/>
    <w:rsid w:val="00052133"/>
    <w:rsid w:val="000574DA"/>
    <w:rsid w:val="0007085F"/>
    <w:rsid w:val="00075446"/>
    <w:rsid w:val="00077524"/>
    <w:rsid w:val="00091721"/>
    <w:rsid w:val="00092407"/>
    <w:rsid w:val="00093D9B"/>
    <w:rsid w:val="0009540C"/>
    <w:rsid w:val="000B47BC"/>
    <w:rsid w:val="000C2B96"/>
    <w:rsid w:val="000D5812"/>
    <w:rsid w:val="000E27A2"/>
    <w:rsid w:val="000E66F8"/>
    <w:rsid w:val="00100461"/>
    <w:rsid w:val="001033C2"/>
    <w:rsid w:val="00107933"/>
    <w:rsid w:val="00121F71"/>
    <w:rsid w:val="00127697"/>
    <w:rsid w:val="001339BB"/>
    <w:rsid w:val="00133FD4"/>
    <w:rsid w:val="00135BA1"/>
    <w:rsid w:val="00141FE7"/>
    <w:rsid w:val="00144DD5"/>
    <w:rsid w:val="0014584A"/>
    <w:rsid w:val="00154A29"/>
    <w:rsid w:val="00175E6C"/>
    <w:rsid w:val="0018630F"/>
    <w:rsid w:val="00194EDB"/>
    <w:rsid w:val="00194F05"/>
    <w:rsid w:val="0019581F"/>
    <w:rsid w:val="00196172"/>
    <w:rsid w:val="001A2F76"/>
    <w:rsid w:val="001B50FF"/>
    <w:rsid w:val="001B68D2"/>
    <w:rsid w:val="001C298B"/>
    <w:rsid w:val="001C4574"/>
    <w:rsid w:val="001C7EA9"/>
    <w:rsid w:val="001F2D96"/>
    <w:rsid w:val="001F3107"/>
    <w:rsid w:val="001F7B95"/>
    <w:rsid w:val="002005D8"/>
    <w:rsid w:val="00214831"/>
    <w:rsid w:val="00216EE9"/>
    <w:rsid w:val="00221DF4"/>
    <w:rsid w:val="002278F1"/>
    <w:rsid w:val="00237989"/>
    <w:rsid w:val="00242C45"/>
    <w:rsid w:val="002436BC"/>
    <w:rsid w:val="0026165B"/>
    <w:rsid w:val="00261D44"/>
    <w:rsid w:val="0026371A"/>
    <w:rsid w:val="002663E6"/>
    <w:rsid w:val="00282C6C"/>
    <w:rsid w:val="00293AFE"/>
    <w:rsid w:val="002A3BD6"/>
    <w:rsid w:val="002A72A4"/>
    <w:rsid w:val="002B1580"/>
    <w:rsid w:val="002C3607"/>
    <w:rsid w:val="002C5240"/>
    <w:rsid w:val="002C5CEB"/>
    <w:rsid w:val="002E418A"/>
    <w:rsid w:val="00304E03"/>
    <w:rsid w:val="00313112"/>
    <w:rsid w:val="00314276"/>
    <w:rsid w:val="003155AD"/>
    <w:rsid w:val="00326350"/>
    <w:rsid w:val="00327FA9"/>
    <w:rsid w:val="003303DB"/>
    <w:rsid w:val="00340785"/>
    <w:rsid w:val="00340A85"/>
    <w:rsid w:val="00343454"/>
    <w:rsid w:val="00357750"/>
    <w:rsid w:val="0037488B"/>
    <w:rsid w:val="00374A21"/>
    <w:rsid w:val="0037729B"/>
    <w:rsid w:val="00377838"/>
    <w:rsid w:val="00383400"/>
    <w:rsid w:val="00393E38"/>
    <w:rsid w:val="003C077C"/>
    <w:rsid w:val="003C4DAC"/>
    <w:rsid w:val="003C6DE4"/>
    <w:rsid w:val="003C7067"/>
    <w:rsid w:val="003D034C"/>
    <w:rsid w:val="003F08D8"/>
    <w:rsid w:val="004018A0"/>
    <w:rsid w:val="004026DD"/>
    <w:rsid w:val="00403E40"/>
    <w:rsid w:val="00405E7B"/>
    <w:rsid w:val="00425F9C"/>
    <w:rsid w:val="004317A5"/>
    <w:rsid w:val="00431CB9"/>
    <w:rsid w:val="00454635"/>
    <w:rsid w:val="00463CBC"/>
    <w:rsid w:val="00464311"/>
    <w:rsid w:val="00474022"/>
    <w:rsid w:val="0047524C"/>
    <w:rsid w:val="00493D29"/>
    <w:rsid w:val="004B672D"/>
    <w:rsid w:val="004C1E15"/>
    <w:rsid w:val="004C3437"/>
    <w:rsid w:val="004D247A"/>
    <w:rsid w:val="004E475F"/>
    <w:rsid w:val="004F2691"/>
    <w:rsid w:val="004F69C8"/>
    <w:rsid w:val="00500B96"/>
    <w:rsid w:val="005076DE"/>
    <w:rsid w:val="00526BAF"/>
    <w:rsid w:val="00544EC5"/>
    <w:rsid w:val="00555E06"/>
    <w:rsid w:val="00561159"/>
    <w:rsid w:val="005679BD"/>
    <w:rsid w:val="00570E40"/>
    <w:rsid w:val="00573A71"/>
    <w:rsid w:val="005745D1"/>
    <w:rsid w:val="005778B8"/>
    <w:rsid w:val="00584D18"/>
    <w:rsid w:val="005878A8"/>
    <w:rsid w:val="00592ECC"/>
    <w:rsid w:val="005A0D9B"/>
    <w:rsid w:val="005A51A4"/>
    <w:rsid w:val="005B03FD"/>
    <w:rsid w:val="005C222E"/>
    <w:rsid w:val="005C65C6"/>
    <w:rsid w:val="005E209B"/>
    <w:rsid w:val="005E4647"/>
    <w:rsid w:val="005E49A1"/>
    <w:rsid w:val="005E53D1"/>
    <w:rsid w:val="005F1C78"/>
    <w:rsid w:val="00601CDF"/>
    <w:rsid w:val="00603415"/>
    <w:rsid w:val="00624BF3"/>
    <w:rsid w:val="0063259F"/>
    <w:rsid w:val="00650FB1"/>
    <w:rsid w:val="00654ABD"/>
    <w:rsid w:val="00656216"/>
    <w:rsid w:val="00663C9D"/>
    <w:rsid w:val="00663F68"/>
    <w:rsid w:val="00664BB6"/>
    <w:rsid w:val="0066615B"/>
    <w:rsid w:val="00674E12"/>
    <w:rsid w:val="0068150C"/>
    <w:rsid w:val="0069007E"/>
    <w:rsid w:val="00692368"/>
    <w:rsid w:val="00697302"/>
    <w:rsid w:val="006A1988"/>
    <w:rsid w:val="006A3155"/>
    <w:rsid w:val="006A719A"/>
    <w:rsid w:val="006B0428"/>
    <w:rsid w:val="006C2564"/>
    <w:rsid w:val="006D548E"/>
    <w:rsid w:val="006D7EAD"/>
    <w:rsid w:val="006E0E80"/>
    <w:rsid w:val="006E3224"/>
    <w:rsid w:val="006E53C0"/>
    <w:rsid w:val="0070137B"/>
    <w:rsid w:val="0070754B"/>
    <w:rsid w:val="00713087"/>
    <w:rsid w:val="007239AF"/>
    <w:rsid w:val="0073006D"/>
    <w:rsid w:val="007420B4"/>
    <w:rsid w:val="00754968"/>
    <w:rsid w:val="0075647B"/>
    <w:rsid w:val="0076767E"/>
    <w:rsid w:val="00772135"/>
    <w:rsid w:val="0077381C"/>
    <w:rsid w:val="00777A3E"/>
    <w:rsid w:val="0079318B"/>
    <w:rsid w:val="007A24B3"/>
    <w:rsid w:val="007A6EF8"/>
    <w:rsid w:val="007C50AE"/>
    <w:rsid w:val="007D363C"/>
    <w:rsid w:val="007D573F"/>
    <w:rsid w:val="007E1173"/>
    <w:rsid w:val="007E643B"/>
    <w:rsid w:val="007F4A0E"/>
    <w:rsid w:val="00805910"/>
    <w:rsid w:val="00816BC3"/>
    <w:rsid w:val="00836400"/>
    <w:rsid w:val="00840B3D"/>
    <w:rsid w:val="00847B9C"/>
    <w:rsid w:val="00854A51"/>
    <w:rsid w:val="00861BCE"/>
    <w:rsid w:val="008637C2"/>
    <w:rsid w:val="00863B96"/>
    <w:rsid w:val="0087043C"/>
    <w:rsid w:val="0088050E"/>
    <w:rsid w:val="00882067"/>
    <w:rsid w:val="008A7D68"/>
    <w:rsid w:val="008B0476"/>
    <w:rsid w:val="008C3471"/>
    <w:rsid w:val="008C59B7"/>
    <w:rsid w:val="008C68C7"/>
    <w:rsid w:val="008D45AE"/>
    <w:rsid w:val="008D4606"/>
    <w:rsid w:val="008E3095"/>
    <w:rsid w:val="00912489"/>
    <w:rsid w:val="00920C9D"/>
    <w:rsid w:val="009238AD"/>
    <w:rsid w:val="00927126"/>
    <w:rsid w:val="0094063F"/>
    <w:rsid w:val="00945C1E"/>
    <w:rsid w:val="0094728C"/>
    <w:rsid w:val="009475CD"/>
    <w:rsid w:val="00956DB7"/>
    <w:rsid w:val="009576D4"/>
    <w:rsid w:val="009A407B"/>
    <w:rsid w:val="009C3E36"/>
    <w:rsid w:val="009E0448"/>
    <w:rsid w:val="009E6C89"/>
    <w:rsid w:val="009F4C12"/>
    <w:rsid w:val="00A039B2"/>
    <w:rsid w:val="00A03DF4"/>
    <w:rsid w:val="00A055C8"/>
    <w:rsid w:val="00A06166"/>
    <w:rsid w:val="00A23068"/>
    <w:rsid w:val="00A336CB"/>
    <w:rsid w:val="00A42C80"/>
    <w:rsid w:val="00A46ED6"/>
    <w:rsid w:val="00A57C7F"/>
    <w:rsid w:val="00A61566"/>
    <w:rsid w:val="00A83244"/>
    <w:rsid w:val="00A91BD5"/>
    <w:rsid w:val="00A91D73"/>
    <w:rsid w:val="00A95E57"/>
    <w:rsid w:val="00AA0C3D"/>
    <w:rsid w:val="00AA27E7"/>
    <w:rsid w:val="00AC09E2"/>
    <w:rsid w:val="00AD1862"/>
    <w:rsid w:val="00AD4548"/>
    <w:rsid w:val="00AD612E"/>
    <w:rsid w:val="00AE6857"/>
    <w:rsid w:val="00AF66CC"/>
    <w:rsid w:val="00B01FA3"/>
    <w:rsid w:val="00B0655D"/>
    <w:rsid w:val="00B1175A"/>
    <w:rsid w:val="00B13791"/>
    <w:rsid w:val="00B15360"/>
    <w:rsid w:val="00B17ECF"/>
    <w:rsid w:val="00B254D0"/>
    <w:rsid w:val="00B31E60"/>
    <w:rsid w:val="00B37103"/>
    <w:rsid w:val="00B37D3D"/>
    <w:rsid w:val="00B411A2"/>
    <w:rsid w:val="00B536BC"/>
    <w:rsid w:val="00B54601"/>
    <w:rsid w:val="00B555FA"/>
    <w:rsid w:val="00B56DC1"/>
    <w:rsid w:val="00B6093B"/>
    <w:rsid w:val="00B620FA"/>
    <w:rsid w:val="00B718E6"/>
    <w:rsid w:val="00B80B2A"/>
    <w:rsid w:val="00B85E83"/>
    <w:rsid w:val="00B86F46"/>
    <w:rsid w:val="00B9156C"/>
    <w:rsid w:val="00BA5062"/>
    <w:rsid w:val="00BA5A67"/>
    <w:rsid w:val="00BA6025"/>
    <w:rsid w:val="00BB18AA"/>
    <w:rsid w:val="00BB4067"/>
    <w:rsid w:val="00BB448D"/>
    <w:rsid w:val="00BC242F"/>
    <w:rsid w:val="00BC49B3"/>
    <w:rsid w:val="00BD2881"/>
    <w:rsid w:val="00BD2DEA"/>
    <w:rsid w:val="00BD3E42"/>
    <w:rsid w:val="00BD54FE"/>
    <w:rsid w:val="00BE0C00"/>
    <w:rsid w:val="00BF1822"/>
    <w:rsid w:val="00BF4539"/>
    <w:rsid w:val="00C007CA"/>
    <w:rsid w:val="00C0179E"/>
    <w:rsid w:val="00C023E1"/>
    <w:rsid w:val="00C07C9D"/>
    <w:rsid w:val="00C16262"/>
    <w:rsid w:val="00C21607"/>
    <w:rsid w:val="00C21646"/>
    <w:rsid w:val="00C22745"/>
    <w:rsid w:val="00C2489C"/>
    <w:rsid w:val="00C31638"/>
    <w:rsid w:val="00C5473F"/>
    <w:rsid w:val="00C61B21"/>
    <w:rsid w:val="00C80D06"/>
    <w:rsid w:val="00C91783"/>
    <w:rsid w:val="00CA1C54"/>
    <w:rsid w:val="00CB5DDF"/>
    <w:rsid w:val="00CB5F23"/>
    <w:rsid w:val="00CD2313"/>
    <w:rsid w:val="00CE0A6D"/>
    <w:rsid w:val="00CE150B"/>
    <w:rsid w:val="00CE258A"/>
    <w:rsid w:val="00CE6308"/>
    <w:rsid w:val="00CF129F"/>
    <w:rsid w:val="00D059E5"/>
    <w:rsid w:val="00D23CCE"/>
    <w:rsid w:val="00D27504"/>
    <w:rsid w:val="00D36B87"/>
    <w:rsid w:val="00D4396C"/>
    <w:rsid w:val="00D44675"/>
    <w:rsid w:val="00D5463E"/>
    <w:rsid w:val="00D73052"/>
    <w:rsid w:val="00D90755"/>
    <w:rsid w:val="00DB217E"/>
    <w:rsid w:val="00DB6217"/>
    <w:rsid w:val="00DC1D52"/>
    <w:rsid w:val="00DC4313"/>
    <w:rsid w:val="00DC4AF9"/>
    <w:rsid w:val="00DC680A"/>
    <w:rsid w:val="00DC72D8"/>
    <w:rsid w:val="00DE205D"/>
    <w:rsid w:val="00DE4A67"/>
    <w:rsid w:val="00DE56C8"/>
    <w:rsid w:val="00DF21E9"/>
    <w:rsid w:val="00DF233A"/>
    <w:rsid w:val="00DF55BE"/>
    <w:rsid w:val="00E017AC"/>
    <w:rsid w:val="00E076E7"/>
    <w:rsid w:val="00E1784B"/>
    <w:rsid w:val="00E265E6"/>
    <w:rsid w:val="00E4036B"/>
    <w:rsid w:val="00E40F9E"/>
    <w:rsid w:val="00E44E2E"/>
    <w:rsid w:val="00E55EA8"/>
    <w:rsid w:val="00E61C89"/>
    <w:rsid w:val="00E744D7"/>
    <w:rsid w:val="00E75266"/>
    <w:rsid w:val="00E818F4"/>
    <w:rsid w:val="00E917B9"/>
    <w:rsid w:val="00E945A1"/>
    <w:rsid w:val="00EA1547"/>
    <w:rsid w:val="00EE2103"/>
    <w:rsid w:val="00EF0DFD"/>
    <w:rsid w:val="00EF20E5"/>
    <w:rsid w:val="00EF5030"/>
    <w:rsid w:val="00F03FF4"/>
    <w:rsid w:val="00F16B74"/>
    <w:rsid w:val="00F227A9"/>
    <w:rsid w:val="00F3180E"/>
    <w:rsid w:val="00F3316D"/>
    <w:rsid w:val="00F362B5"/>
    <w:rsid w:val="00F62492"/>
    <w:rsid w:val="00F65ED1"/>
    <w:rsid w:val="00F714A2"/>
    <w:rsid w:val="00F75CB3"/>
    <w:rsid w:val="00F76AA8"/>
    <w:rsid w:val="00F85C29"/>
    <w:rsid w:val="00F97514"/>
    <w:rsid w:val="00FA3263"/>
    <w:rsid w:val="00FA4A6D"/>
    <w:rsid w:val="00FA5CF9"/>
    <w:rsid w:val="00FB0165"/>
    <w:rsid w:val="00FC0170"/>
    <w:rsid w:val="00FF3857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7682B-08CF-4534-8457-C43A146A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428"/>
    <w:rPr>
      <w:sz w:val="24"/>
      <w:szCs w:val="24"/>
    </w:rPr>
  </w:style>
  <w:style w:type="paragraph" w:styleId="1">
    <w:name w:val="heading 1"/>
    <w:basedOn w:val="a"/>
    <w:next w:val="a"/>
    <w:qFormat/>
    <w:rsid w:val="007A6EF8"/>
    <w:pPr>
      <w:keepNext/>
      <w:spacing w:before="240" w:after="60" w:line="360" w:lineRule="auto"/>
      <w:ind w:firstLine="720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956D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56D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B411A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023E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A6EF8"/>
    <w:pPr>
      <w:spacing w:line="360" w:lineRule="auto"/>
      <w:ind w:firstLine="720"/>
      <w:jc w:val="both"/>
    </w:pPr>
    <w:rPr>
      <w:sz w:val="28"/>
      <w:szCs w:val="20"/>
    </w:rPr>
  </w:style>
  <w:style w:type="paragraph" w:styleId="20">
    <w:name w:val="Body Text 2"/>
    <w:basedOn w:val="a"/>
    <w:rsid w:val="007A6EF8"/>
    <w:pPr>
      <w:spacing w:line="360" w:lineRule="auto"/>
      <w:ind w:firstLine="720"/>
      <w:jc w:val="both"/>
    </w:pPr>
    <w:rPr>
      <w:color w:val="0000FF"/>
      <w:sz w:val="28"/>
      <w:szCs w:val="20"/>
    </w:rPr>
  </w:style>
  <w:style w:type="paragraph" w:styleId="a4">
    <w:name w:val="footnote text"/>
    <w:basedOn w:val="a"/>
    <w:semiHidden/>
    <w:rsid w:val="007A6EF8"/>
    <w:pPr>
      <w:spacing w:line="360" w:lineRule="auto"/>
      <w:ind w:firstLine="720"/>
      <w:jc w:val="both"/>
    </w:pPr>
    <w:rPr>
      <w:sz w:val="20"/>
      <w:szCs w:val="20"/>
    </w:rPr>
  </w:style>
  <w:style w:type="character" w:styleId="a5">
    <w:name w:val="footnote reference"/>
    <w:basedOn w:val="a0"/>
    <w:semiHidden/>
    <w:rsid w:val="007A6EF8"/>
    <w:rPr>
      <w:vertAlign w:val="superscript"/>
    </w:rPr>
  </w:style>
  <w:style w:type="paragraph" w:styleId="a6">
    <w:name w:val="Body Text Indent"/>
    <w:basedOn w:val="a"/>
    <w:rsid w:val="00154A29"/>
    <w:pPr>
      <w:spacing w:after="120"/>
      <w:ind w:left="283"/>
    </w:pPr>
  </w:style>
  <w:style w:type="paragraph" w:styleId="21">
    <w:name w:val="Body Text Indent 2"/>
    <w:basedOn w:val="a"/>
    <w:rsid w:val="00956DB7"/>
    <w:pPr>
      <w:spacing w:after="120" w:line="480" w:lineRule="auto"/>
      <w:ind w:left="283"/>
    </w:pPr>
  </w:style>
  <w:style w:type="paragraph" w:styleId="30">
    <w:name w:val="Body Text Indent 3"/>
    <w:basedOn w:val="a"/>
    <w:rsid w:val="00B411A2"/>
    <w:pPr>
      <w:spacing w:after="120"/>
      <w:ind w:left="283"/>
    </w:pPr>
    <w:rPr>
      <w:sz w:val="16"/>
      <w:szCs w:val="16"/>
    </w:rPr>
  </w:style>
  <w:style w:type="paragraph" w:styleId="a7">
    <w:name w:val="Title"/>
    <w:basedOn w:val="a"/>
    <w:qFormat/>
    <w:rsid w:val="00E44E2E"/>
    <w:pPr>
      <w:jc w:val="center"/>
    </w:pPr>
    <w:rPr>
      <w:b/>
      <w:spacing w:val="20"/>
      <w:sz w:val="40"/>
      <w:szCs w:val="20"/>
    </w:rPr>
  </w:style>
  <w:style w:type="paragraph" w:styleId="10">
    <w:name w:val="toc 1"/>
    <w:basedOn w:val="a"/>
    <w:next w:val="a"/>
    <w:autoRedefine/>
    <w:semiHidden/>
    <w:rsid w:val="00E44E2E"/>
    <w:pPr>
      <w:tabs>
        <w:tab w:val="right" w:pos="9344"/>
      </w:tabs>
      <w:jc w:val="center"/>
    </w:pPr>
    <w:rPr>
      <w:bCs/>
      <w:caps/>
      <w:sz w:val="28"/>
      <w:szCs w:val="28"/>
    </w:rPr>
  </w:style>
  <w:style w:type="paragraph" w:customStyle="1" w:styleId="11">
    <w:name w:val="Обычный1"/>
    <w:rsid w:val="00C007CA"/>
    <w:pPr>
      <w:widowControl w:val="0"/>
    </w:pPr>
    <w:rPr>
      <w:snapToGrid w:val="0"/>
      <w:lang w:val="en-US"/>
    </w:rPr>
  </w:style>
  <w:style w:type="paragraph" w:styleId="a8">
    <w:name w:val="caption"/>
    <w:basedOn w:val="a"/>
    <w:next w:val="a"/>
    <w:qFormat/>
    <w:rsid w:val="00C007CA"/>
    <w:pPr>
      <w:spacing w:before="120" w:after="120"/>
    </w:pPr>
    <w:rPr>
      <w:b/>
      <w:bCs/>
      <w:sz w:val="20"/>
      <w:szCs w:val="20"/>
    </w:rPr>
  </w:style>
  <w:style w:type="table" w:styleId="a9">
    <w:name w:val="Table Grid"/>
    <w:basedOn w:val="a1"/>
    <w:rsid w:val="005C22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8B0476"/>
    <w:pPr>
      <w:widowControl w:val="0"/>
      <w:autoSpaceDE w:val="0"/>
      <w:autoSpaceDN w:val="0"/>
      <w:adjustRightInd w:val="0"/>
      <w:spacing w:line="600" w:lineRule="auto"/>
      <w:ind w:left="2280" w:right="600"/>
      <w:jc w:val="center"/>
    </w:pPr>
    <w:rPr>
      <w:sz w:val="16"/>
      <w:szCs w:val="16"/>
    </w:rPr>
  </w:style>
  <w:style w:type="character" w:styleId="aa">
    <w:name w:val="annotation reference"/>
    <w:basedOn w:val="a0"/>
    <w:semiHidden/>
    <w:rsid w:val="0070754B"/>
    <w:rPr>
      <w:sz w:val="16"/>
      <w:szCs w:val="16"/>
    </w:rPr>
  </w:style>
  <w:style w:type="paragraph" w:styleId="ab">
    <w:name w:val="annotation text"/>
    <w:basedOn w:val="a"/>
    <w:semiHidden/>
    <w:rsid w:val="0070754B"/>
    <w:rPr>
      <w:sz w:val="20"/>
      <w:szCs w:val="20"/>
    </w:rPr>
  </w:style>
  <w:style w:type="paragraph" w:styleId="ac">
    <w:name w:val="annotation subject"/>
    <w:basedOn w:val="ab"/>
    <w:next w:val="ab"/>
    <w:semiHidden/>
    <w:rsid w:val="0070754B"/>
    <w:rPr>
      <w:b/>
      <w:bCs/>
    </w:rPr>
  </w:style>
  <w:style w:type="paragraph" w:styleId="ad">
    <w:name w:val="Balloon Text"/>
    <w:basedOn w:val="a"/>
    <w:semiHidden/>
    <w:rsid w:val="0070754B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rsid w:val="009A40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e">
    <w:name w:val="Hyperlink"/>
    <w:basedOn w:val="a0"/>
    <w:rsid w:val="0079318B"/>
    <w:rPr>
      <w:color w:val="0000CC"/>
      <w:u w:val="single"/>
    </w:rPr>
  </w:style>
  <w:style w:type="paragraph" w:styleId="af">
    <w:name w:val="Normal (Web)"/>
    <w:basedOn w:val="a"/>
    <w:rsid w:val="0079318B"/>
    <w:pPr>
      <w:spacing w:before="100" w:beforeAutospacing="1" w:after="100" w:afterAutospacing="1"/>
      <w:ind w:left="192" w:right="72" w:firstLine="709"/>
      <w:jc w:val="both"/>
    </w:pPr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8174</Words>
  <Characters>46598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Федеральное агентство по образованию</vt:lpstr>
    </vt:vector>
  </TitlesOfParts>
  <Company/>
  <LinksUpToDate>false</LinksUpToDate>
  <CharactersWithSpaces>54663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Федеральное агентство по образованию</dc:title>
  <dc:subject/>
  <dc:creator>User</dc:creator>
  <cp:keywords/>
  <dc:description/>
  <cp:lastModifiedBy>admin</cp:lastModifiedBy>
  <cp:revision>2</cp:revision>
  <dcterms:created xsi:type="dcterms:W3CDTF">2014-04-15T15:02:00Z</dcterms:created>
  <dcterms:modified xsi:type="dcterms:W3CDTF">2014-04-15T15:02:00Z</dcterms:modified>
</cp:coreProperties>
</file>