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5A" w:rsidRDefault="00485181">
      <w:pPr>
        <w:pStyle w:val="a3"/>
      </w:pPr>
      <w:r>
        <w:br/>
      </w:r>
      <w:r>
        <w:br/>
        <w:t>План</w:t>
      </w:r>
      <w:r>
        <w:br/>
        <w:t xml:space="preserve">Введение </w:t>
      </w:r>
      <w:r>
        <w:br/>
      </w:r>
      <w:r>
        <w:rPr>
          <w:b/>
          <w:bCs/>
        </w:rPr>
        <w:t>1 Начало карьеры</w:t>
      </w:r>
      <w:r>
        <w:br/>
      </w:r>
      <w:r>
        <w:rPr>
          <w:b/>
          <w:bCs/>
        </w:rPr>
        <w:t>2 От переворота 1933 до аншлюса</w:t>
      </w:r>
      <w:r>
        <w:br/>
      </w:r>
      <w:r>
        <w:rPr>
          <w:b/>
          <w:bCs/>
        </w:rPr>
        <w:t>3 Польша и Нидерланды</w:t>
      </w:r>
      <w:r>
        <w:br/>
      </w:r>
      <w:r>
        <w:rPr>
          <w:b/>
          <w:bCs/>
        </w:rPr>
        <w:t>4 Суд в Нюрнберге</w:t>
      </w:r>
      <w:r>
        <w:br/>
      </w:r>
      <w:r>
        <w:rPr>
          <w:b/>
          <w:bCs/>
        </w:rPr>
        <w:t>5 Награды</w:t>
      </w:r>
      <w:r>
        <w:br/>
      </w:r>
      <w:r>
        <w:br/>
      </w:r>
      <w:r>
        <w:br/>
      </w:r>
    </w:p>
    <w:p w:rsidR="009E215A" w:rsidRDefault="00485181">
      <w:pPr>
        <w:pStyle w:val="21"/>
        <w:pageBreakBefore/>
        <w:numPr>
          <w:ilvl w:val="0"/>
          <w:numId w:val="0"/>
        </w:numPr>
      </w:pPr>
      <w:r>
        <w:t>Введение</w:t>
      </w:r>
    </w:p>
    <w:p w:rsidR="009E215A" w:rsidRDefault="00485181">
      <w:pPr>
        <w:pStyle w:val="a3"/>
      </w:pPr>
      <w:r>
        <w:t>Артур Зейсс-Инкварт (нем. </w:t>
      </w:r>
      <w:r>
        <w:rPr>
          <w:i/>
          <w:iCs/>
        </w:rPr>
        <w:t>Arthur Seyß-Inquart</w:t>
      </w:r>
      <w:r>
        <w:t>, настоящее имя Артур Зайтих, 22 июля 1892 — 16 октября 1946) — австрийский политик и юрист, после аншлюса 1938 года — немецкий государственный деятель Третьего рейха, национал-социалист, обергруппенфюрер СС (20 апреля 1941), правитель Австрии, оккупированных Польши и Нидерландов, военный преступник, казнённый по приговору Нюрнбергского трибунала за преступления против человечества.</w:t>
      </w:r>
    </w:p>
    <w:p w:rsidR="009E215A" w:rsidRDefault="00485181">
      <w:pPr>
        <w:pStyle w:val="21"/>
        <w:pageBreakBefore/>
        <w:numPr>
          <w:ilvl w:val="0"/>
          <w:numId w:val="0"/>
        </w:numPr>
      </w:pPr>
      <w:r>
        <w:t>1. Начало карьеры</w:t>
      </w:r>
    </w:p>
    <w:p w:rsidR="009E215A" w:rsidRDefault="00485181">
      <w:pPr>
        <w:pStyle w:val="a3"/>
      </w:pPr>
      <w:r>
        <w:t>Родился в Стонаржове в Моравии (в те годы — часть Австро-Венгрии), младший из шести детей директора школы Эмиля Зайтиха. В 1907 семья переехала в Вену и сменила славянскую фамилию на немецкую, Зейсс-Инкварт. Женился в 1916, имел троих детей. Учился в Венском университете на юриста.</w:t>
      </w:r>
    </w:p>
    <w:p w:rsidR="009E215A" w:rsidRDefault="00485181">
      <w:pPr>
        <w:pStyle w:val="a3"/>
      </w:pPr>
      <w:r>
        <w:t>В августе 1914 ушёл добровольцем на фронт. Служил в тирольских егерских частях на Русском, Румынском и Итальянском фронтах в одном полку с Куртом Шушнигом, неоднократно награждён. Был тяжело ранен, закончил университетский курс, находясь в госпитале после ранения. С 1921 занимался собственной адвокатской практикой, сотрудничал с правыми организациями (будущий Отечественный фронт), но дистанцировался от прогерманских национал-социалистов.</w:t>
      </w:r>
    </w:p>
    <w:p w:rsidR="009E215A" w:rsidRDefault="00485181">
      <w:pPr>
        <w:pStyle w:val="21"/>
        <w:pageBreakBefore/>
        <w:numPr>
          <w:ilvl w:val="0"/>
          <w:numId w:val="0"/>
        </w:numPr>
      </w:pPr>
      <w:r>
        <w:t>2. От переворота 1933 до аншлюса</w:t>
      </w:r>
    </w:p>
    <w:p w:rsidR="009E215A" w:rsidRDefault="00485181">
      <w:pPr>
        <w:pStyle w:val="a3"/>
      </w:pPr>
      <w:r>
        <w:t>В 1933 по приглашению Энгельберта Дольфуса вошёл в австрофашистское правительство. После убийства Дольфуса боевиками австрийских СС в июле 1934 — государственный советник при канцлере Шушниге. Постепенно, понимая неизбежность объединения Австрии с Германией, вошёл в круг национал-социалистов, обеспечив им представительство в верхнем эшелоне правительства Шушнига. В феврале 1938, под угрозой германского вторжения, Шушниг назначил Зейсс-Инкварта министром внутренних дел. 11 марта 1938 Шушниг подал в отставку, а Зейсс-Инкварт направил германским властям «просьбу о помощи», под предлогом которой вермахт перешёл австрийскую границу. В течение двух дней Зейсс-Инкварт был последним канцлером Первой Республики. 13 марта 1938 Зейсс-Инкварт вступил в члены НСДАП и подписал закон о вхождении Австрии в состав Третьего рейха. До начала второй мировой войны он оставался имперским наместником (нем. </w:t>
      </w:r>
      <w:r>
        <w:rPr>
          <w:i/>
          <w:iCs/>
        </w:rPr>
        <w:t>Reichsstatthalter</w:t>
      </w:r>
      <w:r>
        <w:t>) Австрии (заместитель — Эрнст Кальтенбруннер) в ранге группенфюрера СС.</w:t>
      </w:r>
    </w:p>
    <w:p w:rsidR="009E215A" w:rsidRDefault="00485181">
      <w:pPr>
        <w:pStyle w:val="21"/>
        <w:pageBreakBefore/>
        <w:numPr>
          <w:ilvl w:val="0"/>
          <w:numId w:val="0"/>
        </w:numPr>
      </w:pPr>
      <w:r>
        <w:t>3. Польша и Нидерланды</w:t>
      </w:r>
    </w:p>
    <w:p w:rsidR="009E215A" w:rsidRDefault="00485181">
      <w:pPr>
        <w:pStyle w:val="a3"/>
      </w:pPr>
      <w:r>
        <w:t>С мая 1939 Зейсс-Инкварт — министр без портфеля в правительстве Германии. После оккупации Польши и создания на её территории генерал-губернаторства — заместитель генерал-губернатора Ганса Франка, ответственный за южные области Польши. Зейсс-Инкварту вменяется создание еврейских гетто и «чрезвычайные меры» при подавлении польского сопротивления.</w:t>
      </w:r>
    </w:p>
    <w:p w:rsidR="009E215A" w:rsidRDefault="00485181">
      <w:pPr>
        <w:pStyle w:val="a3"/>
      </w:pPr>
      <w:r>
        <w:t>С мая 1940 — рейхскомиссар оккупированных Нидерландов. Под началом Зейсс-Инкварта были созданы военные организации (Ландвахт) местных национал-социалистов; все прочие политические движения были запрещены в 1941. Зейсс-Инкварт лично отвечал за подавление местного сопротивления, в том числе забастовок 1941 в Амстердаме и Арнеме. Всего за время правления он утвердил около 800 смертных приговоров. Некоторые источники приводят цифру в 1500, включая в неё умерших в лагерях, жертв депортации из Пюттена (октябрь 1944) и 117 убитых в наказание за нападение на главу СС в Нидерландах Ганса Ройтера (март 1945). Следует отметить, что после высадки союзников в Нормандии реальная власть в Нидерландах перешла от администрации Зейсс-Инкварта к военным властям и гестапо.</w:t>
      </w:r>
    </w:p>
    <w:p w:rsidR="009E215A" w:rsidRDefault="00485181">
      <w:pPr>
        <w:pStyle w:val="a3"/>
      </w:pPr>
      <w:r>
        <w:t>Немедленно по прибытии в Нидерланды Зейсс-Инкварт очистил от евреев государственные службы, газеты и правления промышленных предприятий. Начиная с 1941, проводилась массовая регистрация евреев, в Амстердаме было учреждено гетто, а в Вестерборке — транзитный лагерь. Отправка евреев в Бухенвальд и Маутхаузен началась в феврале 1941. В сентябре 1944, с приближением войск союзников, все заключенные Вестерборка были вывезены в Терезиенштадт. Из 140 000 голландских евреев войну пережили 44 500. Помимо евреев, к работе на Германию было привлечено 530 000 голландцев, в том числе 250 000 — вывезено в Германию. Зейсс-Инварт сопротивлялся приказам вывозить рабочую силу на восток, и в 1944 отправил только 12 000 вместо планировавшихся 250 000. При отступлении из Голландии Зейсс-Инкварт, действуя в согласии с Альбертом Шпеером, саботировал приказы Берлина о «выжженной земле». В конце 1944 года наложил эмбарго на поставки продовольствия в оккупированные районы Голландии, но под конец последовавшей «Голодной Зимы», в последние дни войны, согласился не препятствовать гуманитарной операции Союзников по сбросу продуктов над бедствующими районами.</w:t>
      </w:r>
    </w:p>
    <w:p w:rsidR="009E215A" w:rsidRDefault="00485181">
      <w:pPr>
        <w:pStyle w:val="a3"/>
      </w:pPr>
      <w:r>
        <w:t>После самоубийства Гитлера в апреле 1945, Зейсс-Инкварт заменил Риббентропа на посту министра иностранных дел в правительстве Карла Дёница. Вероятно, Гитлер до самой смерти не сомневался в верности Зейсс-Инкварта. 8 мая 1945 он сдался союзникам в Гамбурге.</w:t>
      </w:r>
    </w:p>
    <w:p w:rsidR="009E215A" w:rsidRDefault="00485181">
      <w:pPr>
        <w:pStyle w:val="21"/>
        <w:pageBreakBefore/>
        <w:numPr>
          <w:ilvl w:val="0"/>
          <w:numId w:val="0"/>
        </w:numPr>
      </w:pPr>
      <w:r>
        <w:t>4. Суд в Нюрнберге</w:t>
      </w:r>
    </w:p>
    <w:p w:rsidR="009E215A" w:rsidRDefault="00485181">
      <w:pPr>
        <w:pStyle w:val="a3"/>
      </w:pPr>
      <w:r>
        <w:t>В Нюрнберге Зейсс-Инкварту вменили в вину преступления против мира, планирование и развязывание агрессивной войны, военные преступления и преступления против человечности. Он был признан виновным по всем статьям, исключая преступный сговор. Стоя на эшафоте, произнес: «Надеюсь, что эта казнь будет последней трагедией Второй мировой войны и что случившееся послужит уроком: мир и взаимопонимание должны существовать между народами. Я верю в Германию» (нем. </w:t>
      </w:r>
      <w:r>
        <w:rPr>
          <w:i/>
          <w:iCs/>
        </w:rPr>
        <w:t>Ich hoffe, dass diese Hinrichtung der letzte Akt in der Tragödie des Zweiten Weltkriegs ist und dass die Lehre aus diesem Weltkrieg sein wird, dass Frieden und Verständnis zwischen den Völkern sein wird. Ich glaube an Deutschland</w:t>
      </w:r>
      <w:r>
        <w:t>).</w:t>
      </w:r>
    </w:p>
    <w:p w:rsidR="009E215A" w:rsidRDefault="00485181">
      <w:pPr>
        <w:pStyle w:val="21"/>
        <w:pageBreakBefore/>
        <w:numPr>
          <w:ilvl w:val="0"/>
          <w:numId w:val="0"/>
        </w:numPr>
      </w:pPr>
      <w:r>
        <w:t>5. Награды</w:t>
      </w:r>
    </w:p>
    <w:p w:rsidR="009E215A" w:rsidRDefault="00485181">
      <w:pPr>
        <w:pStyle w:val="a3"/>
        <w:numPr>
          <w:ilvl w:val="0"/>
          <w:numId w:val="1"/>
        </w:numPr>
        <w:tabs>
          <w:tab w:val="left" w:pos="707"/>
        </w:tabs>
        <w:spacing w:after="0"/>
      </w:pPr>
      <w:r>
        <w:t>Знак за ранение (чёрный) (1918)</w:t>
      </w:r>
    </w:p>
    <w:p w:rsidR="009E215A" w:rsidRDefault="00485181">
      <w:pPr>
        <w:pStyle w:val="a3"/>
        <w:numPr>
          <w:ilvl w:val="0"/>
          <w:numId w:val="1"/>
        </w:numPr>
        <w:tabs>
          <w:tab w:val="left" w:pos="707"/>
        </w:tabs>
        <w:spacing w:after="0"/>
      </w:pPr>
      <w:r>
        <w:t>Почётный крест ветерана войны</w:t>
      </w:r>
    </w:p>
    <w:p w:rsidR="009E215A" w:rsidRDefault="00485181">
      <w:pPr>
        <w:pStyle w:val="a3"/>
        <w:numPr>
          <w:ilvl w:val="0"/>
          <w:numId w:val="1"/>
        </w:numPr>
        <w:tabs>
          <w:tab w:val="left" w:pos="707"/>
        </w:tabs>
        <w:spacing w:after="0"/>
      </w:pPr>
      <w:r>
        <w:t>Шеврон старого бойца</w:t>
      </w:r>
    </w:p>
    <w:p w:rsidR="009E215A" w:rsidRDefault="00485181">
      <w:pPr>
        <w:pStyle w:val="a3"/>
        <w:numPr>
          <w:ilvl w:val="0"/>
          <w:numId w:val="1"/>
        </w:numPr>
        <w:tabs>
          <w:tab w:val="left" w:pos="707"/>
        </w:tabs>
        <w:spacing w:after="0"/>
      </w:pPr>
      <w:r>
        <w:t>Данцигский крест 2-го класса</w:t>
      </w:r>
    </w:p>
    <w:p w:rsidR="009E215A" w:rsidRDefault="00485181">
      <w:pPr>
        <w:pStyle w:val="a3"/>
        <w:numPr>
          <w:ilvl w:val="0"/>
          <w:numId w:val="1"/>
        </w:numPr>
        <w:tabs>
          <w:tab w:val="left" w:pos="707"/>
        </w:tabs>
        <w:spacing w:after="0"/>
      </w:pPr>
      <w:r>
        <w:t>Крест военных заслуг 1-й степени без мечей</w:t>
      </w:r>
    </w:p>
    <w:p w:rsidR="009E215A" w:rsidRDefault="00485181">
      <w:pPr>
        <w:pStyle w:val="a3"/>
        <w:numPr>
          <w:ilvl w:val="0"/>
          <w:numId w:val="1"/>
        </w:numPr>
        <w:tabs>
          <w:tab w:val="left" w:pos="707"/>
        </w:tabs>
        <w:spacing w:after="0"/>
      </w:pPr>
      <w:r>
        <w:t>Крест военных заслуг 2-й степени без мечей</w:t>
      </w:r>
    </w:p>
    <w:p w:rsidR="009E215A" w:rsidRDefault="00485181">
      <w:pPr>
        <w:pStyle w:val="a3"/>
        <w:numPr>
          <w:ilvl w:val="0"/>
          <w:numId w:val="1"/>
        </w:numPr>
        <w:tabs>
          <w:tab w:val="left" w:pos="707"/>
        </w:tabs>
        <w:spacing w:after="0"/>
      </w:pPr>
      <w:r>
        <w:t>Медаль «В память 13 марта 1938 года» Аншлюсс-Медаль.</w:t>
      </w:r>
    </w:p>
    <w:p w:rsidR="009E215A" w:rsidRDefault="00485181">
      <w:pPr>
        <w:pStyle w:val="a3"/>
        <w:numPr>
          <w:ilvl w:val="0"/>
          <w:numId w:val="1"/>
        </w:numPr>
        <w:tabs>
          <w:tab w:val="left" w:pos="707"/>
        </w:tabs>
        <w:spacing w:after="0"/>
      </w:pPr>
      <w:r>
        <w:t>Золотой знак НСДАП</w:t>
      </w:r>
    </w:p>
    <w:p w:rsidR="009E215A" w:rsidRDefault="00485181">
      <w:pPr>
        <w:pStyle w:val="a3"/>
        <w:numPr>
          <w:ilvl w:val="0"/>
          <w:numId w:val="1"/>
        </w:numPr>
        <w:tabs>
          <w:tab w:val="left" w:pos="707"/>
        </w:tabs>
        <w:spacing w:after="0"/>
      </w:pPr>
      <w:r>
        <w:t>Кольцо «Мёртвая голова»</w:t>
      </w:r>
    </w:p>
    <w:p w:rsidR="009E215A" w:rsidRDefault="00485181">
      <w:pPr>
        <w:pStyle w:val="a3"/>
        <w:numPr>
          <w:ilvl w:val="0"/>
          <w:numId w:val="1"/>
        </w:numPr>
        <w:tabs>
          <w:tab w:val="left" w:pos="707"/>
        </w:tabs>
      </w:pPr>
      <w:r>
        <w:t>Почётная сабля рейхсфюрера СС</w:t>
      </w:r>
    </w:p>
    <w:p w:rsidR="009E215A" w:rsidRDefault="00485181">
      <w:pPr>
        <w:pStyle w:val="21"/>
        <w:numPr>
          <w:ilvl w:val="0"/>
          <w:numId w:val="0"/>
        </w:numPr>
      </w:pPr>
      <w:r>
        <w:t>Литература</w:t>
      </w:r>
    </w:p>
    <w:p w:rsidR="009E215A" w:rsidRDefault="00485181">
      <w:pPr>
        <w:pStyle w:val="a3"/>
      </w:pPr>
      <w:r>
        <w:t>Министры иностранных дел Германии (1919-1945)</w:t>
      </w:r>
    </w:p>
    <w:p w:rsidR="009E215A" w:rsidRDefault="00485181">
      <w:pPr>
        <w:pStyle w:val="a3"/>
      </w:pPr>
      <w:r>
        <w:t>Веймарская республика: Ульрих фон Брокдорф-Ранцау | Герман Мюллер | Адольф Кёстер | Вальтер Симонс | Фридрих Розен | Йозеф Вирт | Вальтер Ратенау | Йозеф Вирт | Фредерик фон Розенберг | Густав Штреземан | Юлиус Куртиус | Генрих Брюнинг | Константин фон Нейрат</w:t>
      </w:r>
    </w:p>
    <w:p w:rsidR="009E215A" w:rsidRDefault="00485181">
      <w:pPr>
        <w:pStyle w:val="a3"/>
      </w:pPr>
      <w:r>
        <w:t>Третий рейх: Константин фон Нейрат | Иоахим фон Риббентроп | Артур Зейсс-Инкварт | Людвиг фон Крозиг</w:t>
      </w:r>
    </w:p>
    <w:p w:rsidR="009E215A" w:rsidRDefault="00485181">
      <w:pPr>
        <w:pStyle w:val="a3"/>
        <w:spacing w:after="0"/>
      </w:pPr>
      <w:r>
        <w:t> </w:t>
      </w:r>
    </w:p>
    <w:p w:rsidR="009E215A" w:rsidRDefault="00485181">
      <w:pPr>
        <w:pStyle w:val="a3"/>
        <w:rPr>
          <w:rFonts w:eastAsia="Liberation Serif" w:cs="Liberation Serif"/>
          <w:szCs w:val="24"/>
        </w:rPr>
      </w:pPr>
      <w:r>
        <w:rPr>
          <w:rFonts w:eastAsia="Liberation Serif" w:cs="Liberation Serif"/>
          <w:szCs w:val="24"/>
        </w:rPr>
        <w:t>Источник: http://ru.wikipedia.org/wiki/Зейсс-Инкварт,_Артур</w:t>
      </w:r>
      <w:bookmarkStart w:id="0" w:name="_GoBack"/>
      <w:bookmarkEnd w:id="0"/>
    </w:p>
    <w:sectPr w:rsidR="009E215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181"/>
    <w:rsid w:val="00485181"/>
    <w:rsid w:val="00953C3B"/>
    <w:rsid w:val="009E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0DBE7-C400-4BF0-A423-320CCA17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5431</Characters>
  <Application>Microsoft Office Word</Application>
  <DocSecurity>0</DocSecurity>
  <Lines>45</Lines>
  <Paragraphs>12</Paragraphs>
  <ScaleCrop>false</ScaleCrop>
  <Company>diakov.net</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2014-09-17T18:36:00Z</dcterms:created>
  <dcterms:modified xsi:type="dcterms:W3CDTF">2014-09-17T18:36:00Z</dcterms:modified>
</cp:coreProperties>
</file>