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CB" w:rsidRDefault="00DD00CB" w:rsidP="00DD00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устойчивости дисперсных систем. Лиофобные и лиофильные золи</w:t>
      </w: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b/>
          <w:bCs/>
          <w:sz w:val="28"/>
          <w:szCs w:val="28"/>
        </w:rPr>
        <w:t>Устойчивость дисперсных систем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это возможность их нахождения в исходном состоянии неопределенно долгое время. </w:t>
      </w: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Устойчивость дисперсных систем может быть:</w:t>
      </w:r>
    </w:p>
    <w:p w:rsidR="00B00C1E" w:rsidRPr="00526280" w:rsidRDefault="00B00C1E" w:rsidP="0052628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осаждению</w:t>
      </w:r>
      <w:r w:rsidRPr="00526280">
        <w:rPr>
          <w:rFonts w:ascii="Times New Roman" w:hAnsi="Times New Roman" w:cs="Times New Roman"/>
          <w:sz w:val="28"/>
          <w:szCs w:val="28"/>
        </w:rPr>
        <w:t xml:space="preserve"> дисперсной фазы - характеризует способность дисперсной системы сохранять равновесное распределение фазы по объему дисперсионной среды или ее устойчивость к разделению фаз. Это свойство называется </w:t>
      </w:r>
      <w:r w:rsidRPr="00526280">
        <w:rPr>
          <w:rFonts w:ascii="Times New Roman" w:hAnsi="Times New Roman" w:cs="Times New Roman"/>
          <w:b/>
          <w:bCs/>
          <w:sz w:val="28"/>
          <w:szCs w:val="28"/>
        </w:rPr>
        <w:t>седиментационная</w:t>
      </w:r>
      <w:r w:rsidRPr="00526280">
        <w:rPr>
          <w:rFonts w:ascii="Times New Roman" w:hAnsi="Times New Roman" w:cs="Times New Roman"/>
          <w:sz w:val="28"/>
          <w:szCs w:val="28"/>
        </w:rPr>
        <w:t xml:space="preserve"> </w:t>
      </w:r>
      <w:r w:rsidRPr="00526280">
        <w:rPr>
          <w:rFonts w:ascii="Times New Roman" w:hAnsi="Times New Roman" w:cs="Times New Roman"/>
          <w:b/>
          <w:bCs/>
          <w:sz w:val="28"/>
          <w:szCs w:val="28"/>
        </w:rPr>
        <w:t xml:space="preserve">(кинетическая) </w:t>
      </w:r>
      <w:r w:rsidRPr="00526280">
        <w:rPr>
          <w:rFonts w:ascii="Times New Roman" w:hAnsi="Times New Roman" w:cs="Times New Roman"/>
          <w:sz w:val="28"/>
          <w:szCs w:val="28"/>
        </w:rPr>
        <w:t>устойчивость</w:t>
      </w:r>
      <w:r w:rsidRPr="005262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0C1E" w:rsidRPr="00526280" w:rsidRDefault="00B00C1E" w:rsidP="00526280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агрегации</w:t>
      </w:r>
      <w:r w:rsidRPr="00526280">
        <w:rPr>
          <w:rFonts w:ascii="Times New Roman" w:hAnsi="Times New Roman" w:cs="Times New Roman"/>
          <w:sz w:val="28"/>
          <w:szCs w:val="28"/>
        </w:rPr>
        <w:t xml:space="preserve"> ее частиц.</w:t>
      </w:r>
    </w:p>
    <w:p w:rsidR="00B00C1E" w:rsidRPr="00526280" w:rsidRDefault="00B00C1E" w:rsidP="00526280">
      <w:pPr>
        <w:pStyle w:val="23"/>
        <w:widowControl w:val="0"/>
        <w:tabs>
          <w:tab w:val="left" w:pos="426"/>
        </w:tabs>
        <w:spacing w:line="360" w:lineRule="auto"/>
        <w:ind w:firstLine="709"/>
        <w:rPr>
          <w:i/>
          <w:iCs/>
          <w:sz w:val="28"/>
          <w:szCs w:val="28"/>
          <w:lang w:eastAsia="en-US"/>
        </w:rPr>
      </w:pPr>
      <w:r w:rsidRPr="00526280">
        <w:rPr>
          <w:b/>
          <w:bCs/>
          <w:i/>
          <w:iCs/>
          <w:sz w:val="28"/>
          <w:szCs w:val="28"/>
          <w:lang w:eastAsia="en-US"/>
        </w:rPr>
        <w:t>Агрегативная устойчивость</w:t>
      </w:r>
      <w:r w:rsidRPr="00526280">
        <w:rPr>
          <w:i/>
          <w:iCs/>
          <w:sz w:val="28"/>
          <w:szCs w:val="28"/>
          <w:lang w:eastAsia="en-US"/>
        </w:rPr>
        <w:t xml:space="preserve"> – это способность дисперсной системы сохранять неизменной  во  времени степень дисперсности, т.е. размеры частиц и их индивидуальность.</w:t>
      </w:r>
    </w:p>
    <w:p w:rsidR="00B00C1E" w:rsidRPr="00526280" w:rsidRDefault="00B00C1E" w:rsidP="00526280">
      <w:pPr>
        <w:pStyle w:val="31"/>
        <w:widowControl w:val="0"/>
        <w:spacing w:line="360" w:lineRule="auto"/>
        <w:ind w:firstLine="709"/>
        <w:rPr>
          <w:sz w:val="28"/>
          <w:szCs w:val="28"/>
        </w:rPr>
      </w:pPr>
      <w:r w:rsidRPr="00526280">
        <w:rPr>
          <w:sz w:val="28"/>
          <w:szCs w:val="28"/>
        </w:rPr>
        <w:t xml:space="preserve">Она обусловлена способностью дисперсных систем образовывать агрегаты (т.е. укрупняться). По отношению к агрегации дисперсные системы могут быть устойчивыми </w:t>
      </w:r>
      <w:r w:rsidRPr="00526280">
        <w:rPr>
          <w:b/>
          <w:bCs/>
          <w:i/>
          <w:iCs/>
          <w:sz w:val="28"/>
          <w:szCs w:val="28"/>
        </w:rPr>
        <w:t>кинетически</w:t>
      </w:r>
      <w:r w:rsidRPr="00526280">
        <w:rPr>
          <w:sz w:val="28"/>
          <w:szCs w:val="28"/>
        </w:rPr>
        <w:t xml:space="preserve"> и </w:t>
      </w:r>
      <w:r w:rsidRPr="00526280">
        <w:rPr>
          <w:b/>
          <w:bCs/>
          <w:i/>
          <w:iCs/>
          <w:sz w:val="28"/>
          <w:szCs w:val="28"/>
        </w:rPr>
        <w:t>термодинамически</w:t>
      </w:r>
      <w:r w:rsidRPr="00526280">
        <w:rPr>
          <w:sz w:val="28"/>
          <w:szCs w:val="28"/>
        </w:rPr>
        <w:t>. Термодинамически устойчивые системы образуются в результате самопроизвольного диспергирования одной из фаз, т.е. самопроизвольного образования гетерогенной свободнодисперсной системы. Дисперсные системы также делят на:</w:t>
      </w:r>
    </w:p>
    <w:p w:rsidR="00B00C1E" w:rsidRPr="00526280" w:rsidRDefault="00B00C1E" w:rsidP="00526280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лиофильные, обладающие термодинамической устойчивостью;</w:t>
      </w:r>
    </w:p>
    <w:p w:rsidR="00B00C1E" w:rsidRPr="00526280" w:rsidRDefault="00B00C1E" w:rsidP="00526280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лиофобные, которые термодинамически неустойчивы к агрегации, но могут быть устойчивы кинетически, т.е. обладать значительным временем жизни.</w:t>
      </w:r>
    </w:p>
    <w:p w:rsidR="00B00C1E" w:rsidRPr="00CA0E22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Особенности этих двух видов устойчивости показаны на схеме:</w:t>
      </w:r>
    </w:p>
    <w:p w:rsidR="00CA0E22" w:rsidRPr="00CA0E22" w:rsidRDefault="00CA0E22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0C1E" w:rsidRDefault="00F329FC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group id="_x0000_s1026" editas="canvas" style="position:absolute;margin-left:0;margin-top:0;width:348.9pt;height:257.75pt;z-index:251655680;mso-position-horizontal-relative:char;mso-position-vertical-relative:line" coordorigin="202,2770" coordsize="7119,52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2;top:2770;width:7119;height:525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58;top:3765;width:1877;height:347">
              <v:textbox style="mso-next-textbox:#_x0000_s1028" inset=".5mm,.3mm,.5mm,.3mm">
                <w:txbxContent>
                  <w:p w:rsidR="00B00C1E" w:rsidRPr="0029702A" w:rsidRDefault="00B00C1E" w:rsidP="00B00C1E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Седиментационная</w:t>
                    </w:r>
                  </w:p>
                </w:txbxContent>
              </v:textbox>
            </v:shape>
            <v:shape id="_x0000_s1029" type="#_x0000_t202" style="position:absolute;left:5034;top:3765;width:1469;height:347">
              <v:textbox style="mso-next-textbox:#_x0000_s1029" inset=".5mm,.3mm,.5mm,.3mm">
                <w:txbxContent>
                  <w:p w:rsidR="00B00C1E" w:rsidRPr="0029702A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9702A">
                      <w:rPr>
                        <w:sz w:val="20"/>
                        <w:szCs w:val="20"/>
                      </w:rPr>
                      <w:t>Агрегативная</w:t>
                    </w:r>
                  </w:p>
                </w:txbxContent>
              </v:textbox>
            </v:shape>
            <v:line id="_x0000_s1030" style="position:absolute;flip:x" from="2056,3398" to="4014,3745">
              <v:stroke endarrow="classic" endarrowlength="long"/>
            </v:line>
            <v:line id="_x0000_s1031" style="position:absolute" from="3912,3419" to="5871,3765">
              <v:stroke endarrow="classic" endarrowlength="long"/>
            </v:line>
            <v:shape id="_x0000_s1032" type="#_x0000_t202" style="position:absolute;left:202;top:4520;width:1285;height:1020">
              <v:textbox style="mso-next-textbox:#_x0000_s1032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</w:t>
                    </w:r>
                    <w:r w:rsidRPr="0029702A">
                      <w:rPr>
                        <w:sz w:val="20"/>
                        <w:szCs w:val="20"/>
                      </w:rPr>
                      <w:t>истем</w:t>
                    </w:r>
                    <w:r>
                      <w:rPr>
                        <w:sz w:val="20"/>
                        <w:szCs w:val="20"/>
                      </w:rPr>
                      <w:t>ы,</w:t>
                    </w:r>
                  </w:p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устойчивые</w:t>
                    </w:r>
                  </w:p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 условиях</w:t>
                    </w:r>
                  </w:p>
                  <w:p w:rsidR="00B00C1E" w:rsidRPr="0029702A" w:rsidRDefault="00B00C1E" w:rsidP="00B00C1E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невесомости</w:t>
                    </w:r>
                  </w:p>
                </w:txbxContent>
              </v:textbox>
            </v:shape>
            <v:shape id="_x0000_s1033" type="#_x0000_t202" style="position:absolute;left:1569;top:4520;width:1285;height:1020">
              <v:textbox style="mso-next-textbox:#_x0000_s1033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Устойчивые</w:t>
                    </w:r>
                  </w:p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высокодисперсные </w:t>
                    </w:r>
                  </w:p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</w:t>
                    </w:r>
                    <w:r w:rsidRPr="0029702A">
                      <w:rPr>
                        <w:sz w:val="20"/>
                        <w:szCs w:val="20"/>
                      </w:rPr>
                      <w:t>истем</w:t>
                    </w:r>
                    <w:r>
                      <w:rPr>
                        <w:sz w:val="20"/>
                        <w:szCs w:val="20"/>
                      </w:rPr>
                      <w:t>ы</w:t>
                    </w:r>
                  </w:p>
                </w:txbxContent>
              </v:textbox>
            </v:shape>
            <v:shape id="_x0000_s1034" type="#_x0000_t202" style="position:absolute;left:2936;top:4520;width:1224;height:1285">
              <v:textbox style="mso-next-textbox:#_x0000_s1034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Неустойчивые средне- </w:t>
                    </w:r>
                  </w:p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и грубодисперсные </w:t>
                    </w:r>
                  </w:p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</w:t>
                    </w:r>
                    <w:r w:rsidRPr="0029702A">
                      <w:rPr>
                        <w:sz w:val="20"/>
                        <w:szCs w:val="20"/>
                      </w:rPr>
                      <w:t>истем</w:t>
                    </w:r>
                    <w:r>
                      <w:rPr>
                        <w:sz w:val="20"/>
                        <w:szCs w:val="20"/>
                      </w:rPr>
                      <w:t>ы</w:t>
                    </w:r>
                  </w:p>
                </w:txbxContent>
              </v:textbox>
            </v:shape>
            <v:line id="_x0000_s1035" style="position:absolute;flip:x" from="566,4092" to="2137,4520">
              <v:stroke endarrow="classic" endarrowlength="long"/>
            </v:line>
            <v:line id="_x0000_s1036" style="position:absolute" from="2117,4112" to="3565,4520">
              <v:stroke endarrow="classic" endarrowlength="long"/>
            </v:line>
            <v:line id="_x0000_s1037" style="position:absolute" from="2108,4092" to="2109,4541">
              <v:stroke endarrow="classic" endarrowlength="long"/>
            </v:line>
            <v:shape id="_x0000_s1038" type="#_x0000_t202" style="position:absolute;left:4364;top:4479;width:1285;height:796">
              <v:textbox style="mso-next-textbox:#_x0000_s1038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Устойчивые лиофильные с</w:t>
                    </w:r>
                    <w:r w:rsidRPr="0029702A">
                      <w:rPr>
                        <w:sz w:val="20"/>
                        <w:szCs w:val="20"/>
                      </w:rPr>
                      <w:t>истем</w:t>
                    </w:r>
                    <w:r>
                      <w:rPr>
                        <w:sz w:val="20"/>
                        <w:szCs w:val="20"/>
                      </w:rPr>
                      <w:t>ы</w:t>
                    </w:r>
                  </w:p>
                </w:txbxContent>
              </v:textbox>
            </v:shape>
            <v:shape id="_x0000_s1039" type="#_x0000_t202" style="position:absolute;left:5792;top:4479;width:1469;height:776">
              <v:textbox style="mso-next-textbox:#_x0000_s1039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Неустойчивые лиофобные с</w:t>
                    </w:r>
                    <w:r w:rsidRPr="0029702A">
                      <w:rPr>
                        <w:sz w:val="20"/>
                        <w:szCs w:val="20"/>
                      </w:rPr>
                      <w:t>истем</w:t>
                    </w:r>
                    <w:r>
                      <w:rPr>
                        <w:sz w:val="20"/>
                        <w:szCs w:val="20"/>
                      </w:rPr>
                      <w:t>ы,</w:t>
                    </w:r>
                  </w:p>
                </w:txbxContent>
              </v:textbox>
            </v:shape>
            <v:line id="_x0000_s1040" style="position:absolute" from="5748,4133" to="6524,4479">
              <v:stroke endarrow="classic" endarrowlength="long"/>
            </v:line>
            <v:line id="_x0000_s1041" style="position:absolute;flip:x" from="5034,4133" to="5728,4500">
              <v:stroke endarrow="classic" endarrowlength="long"/>
            </v:line>
            <v:shape id="_x0000_s1042" type="#_x0000_t202" style="position:absolute;left:2691;top:5989;width:2326;height:795">
              <v:textbox style="mso-next-textbox:#_x0000_s1042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Механические, гидродинамические и другие внешние</w:t>
                    </w:r>
                  </w:p>
                </w:txbxContent>
              </v:textbox>
            </v:shape>
            <v:shape id="_x0000_s1043" type="#_x0000_t202" style="position:absolute;left:5262;top:6009;width:816;height:572">
              <v:textbox style="mso-next-textbox:#_x0000_s1043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Коагу-ляция</w:t>
                    </w:r>
                  </w:p>
                </w:txbxContent>
              </v:textbox>
            </v:shape>
            <v:shape id="_x0000_s1044" type="#_x0000_t202" style="position:absolute;left:6302;top:6009;width:939;height:572">
              <v:textbox style="mso-next-textbox:#_x0000_s1044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Коалес-</w:t>
                    </w:r>
                  </w:p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ценция</w:t>
                    </w:r>
                  </w:p>
                </w:txbxContent>
              </v:textbox>
            </v:shape>
            <v:shape id="_x0000_s1045" type="#_x0000_t202" style="position:absolute;left:3732;top:6988;width:2081;height:551">
              <v:textbox style="mso-next-textbox:#_x0000_s1045" inset=".5mm,.3mm,.5mm,.3mm">
                <w:txbxContent>
                  <w:p w:rsidR="00B00C1E" w:rsidRPr="00490C77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90C77">
                      <w:rPr>
                        <w:sz w:val="20"/>
                        <w:szCs w:val="20"/>
                      </w:rPr>
                      <w:t>Термодинамический фактор устойчивости</w:t>
                    </w:r>
                  </w:p>
                </w:txbxContent>
              </v:textbox>
            </v:shape>
            <v:shape id="_x0000_s1046" type="#_x0000_t202" style="position:absolute;left:5935;top:6723;width:1326;height:1224">
              <v:textbox style="mso-next-textbox:#_x0000_s1046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Кинетичес-</w:t>
                    </w:r>
                  </w:p>
                  <w:p w:rsidR="00B00C1E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кий фактор устойчивости (коллоидная защита)</w:t>
                    </w:r>
                  </w:p>
                </w:txbxContent>
              </v:textbox>
            </v:shape>
            <v:line id="_x0000_s1047" style="position:absolute;flip:y" from="5149,5275" to="5149,6968">
              <v:stroke endarrow="classic" endarrowlength="long"/>
            </v:line>
            <v:line id="_x0000_s1048" style="position:absolute;flip:y" from="6201,5218" to="6202,6707">
              <v:stroke endarrow="classic" endarrowlength="long"/>
            </v:line>
            <v:line id="_x0000_s1049" style="position:absolute" from="6544,5255" to="6768,6050">
              <v:stroke endarrow="classic" endarrowlength="long"/>
            </v:line>
            <v:line id="_x0000_s1050" style="position:absolute;flip:x" from="5585,5255" to="6544,6030">
              <v:stroke endarrow="classic" endarrowlength="long"/>
            </v:line>
            <v:shape id="_x0000_s1051" type="#_x0000_t202" style="position:absolute;left:2965;top:2786;width:1796;height:612">
              <v:textbox style="mso-next-textbox:#_x0000_s1051" inset=".5mm,.3mm,.5mm,.3mm">
                <w:txbxContent>
                  <w:p w:rsidR="00B00C1E" w:rsidRDefault="00B00C1E" w:rsidP="00B00C1E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 w:rsidRPr="0029702A">
                      <w:rPr>
                        <w:sz w:val="20"/>
                        <w:szCs w:val="20"/>
                      </w:rPr>
                      <w:t>Устойчивость</w:t>
                    </w:r>
                  </w:p>
                  <w:p w:rsidR="00B00C1E" w:rsidRPr="0029702A" w:rsidRDefault="00B00C1E" w:rsidP="00B00C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9702A">
                      <w:rPr>
                        <w:sz w:val="20"/>
                        <w:szCs w:val="20"/>
                      </w:rPr>
                      <w:t>дисперсных систем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345.75pt;height:257.25pt">
            <v:imagedata r:id="rId5" o:title="" croptop="-65475f" cropbottom="65475f"/>
            <o:lock v:ext="edit" rotation="t" position="t"/>
          </v:shape>
        </w:pict>
      </w:r>
    </w:p>
    <w:p w:rsidR="002B3EC6" w:rsidRPr="00526280" w:rsidRDefault="002B3EC6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Термодинамическая устойчивость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лиофильных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систем означает, что они равновесны (энергия Гиббса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44"/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26280">
        <w:rPr>
          <w:rFonts w:ascii="Times New Roman" w:hAnsi="Times New Roman" w:cs="Times New Roman"/>
          <w:sz w:val="28"/>
          <w:szCs w:val="28"/>
        </w:rPr>
        <w:t xml:space="preserve">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526280">
        <w:rPr>
          <w:rFonts w:ascii="Times New Roman" w:hAnsi="Times New Roman" w:cs="Times New Roman"/>
          <w:sz w:val="28"/>
          <w:szCs w:val="28"/>
        </w:rPr>
        <w:t xml:space="preserve">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26280">
        <w:rPr>
          <w:rFonts w:ascii="Times New Roman" w:hAnsi="Times New Roman" w:cs="Times New Roman"/>
          <w:sz w:val="28"/>
          <w:szCs w:val="28"/>
        </w:rPr>
        <w:t xml:space="preserve">), обратимы и образуются самопроизвольно, как из макрофаз, так и из истинных растворов. Поскольку образуются гетерогенные системы, то поверхностная энергия должна быть скомпенсирована энтропийной составляющей, т.е. частицы дисперсной системы должны участвовать в молекулярно кинетическом (тепловом) движении. Отсюда следует, что лиофильные системы могут быть только ультромикрогетерогенными, а поверхностное натяжение на границе «частица – среда» должно быть очень малым. Значение поверхностного натяжения, при котором обеспечивается термодинамическая устойчивость дисперсных систем, определяется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соотношением Ребиндера – Щукина</w:t>
      </w:r>
      <w:r w:rsidRPr="00526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0C1E" w:rsidRPr="00526280" w:rsidRDefault="002778D5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26" type="#_x0000_t75" style="width:60.75pt;height:30.75pt" o:ole="" fillcolor="window">
            <v:imagedata r:id="rId6" o:title=""/>
          </v:shape>
          <o:OLEObject Type="Embed" ProgID="Equation.3" ShapeID="_x0000_i1026" DrawAspect="Content" ObjectID="_1469733717" r:id="rId7"/>
        </w:object>
      </w:r>
      <w:r w:rsidR="00B00C1E" w:rsidRPr="00526280">
        <w:rPr>
          <w:rFonts w:ascii="Times New Roman" w:hAnsi="Times New Roman" w:cs="Times New Roman"/>
          <w:sz w:val="28"/>
          <w:szCs w:val="28"/>
        </w:rPr>
        <w:t>,</w:t>
      </w: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26280">
        <w:rPr>
          <w:rFonts w:ascii="Times New Roman" w:hAnsi="Times New Roman" w:cs="Times New Roman"/>
          <w:sz w:val="28"/>
          <w:szCs w:val="28"/>
        </w:rPr>
        <w:tab/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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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</w:t>
      </w:r>
      <w:r w:rsidRPr="00526280">
        <w:rPr>
          <w:rFonts w:ascii="Times New Roman" w:hAnsi="Times New Roman" w:cs="Times New Roman"/>
          <w:sz w:val="28"/>
          <w:szCs w:val="28"/>
        </w:rPr>
        <w:t>безразмерный коэффициент;</w:t>
      </w: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постоянная Больцмана;</w:t>
      </w: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средний размер частицы.</w:t>
      </w: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Расчеты показывают, что межфазное поверхностное натяжение в лиофильных дисперсных системах в зависимости от размеров частиц может иметь значение от 1,4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D7"/>
      </w:r>
      <w:r w:rsidRPr="00526280">
        <w:rPr>
          <w:rFonts w:ascii="Times New Roman" w:hAnsi="Times New Roman" w:cs="Times New Roman"/>
          <w:sz w:val="28"/>
          <w:szCs w:val="28"/>
        </w:rPr>
        <w:t>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526280">
        <w:rPr>
          <w:rFonts w:ascii="Times New Roman" w:hAnsi="Times New Roman" w:cs="Times New Roman"/>
          <w:sz w:val="28"/>
          <w:szCs w:val="28"/>
        </w:rPr>
        <w:t xml:space="preserve"> до 1,4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D7"/>
      </w:r>
      <w:r w:rsidRPr="00526280">
        <w:rPr>
          <w:rFonts w:ascii="Times New Roman" w:hAnsi="Times New Roman" w:cs="Times New Roman"/>
          <w:sz w:val="28"/>
          <w:szCs w:val="28"/>
        </w:rPr>
        <w:t>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526280">
        <w:rPr>
          <w:rFonts w:ascii="Times New Roman" w:hAnsi="Times New Roman" w:cs="Times New Roman"/>
          <w:sz w:val="28"/>
          <w:szCs w:val="28"/>
        </w:rPr>
        <w:t xml:space="preserve"> Дж/м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6280">
        <w:rPr>
          <w:rFonts w:ascii="Times New Roman" w:hAnsi="Times New Roman" w:cs="Times New Roman"/>
          <w:sz w:val="28"/>
          <w:szCs w:val="28"/>
        </w:rPr>
        <w:t>. Типичными представителями лиофильных дисперсных систем являются растворы коллоидных поверхностно активных веществ (ПАВ) (ассоциативные коллоиды) и растворы полимеров (молекулярные коллоиды).</w:t>
      </w:r>
    </w:p>
    <w:p w:rsidR="00B00C1E" w:rsidRPr="00526280" w:rsidRDefault="00B00C1E" w:rsidP="00526280">
      <w:pPr>
        <w:pStyle w:val="31"/>
        <w:widowControl w:val="0"/>
        <w:spacing w:line="360" w:lineRule="auto"/>
        <w:ind w:firstLine="709"/>
        <w:rPr>
          <w:sz w:val="28"/>
          <w:szCs w:val="28"/>
        </w:rPr>
      </w:pPr>
      <w:r w:rsidRPr="00526280">
        <w:rPr>
          <w:i/>
          <w:iCs/>
          <w:sz w:val="28"/>
          <w:szCs w:val="28"/>
        </w:rPr>
        <w:t>Лиофобные</w:t>
      </w:r>
      <w:r w:rsidRPr="00526280">
        <w:rPr>
          <w:sz w:val="28"/>
          <w:szCs w:val="28"/>
        </w:rPr>
        <w:t xml:space="preserve"> системы термодинамически неустойчивы, т.к. частицы дисперсной фазы склонны к агрегации. Их агрегативная термодинамическая неустойчивость обусловлена избытком поверхностной энергии. Межфазное натяжение в них больше рассчитанного по соотношению Ребиндера – Щукина, поэтому они не могут быть получены самопроизвольным диспергированием. Для их образования должна быть затрачена внешняя энергия. Укрупнение частиц дисперсной фазы при потере агрегативной устойчивости достигается двумя путями:</w:t>
      </w:r>
    </w:p>
    <w:p w:rsidR="00B00C1E" w:rsidRPr="00526280" w:rsidRDefault="00B00C1E" w:rsidP="00526280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Изотермическая перегонка, т.е. растворение мелких и рост крупных частиц в соответствии с уравнением Кельвина;</w:t>
      </w:r>
    </w:p>
    <w:p w:rsidR="00B00C1E" w:rsidRPr="00526280" w:rsidRDefault="00B00C1E" w:rsidP="00526280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За счет слипания частиц, т.е. коагуляцией.</w:t>
      </w:r>
    </w:p>
    <w:p w:rsidR="00B00C1E" w:rsidRPr="00526280" w:rsidRDefault="00B00C1E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В зависимости от природы среды и концентрации дисперсной фазы эти процессы могут заканчиваться или осаждением, или структурообразованием.</w:t>
      </w:r>
    </w:p>
    <w:p w:rsidR="00B00C1E" w:rsidRPr="00526280" w:rsidRDefault="00B00C1E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При нарушении агрегативной устойчивости происходит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коагуляция</w:t>
      </w:r>
      <w:r w:rsidRPr="00526280">
        <w:rPr>
          <w:rFonts w:ascii="Times New Roman" w:hAnsi="Times New Roman" w:cs="Times New Roman"/>
          <w:sz w:val="28"/>
          <w:szCs w:val="28"/>
        </w:rPr>
        <w:t>.</w:t>
      </w:r>
    </w:p>
    <w:p w:rsidR="00B00C1E" w:rsidRPr="00526280" w:rsidRDefault="00B00C1E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6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Седиментация и диффузия. Гипсометрический закон. Седиментационно-диффузионное равновесие. Скорость седиментации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Грубодисперсные системы под действием гравитационных сил будут оседать (седиментировать). В результате в системе устанавливается определенное равновесие распределения частиц по высоте. Коллоидные системы по устойчивости занимают промежуточное положение между истинными растворами (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max</w:t>
      </w:r>
      <w:r w:rsidRPr="00526280">
        <w:rPr>
          <w:rFonts w:ascii="Times New Roman" w:hAnsi="Times New Roman" w:cs="Times New Roman"/>
          <w:sz w:val="28"/>
          <w:szCs w:val="28"/>
        </w:rPr>
        <w:t>) и грубодисперсными растворами (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min</w:t>
      </w:r>
      <w:r w:rsidRPr="00526280">
        <w:rPr>
          <w:rFonts w:ascii="Times New Roman" w:hAnsi="Times New Roman" w:cs="Times New Roman"/>
          <w:sz w:val="28"/>
          <w:szCs w:val="28"/>
        </w:rPr>
        <w:t>). На каждую частицу дисперсной фазы действует 3 силы:</w:t>
      </w:r>
    </w:p>
    <w:p w:rsidR="00B66D6B" w:rsidRPr="00526280" w:rsidRDefault="00B66D6B" w:rsidP="00526280">
      <w:pPr>
        <w:widowControl w:val="0"/>
        <w:numPr>
          <w:ilvl w:val="0"/>
          <w:numId w:val="5"/>
        </w:numPr>
        <w:tabs>
          <w:tab w:val="clear" w:pos="2340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Сила тяжести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526280">
        <w:rPr>
          <w:rFonts w:ascii="Times New Roman" w:hAnsi="Times New Roman" w:cs="Times New Roman"/>
          <w:sz w:val="28"/>
          <w:szCs w:val="28"/>
        </w:rPr>
        <w:t>.</w:t>
      </w:r>
    </w:p>
    <w:p w:rsidR="00B66D6B" w:rsidRPr="00526280" w:rsidRDefault="00B66D6B" w:rsidP="00526280">
      <w:pPr>
        <w:widowControl w:val="0"/>
        <w:numPr>
          <w:ilvl w:val="0"/>
          <w:numId w:val="5"/>
        </w:numPr>
        <w:tabs>
          <w:tab w:val="clear" w:pos="2340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Архимедова сила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5262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526280">
        <w:rPr>
          <w:rFonts w:ascii="Times New Roman" w:hAnsi="Times New Roman" w:cs="Times New Roman"/>
          <w:sz w:val="28"/>
          <w:szCs w:val="28"/>
        </w:rPr>
        <w:t>.</w:t>
      </w:r>
    </w:p>
    <w:p w:rsidR="00B66D6B" w:rsidRPr="00526280" w:rsidRDefault="00B66D6B" w:rsidP="00526280">
      <w:pPr>
        <w:widowControl w:val="0"/>
        <w:numPr>
          <w:ilvl w:val="0"/>
          <w:numId w:val="5"/>
        </w:numPr>
        <w:tabs>
          <w:tab w:val="clear" w:pos="2340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>Сила трения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526280">
        <w:rPr>
          <w:rFonts w:ascii="Times New Roman" w:hAnsi="Times New Roman" w:cs="Times New Roman"/>
          <w:sz w:val="28"/>
          <w:szCs w:val="28"/>
        </w:rPr>
        <w:t>.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Сила седиментации будет результирующей между первой и второй силой </w:t>
      </w:r>
    </w:p>
    <w:p w:rsidR="00B66D6B" w:rsidRPr="00526280" w:rsidRDefault="002778D5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12"/>
          <w:sz w:val="28"/>
          <w:szCs w:val="28"/>
        </w:rPr>
        <w:object w:dxaOrig="2799" w:dyaOrig="360">
          <v:shape id="_x0000_i1027" type="#_x0000_t75" style="width:132.75pt;height:17.25pt" o:ole="" fillcolor="window">
            <v:imagedata r:id="rId8" o:title=""/>
          </v:shape>
          <o:OLEObject Type="Embed" ProgID="Equation.3" ShapeID="_x0000_i1027" DrawAspect="Content" ObjectID="_1469733718" r:id="rId9"/>
        </w:object>
      </w:r>
    </w:p>
    <w:p w:rsidR="00B66D6B" w:rsidRPr="00526280" w:rsidRDefault="00B66D6B" w:rsidP="00526280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Если </w:t>
      </w:r>
      <w:r w:rsidR="002778D5" w:rsidRPr="00526280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28" type="#_x0000_t75" style="width:27.75pt;height:18pt" o:ole="" fillcolor="window">
            <v:imagedata r:id="rId10" o:title=""/>
          </v:shape>
          <o:OLEObject Type="Embed" ProgID="Equation.3" ShapeID="_x0000_i1028" DrawAspect="Content" ObjectID="_1469733719" r:id="rId11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,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 xml:space="preserve">сед </w:t>
      </w:r>
      <w:r w:rsidRPr="00526280">
        <w:rPr>
          <w:rFonts w:ascii="Times New Roman" w:hAnsi="Times New Roman" w:cs="Times New Roman"/>
          <w:sz w:val="28"/>
          <w:szCs w:val="28"/>
        </w:rPr>
        <w:t xml:space="preserve">&gt; 0 – происходит оседание частиц. Если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 xml:space="preserve">сед </w:t>
      </w:r>
      <w:r w:rsidRPr="00526280">
        <w:rPr>
          <w:rFonts w:ascii="Times New Roman" w:hAnsi="Times New Roman" w:cs="Times New Roman"/>
          <w:sz w:val="28"/>
          <w:szCs w:val="28"/>
        </w:rPr>
        <w:t>&lt; 0 – то частицы всплывают. Результирующая сила, действующая на частицу:</w:t>
      </w:r>
    </w:p>
    <w:p w:rsidR="00B66D6B" w:rsidRPr="00526280" w:rsidRDefault="002778D5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14"/>
          <w:sz w:val="28"/>
          <w:szCs w:val="28"/>
        </w:rPr>
        <w:object w:dxaOrig="3580" w:dyaOrig="380">
          <v:shape id="_x0000_i1029" type="#_x0000_t75" style="width:179.25pt;height:18.75pt" o:ole="" fillcolor="window">
            <v:imagedata r:id="rId12" o:title=""/>
          </v:shape>
          <o:OLEObject Type="Embed" ProgID="Equation.3" ShapeID="_x0000_i1029" DrawAspect="Content" ObjectID="_1469733720" r:id="rId13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>,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коэффициент трения;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скорость седиментации.</w:t>
      </w:r>
    </w:p>
    <w:p w:rsidR="00B66D6B" w:rsidRPr="00526280" w:rsidRDefault="00F329FC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2" type="#_x0000_t202" style="position:absolute;left:0;text-align:left;margin-left:141.55pt;margin-top:10.4pt;width:135.75pt;height:20.25pt;z-index:251657728" filled="f" stroked="f">
            <v:textbox style="mso-next-textbox:#_x0000_s1052">
              <w:txbxContent>
                <w:p w:rsidR="00B66D6B" w:rsidRDefault="00B66D6B" w:rsidP="00B66D6B">
                  <w:pPr>
                    <w:rPr>
                      <w:rFonts w:cs="Times New Roman"/>
                    </w:rPr>
                  </w:pPr>
                  <w:r w:rsidRPr="004925E0">
                    <w:t xml:space="preserve">при равновесии </w:t>
                  </w:r>
                  <w:r w:rsidRPr="008B4715">
                    <w:rPr>
                      <w:i/>
                      <w:iCs/>
                      <w:lang w:val="en-US"/>
                    </w:rPr>
                    <w:t>F</w:t>
                  </w:r>
                  <w:r w:rsidRPr="004925E0">
                    <w:rPr>
                      <w:i/>
                      <w:iCs/>
                      <w:vertAlign w:val="subscript"/>
                    </w:rPr>
                    <w:t>сед</w:t>
                  </w:r>
                  <w:r w:rsidRPr="004925E0">
                    <w:t xml:space="preserve"> = </w:t>
                  </w:r>
                  <w:r w:rsidRPr="008B4715">
                    <w:rPr>
                      <w:i/>
                      <w:iCs/>
                      <w:lang w:val="en-US"/>
                    </w:rPr>
                    <w:t>F</w:t>
                  </w:r>
                  <w:r w:rsidRPr="004925E0">
                    <w:rPr>
                      <w:i/>
                      <w:iCs/>
                      <w:vertAlign w:val="subscript"/>
                    </w:rPr>
                    <w:t>тр</w:t>
                  </w:r>
                </w:p>
              </w:txbxContent>
            </v:textbox>
            <w10:anchorlock/>
          </v:shape>
        </w:pict>
      </w:r>
      <w:r w:rsidR="00B66D6B" w:rsidRPr="00526280">
        <w:rPr>
          <w:rFonts w:ascii="Times New Roman" w:hAnsi="Times New Roman" w:cs="Times New Roman"/>
          <w:sz w:val="28"/>
          <w:szCs w:val="28"/>
        </w:rPr>
        <w:t>Сила трения, согласно закону Стокса</w:t>
      </w:r>
    </w:p>
    <w:p w:rsidR="00B66D6B" w:rsidRPr="00526280" w:rsidRDefault="00F329FC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3" type="#_x0000_t202" style="position:absolute;left:0;text-align:left;margin-left:197.05pt;margin-top:23.25pt;width:252.95pt;height:23.25pt;z-index:251656704" filled="f" stroked="f">
            <v:textbox style="mso-next-textbox:#_x0000_s1053">
              <w:txbxContent>
                <w:p w:rsidR="00B66D6B" w:rsidRPr="00CA0E22" w:rsidRDefault="00B66D6B" w:rsidP="00B66D6B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CA0E22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для сферических частиц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position w:val="-46"/>
          <w:sz w:val="28"/>
          <w:szCs w:val="28"/>
        </w:rPr>
        <w:pict>
          <v:shape id="_x0000_i1030" type="#_x0000_t75" style="width:120.75pt;height:51pt" fillcolor="window">
            <v:imagedata r:id="rId14" o:title=""/>
          </v:shape>
        </w:pic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Отсюда уравнение скорости оседания и радиуса частиц</w:t>
      </w:r>
    </w:p>
    <w:p w:rsidR="00B66D6B" w:rsidRPr="00526280" w:rsidRDefault="00F329FC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6"/>
          <w:sz w:val="28"/>
          <w:szCs w:val="28"/>
        </w:rPr>
        <w:pict>
          <v:shape id="_x0000_i1031" type="#_x0000_t75" style="width:79.5pt;height:64.5pt" fillcolor="window">
            <v:imagedata r:id="rId15" o:title=""/>
          </v:shape>
        </w:pict>
      </w:r>
    </w:p>
    <w:p w:rsidR="00B66D6B" w:rsidRPr="00526280" w:rsidRDefault="00B66D6B" w:rsidP="00526280">
      <w:pPr>
        <w:pStyle w:val="31"/>
        <w:widowControl w:val="0"/>
        <w:spacing w:line="360" w:lineRule="auto"/>
        <w:ind w:firstLine="709"/>
        <w:rPr>
          <w:sz w:val="28"/>
          <w:szCs w:val="28"/>
        </w:rPr>
      </w:pPr>
      <w:r w:rsidRPr="00526280">
        <w:rPr>
          <w:sz w:val="28"/>
          <w:szCs w:val="28"/>
        </w:rPr>
        <w:t>Результатами седиментационного анализа может служить интервал радиусов частиц в данной системе, просто радиус частиц или доля фракций определенного радиуса.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Способность к седиментации принято выражать через константу седиментации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526280">
        <w:rPr>
          <w:rFonts w:ascii="Times New Roman" w:hAnsi="Times New Roman" w:cs="Times New Roman"/>
          <w:sz w:val="28"/>
          <w:szCs w:val="28"/>
        </w:rPr>
        <w:t>, которая определяется скоростью седиментации:</w: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8"/>
          <w:sz w:val="28"/>
          <w:szCs w:val="28"/>
        </w:rPr>
        <w:object w:dxaOrig="2140" w:dyaOrig="660">
          <v:shape id="_x0000_i1032" type="#_x0000_t75" style="width:98.25pt;height:30pt" o:ole="">
            <v:imagedata r:id="rId16" o:title=""/>
          </v:shape>
          <o:OLEObject Type="Embed" ProgID="Equation.3" ShapeID="_x0000_i1032" DrawAspect="Content" ObjectID="_1469733721" r:id="rId17"/>
        </w:obje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Для сферических частиц эта константа равна </w: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8"/>
          <w:sz w:val="28"/>
          <w:szCs w:val="28"/>
        </w:rPr>
        <w:object w:dxaOrig="1840" w:dyaOrig="700">
          <v:shape id="_x0000_i1033" type="#_x0000_t75" style="width:84pt;height:31.5pt" o:ole="">
            <v:imagedata r:id="rId18" o:title=""/>
          </v:shape>
          <o:OLEObject Type="Embed" ProgID="Equation.3" ShapeID="_x0000_i1033" DrawAspect="Content" ObjectID="_1469733722" r:id="rId19"/>
        </w:obje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Из уравнения следует, что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6280">
        <w:rPr>
          <w:rFonts w:ascii="Times New Roman" w:hAnsi="Times New Roman" w:cs="Times New Roman"/>
          <w:sz w:val="28"/>
          <w:szCs w:val="28"/>
        </w:rPr>
        <w:t xml:space="preserve">зависит как от размеров частиц, так и от природы среды. За единицу измерения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526280">
        <w:rPr>
          <w:rFonts w:ascii="Times New Roman" w:hAnsi="Times New Roman" w:cs="Times New Roman"/>
          <w:sz w:val="28"/>
          <w:szCs w:val="28"/>
        </w:rPr>
        <w:t xml:space="preserve"> принят сведберг (сб), равный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Часто для характеристики процесса седиментации используют удельный поток седиментации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сед.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>Удельный поток седиментации – это число частиц, оседающих в единицу времени через сечение единичной площади, нормальное к направлению седиментации.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Размерность: [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сед</w:t>
      </w:r>
      <w:r w:rsidRPr="00526280">
        <w:rPr>
          <w:rFonts w:ascii="Times New Roman" w:hAnsi="Times New Roman" w:cs="Times New Roman"/>
          <w:sz w:val="28"/>
          <w:szCs w:val="28"/>
        </w:rPr>
        <w:t>] = част/см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26280">
        <w:rPr>
          <w:rFonts w:ascii="Times New Roman" w:hAnsi="Times New Roman" w:cs="Times New Roman"/>
          <w:sz w:val="28"/>
          <w:szCs w:val="28"/>
        </w:rPr>
        <w:t xml:space="preserve"> * с.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Из определения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сед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следует: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сед</w:t>
      </w:r>
      <w:r w:rsidRPr="00526280">
        <w:rPr>
          <w:rFonts w:ascii="Times New Roman" w:hAnsi="Times New Roman" w:cs="Times New Roman"/>
          <w:sz w:val="28"/>
          <w:szCs w:val="28"/>
        </w:rPr>
        <w:t xml:space="preserve"> =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сед</w:t>
      </w:r>
      <w:r w:rsidRPr="00526280">
        <w:rPr>
          <w:rFonts w:ascii="Times New Roman" w:hAnsi="Times New Roman" w:cs="Times New Roman"/>
          <w:sz w:val="28"/>
          <w:szCs w:val="28"/>
        </w:rPr>
        <w:t xml:space="preserve"> *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2628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частичная концентрация частиц в дисперсной системе.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Подставив в это уравнение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сед</w:t>
      </w:r>
      <w:r w:rsidRPr="00526280">
        <w:rPr>
          <w:rFonts w:ascii="Times New Roman" w:hAnsi="Times New Roman" w:cs="Times New Roman"/>
          <w:sz w:val="28"/>
          <w:szCs w:val="28"/>
        </w:rPr>
        <w:t xml:space="preserve">, получим: </w:t>
      </w:r>
      <w:r w:rsidR="002778D5" w:rsidRPr="00526280">
        <w:rPr>
          <w:rFonts w:ascii="Times New Roman" w:hAnsi="Times New Roman" w:cs="Times New Roman"/>
          <w:position w:val="-24"/>
          <w:sz w:val="28"/>
          <w:szCs w:val="28"/>
        </w:rPr>
        <w:object w:dxaOrig="2160" w:dyaOrig="639">
          <v:shape id="_x0000_i1034" type="#_x0000_t75" style="width:108pt;height:32.25pt" o:ole="">
            <v:imagedata r:id="rId20" o:title=""/>
          </v:shape>
          <o:OLEObject Type="Embed" ProgID="Equation.3" ShapeID="_x0000_i1034" DrawAspect="Content" ObjectID="_1469733723" r:id="rId21"/>
        </w:obje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Таким образом, удельный поток прямо пропорционален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26280">
        <w:rPr>
          <w:rFonts w:ascii="Times New Roman" w:hAnsi="Times New Roman" w:cs="Times New Roman"/>
          <w:sz w:val="28"/>
          <w:szCs w:val="28"/>
        </w:rPr>
        <w:t xml:space="preserve">,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26280">
        <w:rPr>
          <w:rFonts w:ascii="Times New Roman" w:hAnsi="Times New Roman" w:cs="Times New Roman"/>
          <w:sz w:val="28"/>
          <w:szCs w:val="28"/>
        </w:rPr>
        <w:t>, (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r w:rsidRPr="00526280">
        <w:rPr>
          <w:rFonts w:ascii="Times New Roman" w:hAnsi="Times New Roman" w:cs="Times New Roman"/>
          <w:sz w:val="28"/>
          <w:szCs w:val="28"/>
        </w:rPr>
        <w:t xml:space="preserve">) и обратно пропорционален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526280">
        <w:rPr>
          <w:rFonts w:ascii="Times New Roman" w:hAnsi="Times New Roman" w:cs="Times New Roman"/>
          <w:sz w:val="28"/>
          <w:szCs w:val="28"/>
        </w:rPr>
        <w:t>. Подставив эти выражения в уравнение, получим</w:t>
      </w:r>
    </w:p>
    <w:p w:rsidR="00B66D6B" w:rsidRPr="00526280" w:rsidRDefault="00F329FC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5" type="#_x0000_t75" style="width:108pt;height:33.75pt">
            <v:imagedata r:id="rId22" o:title=""/>
          </v:shape>
        </w:pi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Значит, в случае сферических частиц удельный поток прямо пропорционален квадрату радиуса и обратно пропорционален вязкости среды.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Рассматривая процесс седиментации, мы не учитываем броуновского движения, в котором участвуют частицы. Следствием броуновского движения, является диффузия, которая стремится выровнять концентрацию частиц по всему объёму, в то время как седиментация приводит к увеличению концентрации в нижних слоях.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Таким образом, наблюдается два противоположных потока: поток седиментации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сед</w:t>
      </w:r>
      <w:r w:rsidRPr="00526280">
        <w:rPr>
          <w:rFonts w:ascii="Times New Roman" w:hAnsi="Times New Roman" w:cs="Times New Roman"/>
          <w:sz w:val="28"/>
          <w:szCs w:val="28"/>
        </w:rPr>
        <w:t xml:space="preserve"> и поток диффузии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диф.</w: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036" type="#_x0000_t75" style="width:71.25pt;height:30.75pt" o:ole="">
            <v:imagedata r:id="rId23" o:title=""/>
          </v:shape>
          <o:OLEObject Type="Embed" ProgID="Equation.3" ShapeID="_x0000_i1036" DrawAspect="Content" ObjectID="_1469733724" r:id="rId24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26280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7" type="#_x0000_t75" style="width:41.25pt;height:30.75pt" o:ole="">
            <v:imagedata r:id="rId25" o:title=""/>
          </v:shape>
          <o:OLEObject Type="Embed" ProgID="Equation.3" ShapeID="_x0000_i1037" DrawAspect="Content" ObjectID="_1469733725" r:id="rId26"/>
        </w:obje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В результате конкуренции этих потоков возможны три варианта: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1.</w:t>
      </w:r>
      <w:r w:rsidRPr="00526280">
        <w:rPr>
          <w:rFonts w:ascii="Times New Roman" w:hAnsi="Times New Roman" w:cs="Times New Roman"/>
          <w:sz w:val="28"/>
          <w:szCs w:val="28"/>
        </w:rPr>
        <w:tab/>
      </w:r>
      <w:r w:rsidR="002778D5" w:rsidRPr="00526280">
        <w:rPr>
          <w:rFonts w:ascii="Times New Roman" w:hAnsi="Times New Roman" w:cs="Times New Roman"/>
          <w:position w:val="-32"/>
          <w:sz w:val="28"/>
          <w:szCs w:val="28"/>
        </w:rPr>
        <w:object w:dxaOrig="960" w:dyaOrig="700">
          <v:shape id="_x0000_i1038" type="#_x0000_t75" style="width:48pt;height:35.25pt" o:ole="">
            <v:imagedata r:id="rId27" o:title=""/>
          </v:shape>
          <o:OLEObject Type="Embed" ProgID="Equation.3" ShapeID="_x0000_i1038" DrawAspect="Content" ObjectID="_1469733726" r:id="rId28"/>
        </w:object>
      </w:r>
      <w:r w:rsidRPr="00526280">
        <w:rPr>
          <w:rFonts w:ascii="Times New Roman" w:hAnsi="Times New Roman" w:cs="Times New Roman"/>
          <w:sz w:val="28"/>
          <w:szCs w:val="28"/>
        </w:rPr>
        <w:t>, т.е.</w:t>
      </w:r>
      <w:r w:rsidR="002778D5" w:rsidRPr="00526280">
        <w:rPr>
          <w:rFonts w:ascii="Times New Roman" w:hAnsi="Times New Roman" w:cs="Times New Roman"/>
          <w:position w:val="-14"/>
          <w:sz w:val="28"/>
          <w:szCs w:val="28"/>
        </w:rPr>
        <w:object w:dxaOrig="1020" w:dyaOrig="380">
          <v:shape id="_x0000_i1039" type="#_x0000_t75" style="width:51pt;height:18.75pt" o:ole="">
            <v:imagedata r:id="rId29" o:title=""/>
          </v:shape>
          <o:OLEObject Type="Embed" ProgID="Equation.3" ShapeID="_x0000_i1039" DrawAspect="Content" ObjectID="_1469733727" r:id="rId30"/>
        </w:object>
      </w:r>
      <w:r w:rsidRPr="00526280">
        <w:rPr>
          <w:rFonts w:ascii="Times New Roman" w:hAnsi="Times New Roman" w:cs="Times New Roman"/>
          <w:sz w:val="28"/>
          <w:szCs w:val="28"/>
        </w:rPr>
        <w:t>, т.е.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Чтобы выполнилось это неравенство, значения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26280">
        <w:rPr>
          <w:rFonts w:ascii="Times New Roman" w:hAnsi="Times New Roman" w:cs="Times New Roman"/>
          <w:sz w:val="28"/>
          <w:szCs w:val="28"/>
        </w:rPr>
        <w:t xml:space="preserve"> и </w:t>
      </w:r>
      <w:r w:rsidR="002778D5" w:rsidRPr="0052628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0" type="#_x0000_t75" style="width:18pt;height:30.75pt" o:ole="">
            <v:imagedata r:id="rId31" o:title=""/>
          </v:shape>
          <o:OLEObject Type="Embed" ProgID="Equation.3" ShapeID="_x0000_i1040" DrawAspect="Content" ObjectID="_1469733728" r:id="rId32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 должны быть малы, а (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r w:rsidRPr="00526280">
        <w:rPr>
          <w:rFonts w:ascii="Times New Roman" w:hAnsi="Times New Roman" w:cs="Times New Roman"/>
          <w:sz w:val="28"/>
          <w:szCs w:val="28"/>
        </w:rPr>
        <w:t xml:space="preserve">) 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велики. В реальных условиях эти параметры заметно изменить сложно, а радиус частиц в дисперсных системах изменяется в широком интервале: от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526280">
        <w:rPr>
          <w:rFonts w:ascii="Times New Roman" w:hAnsi="Times New Roman" w:cs="Times New Roman"/>
          <w:sz w:val="28"/>
          <w:szCs w:val="28"/>
        </w:rPr>
        <w:t xml:space="preserve"> до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см и именно радиус частиц является определяющим. Установлено, что данное неравенство соблюдается, когда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526280">
        <w:rPr>
          <w:rFonts w:ascii="Times New Roman" w:hAnsi="Times New Roman" w:cs="Times New Roman"/>
          <w:sz w:val="28"/>
          <w:szCs w:val="28"/>
        </w:rPr>
        <w:t xml:space="preserve"> </w:t>
      </w:r>
      <w:r w:rsidR="002778D5" w:rsidRPr="00526280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041" type="#_x0000_t75" style="width:9.75pt;height:12pt" o:ole="">
            <v:imagedata r:id="rId33" o:title=""/>
          </v:shape>
          <o:OLEObject Type="Embed" ProgID="Equation.3" ShapeID="_x0000_i1041" DrawAspect="Content" ObjectID="_1469733729" r:id="rId34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см. В этих случаях диффузией можно пренебречь, идёт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быстрая седиментация – система является седиментационно неустойчивой.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2.</w:t>
      </w:r>
      <w:r w:rsidR="00DD00CB">
        <w:rPr>
          <w:rFonts w:ascii="Times New Roman" w:hAnsi="Times New Roman" w:cs="Times New Roman"/>
          <w:sz w:val="28"/>
          <w:szCs w:val="28"/>
        </w:rPr>
        <w:t xml:space="preserve"> </w:t>
      </w:r>
      <w:r w:rsidR="002778D5" w:rsidRPr="00526280">
        <w:rPr>
          <w:rFonts w:ascii="Times New Roman" w:hAnsi="Times New Roman" w:cs="Times New Roman"/>
          <w:position w:val="-32"/>
          <w:sz w:val="28"/>
          <w:szCs w:val="28"/>
        </w:rPr>
        <w:object w:dxaOrig="940" w:dyaOrig="700">
          <v:shape id="_x0000_i1042" type="#_x0000_t75" style="width:47.25pt;height:35.25pt" o:ole="">
            <v:imagedata r:id="rId35" o:title=""/>
          </v:shape>
          <o:OLEObject Type="Embed" ProgID="Equation.3" ShapeID="_x0000_i1042" DrawAspect="Content" ObjectID="_1469733730" r:id="rId36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, т.е. </w:t>
      </w:r>
      <w:r w:rsidR="00F329FC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3" type="#_x0000_t75" style="width:51pt;height:18.75pt">
            <v:imagedata r:id="rId37" o:title=""/>
          </v:shape>
        </w:pict>
      </w:r>
      <w:r w:rsidRPr="005262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т.е.</w:t>
      </w:r>
      <w:r w:rsidR="00DD00CB">
        <w:rPr>
          <w:rFonts w:ascii="Times New Roman" w:hAnsi="Times New Roman" w:cs="Times New Roman"/>
          <w:sz w:val="28"/>
          <w:szCs w:val="28"/>
        </w:rPr>
        <w:t xml:space="preserve"> </w:t>
      </w:r>
      <w:r w:rsidR="00F329F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44" type="#_x0000_t75" style="width:158.25pt;height:33pt">
            <v:imagedata r:id="rId38" o:title=""/>
          </v:shape>
        </w:pi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Это условие должно выполняться, когда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26280">
        <w:rPr>
          <w:rFonts w:ascii="Times New Roman" w:hAnsi="Times New Roman" w:cs="Times New Roman"/>
          <w:sz w:val="28"/>
          <w:szCs w:val="28"/>
        </w:rPr>
        <w:t xml:space="preserve"> и </w:t>
      </w:r>
      <w:r w:rsidR="002778D5" w:rsidRPr="0052628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5" type="#_x0000_t75" style="width:18pt;height:30.75pt" o:ole="">
            <v:imagedata r:id="rId31" o:title=""/>
          </v:shape>
          <o:OLEObject Type="Embed" ProgID="Equation.3" ShapeID="_x0000_i1045" DrawAspect="Content" ObjectID="_1469733731" r:id="rId39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 велики, а (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r w:rsidRPr="00526280">
        <w:rPr>
          <w:rFonts w:ascii="Times New Roman" w:hAnsi="Times New Roman" w:cs="Times New Roman"/>
          <w:sz w:val="28"/>
          <w:szCs w:val="28"/>
        </w:rPr>
        <w:t xml:space="preserve">) 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малы. Но и здесь решающую роль играет радиус частиц. Установлено, что это неравенство выполняется при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526280">
        <w:rPr>
          <w:rFonts w:ascii="Times New Roman" w:hAnsi="Times New Roman" w:cs="Times New Roman"/>
          <w:sz w:val="28"/>
          <w:szCs w:val="28"/>
        </w:rPr>
        <w:t xml:space="preserve"> </w:t>
      </w:r>
      <w:r w:rsidR="002778D5" w:rsidRPr="00526280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046" type="#_x0000_t75" style="width:9.75pt;height:12pt" o:ole="">
            <v:imagedata r:id="rId40" o:title=""/>
          </v:shape>
          <o:OLEObject Type="Embed" ProgID="Equation.3" ShapeID="_x0000_i1046" DrawAspect="Content" ObjectID="_1469733732" r:id="rId41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см. В этом случае можно пренебречь седиментацией, диффузия приведёт к равномерному распределению частиц по всему объёму сосуда.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Дисперсная система является седиментационно устойчивой.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3.</w:t>
      </w:r>
      <w:r w:rsidR="00DD00CB">
        <w:rPr>
          <w:rFonts w:ascii="Times New Roman" w:hAnsi="Times New Roman" w:cs="Times New Roman"/>
          <w:sz w:val="28"/>
          <w:szCs w:val="28"/>
        </w:rPr>
        <w:t xml:space="preserve"> </w:t>
      </w:r>
      <w:r w:rsidR="002778D5" w:rsidRPr="00526280">
        <w:rPr>
          <w:rFonts w:ascii="Times New Roman" w:hAnsi="Times New Roman" w:cs="Times New Roman"/>
          <w:position w:val="-32"/>
          <w:sz w:val="28"/>
          <w:szCs w:val="28"/>
        </w:rPr>
        <w:object w:dxaOrig="820" w:dyaOrig="700">
          <v:shape id="_x0000_i1047" type="#_x0000_t75" style="width:41.25pt;height:35.25pt" o:ole="">
            <v:imagedata r:id="rId42" o:title=""/>
          </v:shape>
          <o:OLEObject Type="Embed" ProgID="Equation.3" ShapeID="_x0000_i1047" DrawAspect="Content" ObjectID="_1469733733" r:id="rId43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, т.е. </w:t>
      </w:r>
      <w:r w:rsidR="002778D5" w:rsidRPr="00526280">
        <w:rPr>
          <w:rFonts w:ascii="Times New Roman" w:hAnsi="Times New Roman" w:cs="Times New Roman"/>
          <w:position w:val="-14"/>
          <w:sz w:val="28"/>
          <w:szCs w:val="28"/>
        </w:rPr>
        <w:object w:dxaOrig="900" w:dyaOrig="380">
          <v:shape id="_x0000_i1048" type="#_x0000_t75" style="width:45pt;height:18.75pt" o:ole="">
            <v:imagedata r:id="rId44" o:title=""/>
          </v:shape>
          <o:OLEObject Type="Embed" ProgID="Equation.3" ShapeID="_x0000_i1048" DrawAspect="Content" ObjectID="_1469733734" r:id="rId45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т.е.</w:t>
      </w:r>
      <w:r w:rsidR="00DD00CB">
        <w:rPr>
          <w:rFonts w:ascii="Times New Roman" w:hAnsi="Times New Roman" w:cs="Times New Roman"/>
          <w:sz w:val="28"/>
          <w:szCs w:val="28"/>
        </w:rPr>
        <w:t xml:space="preserve"> </w:t>
      </w:r>
      <w:r w:rsidR="002778D5" w:rsidRPr="00526280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9" type="#_x0000_t75" style="width:9pt;height:17.25pt" o:ole="">
            <v:imagedata r:id="rId46" o:title=""/>
          </v:shape>
          <o:OLEObject Type="Embed" ProgID="Equation.3" ShapeID="_x0000_i1049" DrawAspect="Content" ObjectID="_1469733735" r:id="rId47"/>
        </w:object>
      </w:r>
      <w:r w:rsidR="002778D5" w:rsidRPr="00526280">
        <w:rPr>
          <w:rFonts w:ascii="Times New Roman" w:hAnsi="Times New Roman" w:cs="Times New Roman"/>
          <w:position w:val="-28"/>
          <w:sz w:val="28"/>
          <w:szCs w:val="28"/>
        </w:rPr>
        <w:object w:dxaOrig="3220" w:dyaOrig="700">
          <v:shape id="_x0000_i1050" type="#_x0000_t75" style="width:161.25pt;height:35.25pt" o:ole="">
            <v:imagedata r:id="rId48" o:title=""/>
          </v:shape>
          <o:OLEObject Type="Embed" ProgID="Equation.3" ShapeID="_x0000_i1050" DrawAspect="Content" ObjectID="_1469733736" r:id="rId49"/>
        </w:obje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В системе имеет место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седиментационно-диффузионное равновесие.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Проинтегрируем это уравнение, разделив переменные:</w:t>
      </w:r>
    </w:p>
    <w:p w:rsidR="00B66D6B" w:rsidRPr="00526280" w:rsidRDefault="00F329FC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51" type="#_x0000_t75" style="width:150.75pt;height:32.25pt">
            <v:imagedata r:id="rId50" o:title=""/>
          </v:shape>
        </w:pic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32"/>
          <w:sz w:val="28"/>
          <w:szCs w:val="28"/>
        </w:rPr>
        <w:object w:dxaOrig="3519" w:dyaOrig="760">
          <v:shape id="_x0000_i1052" type="#_x0000_t75" style="width:176.25pt;height:38.25pt" o:ole="">
            <v:imagedata r:id="rId51" o:title=""/>
          </v:shape>
          <o:OLEObject Type="Embed" ProgID="Equation.3" ShapeID="_x0000_i1052" DrawAspect="Content" ObjectID="_1469733737" r:id="rId52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>;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Примем</w:t>
      </w:r>
      <w:r w:rsidR="00CA0E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9FC">
        <w:rPr>
          <w:rFonts w:ascii="Times New Roman" w:hAnsi="Times New Roman" w:cs="Times New Roman"/>
          <w:position w:val="-24"/>
          <w:sz w:val="28"/>
          <w:szCs w:val="28"/>
        </w:rPr>
        <w:pict>
          <v:shape id="_x0000_i1053" type="#_x0000_t75" style="width:91.5pt;height:30.75pt">
            <v:imagedata r:id="rId53" o:title=""/>
          </v:shape>
        </w:pict>
      </w:r>
      <w:r w:rsidRPr="005262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2"/>
          <w:sz w:val="28"/>
          <w:szCs w:val="28"/>
        </w:rPr>
        <w:object w:dxaOrig="2040" w:dyaOrig="560">
          <v:shape id="_x0000_i1054" type="#_x0000_t75" style="width:102pt;height:27.75pt" o:ole="">
            <v:imagedata r:id="rId54" o:title=""/>
          </v:shape>
          <o:OLEObject Type="Embed" ProgID="Equation.3" ShapeID="_x0000_i1054" DrawAspect="Content" ObjectID="_1469733738" r:id="rId55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>,</w:t>
      </w:r>
      <w:r w:rsidRPr="00526280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55" type="#_x0000_t75" style="width:9pt;height:17.25pt" o:ole="">
            <v:imagedata r:id="rId46" o:title=""/>
          </v:shape>
          <o:OLEObject Type="Embed" ProgID="Equation.3" ShapeID="_x0000_i1055" DrawAspect="Content" ObjectID="_1469733739" r:id="rId56"/>
        </w:obje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262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концентрация частиц на дне сосуда; 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h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концентрация частиц на высоте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526280">
        <w:rPr>
          <w:rFonts w:ascii="Times New Roman" w:hAnsi="Times New Roman" w:cs="Times New Roman"/>
          <w:sz w:val="28"/>
          <w:szCs w:val="28"/>
        </w:rPr>
        <w:t xml:space="preserve"> от дна.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Отсюда</w:t>
      </w:r>
      <w:r w:rsidRPr="00526280">
        <w:rPr>
          <w:rFonts w:ascii="Times New Roman" w:hAnsi="Times New Roman" w:cs="Times New Roman"/>
          <w:sz w:val="28"/>
          <w:szCs w:val="28"/>
        </w:rPr>
        <w:tab/>
      </w:r>
      <w:r w:rsidRPr="00526280">
        <w:rPr>
          <w:rFonts w:ascii="Times New Roman" w:hAnsi="Times New Roman" w:cs="Times New Roman"/>
          <w:sz w:val="28"/>
          <w:szCs w:val="28"/>
        </w:rPr>
        <w:tab/>
      </w:r>
      <w:r w:rsidR="002778D5" w:rsidRPr="00526280">
        <w:rPr>
          <w:rFonts w:ascii="Times New Roman" w:hAnsi="Times New Roman" w:cs="Times New Roman"/>
          <w:position w:val="-32"/>
          <w:sz w:val="28"/>
          <w:szCs w:val="28"/>
        </w:rPr>
        <w:object w:dxaOrig="1440" w:dyaOrig="760">
          <v:shape id="_x0000_i1056" type="#_x0000_t75" style="width:1in;height:38.25pt" o:ole="">
            <v:imagedata r:id="rId57" o:title=""/>
          </v:shape>
          <o:OLEObject Type="Embed" ProgID="Equation.3" ShapeID="_x0000_i1056" DrawAspect="Content" ObjectID="_1469733740" r:id="rId58"/>
        </w:object>
      </w:r>
      <w:r w:rsidRPr="00526280">
        <w:rPr>
          <w:rFonts w:ascii="Times New Roman" w:hAnsi="Times New Roman" w:cs="Times New Roman"/>
          <w:sz w:val="28"/>
          <w:szCs w:val="28"/>
        </w:rPr>
        <w:tab/>
      </w:r>
      <w:r w:rsidR="002778D5" w:rsidRPr="0052628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00" w:dyaOrig="360">
          <v:shape id="_x0000_i1057" type="#_x0000_t75" style="width:84.75pt;height:18pt" o:ole="">
            <v:imagedata r:id="rId59" o:title=""/>
          </v:shape>
          <o:OLEObject Type="Embed" ProgID="Equation.3" ShapeID="_x0000_i1057" DrawAspect="Content" ObjectID="_1469733741" r:id="rId60"/>
        </w:objec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00" w:dyaOrig="380">
          <v:shape id="_x0000_i1058" type="#_x0000_t75" style="width:65.25pt;height:18.75pt" o:ole="" o:bordertopcolor="this" o:borderleftcolor="this" o:borderbottomcolor="this" o:borderrightcolor="this">
            <v:imagedata r:id="rId6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8" DrawAspect="Content" ObjectID="_1469733742" r:id="rId62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 - </w:t>
      </w:r>
      <w:r w:rsidR="00B66D6B" w:rsidRPr="00526280">
        <w:rPr>
          <w:rFonts w:ascii="Times New Roman" w:hAnsi="Times New Roman" w:cs="Times New Roman"/>
          <w:i/>
          <w:iCs/>
          <w:sz w:val="28"/>
          <w:szCs w:val="28"/>
        </w:rPr>
        <w:t>гипсометрический закон Лапласа-Перрена</w:t>
      </w:r>
      <w:r w:rsidR="00B66D6B" w:rsidRPr="00526280">
        <w:rPr>
          <w:rFonts w:ascii="Times New Roman" w:hAnsi="Times New Roman" w:cs="Times New Roman"/>
          <w:sz w:val="28"/>
          <w:szCs w:val="28"/>
        </w:rPr>
        <w:t>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В этом случае система является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седиментационно-устойчивой</w:t>
      </w:r>
      <w:r w:rsidRPr="00526280">
        <w:rPr>
          <w:rFonts w:ascii="Times New Roman" w:hAnsi="Times New Roman" w:cs="Times New Roman"/>
          <w:sz w:val="28"/>
          <w:szCs w:val="28"/>
        </w:rPr>
        <w:t>, но распределение частиц в ней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 не равномерное, а </w:t>
      </w:r>
      <w:r w:rsidRPr="00526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равновесное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26280">
        <w:rPr>
          <w:rFonts w:ascii="Times New Roman" w:hAnsi="Times New Roman" w:cs="Times New Roman"/>
          <w:sz w:val="28"/>
          <w:szCs w:val="28"/>
        </w:rPr>
        <w:t>Это распределение наблюдается, когда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526280">
        <w:rPr>
          <w:rFonts w:ascii="Times New Roman" w:hAnsi="Times New Roman" w:cs="Times New Roman"/>
          <w:sz w:val="28"/>
          <w:szCs w:val="28"/>
        </w:rPr>
        <w:t xml:space="preserve"> &lt;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526280">
        <w:rPr>
          <w:rFonts w:ascii="Times New Roman" w:hAnsi="Times New Roman" w:cs="Times New Roman"/>
          <w:sz w:val="28"/>
          <w:szCs w:val="28"/>
        </w:rPr>
        <w:t xml:space="preserve"> &lt;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Если сравнить седиментацию с учетом диффузии и без нее, то видно различие факторов обусловливающих кинетическую устойчивость. Эти факторы позволяют различать кинетическую седиментационную устойчивость (КСУ) и термодинамическое равновесие, которого не может быть при КСУ. Мерой КСУ является величина, обратная константе седиментации.</w:t>
      </w:r>
    </w:p>
    <w:p w:rsidR="00B66D6B" w:rsidRPr="00526280" w:rsidRDefault="00F329FC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59" type="#_x0000_t75" style="width:123pt;height:31.5pt">
            <v:imagedata r:id="rId63" o:title=""/>
          </v:shape>
        </w:pi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Эта устойчивость обеспечивается гидродинамическими факторами: вязкостью и плотностью среды, плотностью и размерами частиц. КСУ измеряется в обратных сведбергах: обр. св. =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– 1</w:t>
      </w:r>
      <w:r w:rsidRPr="005262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ТСУ обусловлена статистическими законами диффузии и непосредственно связана с диффузионно–седиментазионным равновесием. Мерой ТСУ является гипсометрическая высота. Ее удобнее определять как высоту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е</w:t>
      </w:r>
      <w:r w:rsidRPr="00526280">
        <w:rPr>
          <w:rFonts w:ascii="Times New Roman" w:hAnsi="Times New Roman" w:cs="Times New Roman"/>
          <w:sz w:val="28"/>
          <w:szCs w:val="28"/>
        </w:rPr>
        <w:t xml:space="preserve">, на протяжении которой концентрация дисперсной фазы изменяется в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52628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B66D6B" w:rsidRPr="00526280" w:rsidRDefault="00F329FC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60" type="#_x0000_t75" style="width:75pt;height:31.5pt">
            <v:imagedata r:id="rId64" o:title=""/>
          </v:shape>
        </w:pi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Из формулы следует, что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е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26280">
        <w:rPr>
          <w:rFonts w:ascii="Times New Roman" w:hAnsi="Times New Roman" w:cs="Times New Roman"/>
          <w:sz w:val="28"/>
          <w:szCs w:val="28"/>
        </w:rPr>
        <w:t xml:space="preserve"> и ТСУ тем больше, чем меньше размер частиц и разность между плотностями. Вязкость не влияет на ТСУ, а увеличение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способствует повышению устойчивости, т.к. увеличивается  тепловое движение. КСУ с увеличением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26280">
        <w:rPr>
          <w:rFonts w:ascii="Times New Roman" w:hAnsi="Times New Roman" w:cs="Times New Roman"/>
          <w:sz w:val="28"/>
          <w:szCs w:val="28"/>
        </w:rPr>
        <w:t xml:space="preserve"> убывает, за счет снижения вязкости среды.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Итак, седиментационная устойчивость дисперсных систем определяется, главным образом, размерами частиц дисперсной фазы:</w:t>
      </w:r>
    </w:p>
    <w:p w:rsidR="00B66D6B" w:rsidRPr="00526280" w:rsidRDefault="00B66D6B" w:rsidP="00526280">
      <w:pPr>
        <w:widowControl w:val="0"/>
        <w:numPr>
          <w:ilvl w:val="0"/>
          <w:numId w:val="6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лиофобные золи (10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– 7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– 5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см) – седиментационно устойчивые системы, характерна диффузия, обеспечивающая равномерное распределение частиц по объему системы;</w:t>
      </w:r>
    </w:p>
    <w:p w:rsidR="00B66D6B" w:rsidRPr="00526280" w:rsidRDefault="00B66D6B" w:rsidP="00526280">
      <w:pPr>
        <w:widowControl w:val="0"/>
        <w:numPr>
          <w:ilvl w:val="0"/>
          <w:numId w:val="6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микрогетерогенные системы (10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– 5</w:t>
      </w:r>
      <w:r w:rsidRPr="00526280">
        <w:rPr>
          <w:rFonts w:ascii="Times New Roman" w:hAnsi="Times New Roman" w:cs="Times New Roman"/>
          <w:sz w:val="28"/>
          <w:szCs w:val="28"/>
        </w:rPr>
        <w:t xml:space="preserve">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– 3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см) – устанавливается седиментационно – диффузионное равновесие, для которого характерно гипсометрическое распределение частиц по объему системы;</w:t>
      </w:r>
    </w:p>
    <w:p w:rsidR="00B66D6B" w:rsidRPr="00526280" w:rsidRDefault="00B66D6B" w:rsidP="00526280">
      <w:pPr>
        <w:widowControl w:val="0"/>
        <w:numPr>
          <w:ilvl w:val="0"/>
          <w:numId w:val="6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грубодисперсные (более 10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– 3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см) - седиментационно неустойчивые системы, происходит быстрая седиментация.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Зависимость распределения частиц по высоте в равновесном состоянии аналогична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барометрической формуле Ла-Пласса для газов</w:t>
      </w:r>
      <w:r w:rsidRPr="00526280">
        <w:rPr>
          <w:rFonts w:ascii="Times New Roman" w:hAnsi="Times New Roman" w:cs="Times New Roman"/>
          <w:sz w:val="28"/>
          <w:szCs w:val="28"/>
        </w:rPr>
        <w:t xml:space="preserve"> в атмосфере:</w:t>
      </w:r>
    </w:p>
    <w:p w:rsidR="00B66D6B" w:rsidRPr="00526280" w:rsidRDefault="002778D5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30"/>
          <w:sz w:val="28"/>
          <w:szCs w:val="28"/>
        </w:rPr>
        <w:object w:dxaOrig="3120" w:dyaOrig="700">
          <v:shape id="_x0000_i1061" type="#_x0000_t75" style="width:144.75pt;height:33pt" o:ole="" fillcolor="window">
            <v:imagedata r:id="rId65" o:title=""/>
          </v:shape>
          <o:OLEObject Type="Embed" ProgID="Equation.3" ShapeID="_x0000_i1061" DrawAspect="Content" ObjectID="_1469733743" r:id="rId66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>,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масса частицы;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высоты уровней замера;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6280">
        <w:rPr>
          <w:rFonts w:ascii="Times New Roman" w:hAnsi="Times New Roman" w:cs="Times New Roman"/>
          <w:sz w:val="28"/>
          <w:szCs w:val="28"/>
        </w:rPr>
        <w:t xml:space="preserve">,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концентрации на уровнях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6280">
        <w:rPr>
          <w:rFonts w:ascii="Times New Roman" w:hAnsi="Times New Roman" w:cs="Times New Roman"/>
          <w:sz w:val="28"/>
          <w:szCs w:val="28"/>
        </w:rPr>
        <w:t xml:space="preserve"> 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6280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  <w:lang w:val="en-US"/>
        </w:rPr>
        <w:t></w:t>
      </w:r>
      <w:r w:rsidRPr="00526280">
        <w:rPr>
          <w:rFonts w:ascii="Times New Roman" w:hAnsi="Times New Roman" w:cs="Times New Roman"/>
          <w:sz w:val="28"/>
          <w:szCs w:val="28"/>
        </w:rPr>
        <w:t xml:space="preserve"> - плотность частицы;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  <w:lang w:val="en-US"/>
        </w:rPr>
        <w:t>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26280">
        <w:rPr>
          <w:rFonts w:ascii="Times New Roman" w:hAnsi="Times New Roman" w:cs="Times New Roman"/>
          <w:sz w:val="28"/>
          <w:szCs w:val="28"/>
        </w:rPr>
        <w:t xml:space="preserve"> - плотность среды.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При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коагуляции </w:t>
      </w:r>
      <w:r w:rsidRPr="00526280">
        <w:rPr>
          <w:rFonts w:ascii="Times New Roman" w:hAnsi="Times New Roman" w:cs="Times New Roman"/>
          <w:sz w:val="28"/>
          <w:szCs w:val="28"/>
        </w:rPr>
        <w:t>золя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 смесью двух и более электролитов</w:t>
      </w:r>
      <w:r w:rsidRPr="00526280">
        <w:rPr>
          <w:rFonts w:ascii="Times New Roman" w:hAnsi="Times New Roman" w:cs="Times New Roman"/>
          <w:sz w:val="28"/>
          <w:szCs w:val="28"/>
        </w:rPr>
        <w:t xml:space="preserve"> возможны три случая (рис. 3.1.2.3). По оси абсцисс отложена концентрация первого электролита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6280">
        <w:rPr>
          <w:rFonts w:ascii="Times New Roman" w:hAnsi="Times New Roman" w:cs="Times New Roman"/>
          <w:sz w:val="28"/>
          <w:szCs w:val="28"/>
        </w:rPr>
        <w:t xml:space="preserve">, а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к1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его порог коагуляции. Аналогично по оси ординат отложена концентрация второго электролита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6280">
        <w:rPr>
          <w:rFonts w:ascii="Times New Roman" w:hAnsi="Times New Roman" w:cs="Times New Roman"/>
          <w:sz w:val="28"/>
          <w:szCs w:val="28"/>
        </w:rPr>
        <w:t xml:space="preserve">, а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к2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его порог коагуляции.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526280">
        <w:rPr>
          <w:rFonts w:ascii="Times New Roman" w:hAnsi="Times New Roman" w:cs="Times New Roman"/>
          <w:sz w:val="28"/>
          <w:szCs w:val="28"/>
        </w:rPr>
        <w:t xml:space="preserve">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Аддитивное действие электролитов </w:t>
      </w:r>
      <w:r w:rsidRPr="00526280">
        <w:rPr>
          <w:rFonts w:ascii="Times New Roman" w:hAnsi="Times New Roman" w:cs="Times New Roman"/>
          <w:sz w:val="28"/>
          <w:szCs w:val="28"/>
        </w:rPr>
        <w:t>(линия 1 рис. 3.1.2.3). Электролиты действуют как бы независимо один от другого, их суммарное действие складывается из воздействий каждого из электролитов. Если с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´</w:t>
      </w:r>
      <w:r w:rsidRPr="00526280">
        <w:rPr>
          <w:rFonts w:ascii="Times New Roman" w:hAnsi="Times New Roman" w:cs="Times New Roman"/>
          <w:sz w:val="28"/>
          <w:szCs w:val="28"/>
        </w:rPr>
        <w:t xml:space="preserve"> - концентрация первого электролита, то для коагуляции золя концентрация второго электролита должна быть равной с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´</w:t>
      </w:r>
      <w:r w:rsidRPr="00526280">
        <w:rPr>
          <w:rFonts w:ascii="Times New Roman" w:hAnsi="Times New Roman" w:cs="Times New Roman"/>
          <w:sz w:val="28"/>
          <w:szCs w:val="28"/>
        </w:rPr>
        <w:t>. Аддитивность наблюдается обычно при сходстве коагулирующей способности обоих электролитов.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2. Синергизм действия </w:t>
      </w:r>
      <w:r w:rsidRPr="00526280">
        <w:rPr>
          <w:rFonts w:ascii="Times New Roman" w:hAnsi="Times New Roman" w:cs="Times New Roman"/>
          <w:sz w:val="28"/>
          <w:szCs w:val="28"/>
        </w:rPr>
        <w:t>(линия 2 рис. 3.1.2.3). Электролиты как бы способствуют друг другу – для коагуляции их требуется меньше, чем нужно по правилу аддитивности (с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 xml:space="preserve">″ </w:t>
      </w:r>
      <w:r w:rsidRPr="00526280">
        <w:rPr>
          <w:rFonts w:ascii="Times New Roman" w:hAnsi="Times New Roman" w:cs="Times New Roman"/>
          <w:sz w:val="28"/>
          <w:szCs w:val="28"/>
        </w:rPr>
        <w:t xml:space="preserve">&lt;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′</w:t>
      </w:r>
      <w:r w:rsidRPr="00526280">
        <w:rPr>
          <w:rFonts w:ascii="Times New Roman" w:hAnsi="Times New Roman" w:cs="Times New Roman"/>
          <w:sz w:val="28"/>
          <w:szCs w:val="28"/>
        </w:rPr>
        <w:t>). Условия, при которых наблюдается синергизм, сформулировать трудно.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3. Антагонизм действия </w:t>
      </w:r>
      <w:r w:rsidRPr="00526280">
        <w:rPr>
          <w:rFonts w:ascii="Times New Roman" w:hAnsi="Times New Roman" w:cs="Times New Roman"/>
          <w:sz w:val="28"/>
          <w:szCs w:val="28"/>
        </w:rPr>
        <w:t xml:space="preserve">(линия 3 рис. 3.1.2.3). Электролиты как бы противодействуют друг другу и для коагуляции их следует добавить больше, чем требуется по правилу аддитивности.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Антагонизм наблюдается при большом различии в коагулирующем действии электролитов.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Существует несколько теорий, объясняющих явление антагонизма. Одной из его причин может служить химическое взаимодействие между ионами.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Например, для золя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AgCl</w:t>
      </w:r>
      <w:r w:rsidRPr="00526280">
        <w:rPr>
          <w:rFonts w:ascii="Times New Roman" w:hAnsi="Times New Roman" w:cs="Times New Roman"/>
          <w:sz w:val="28"/>
          <w:szCs w:val="28"/>
        </w:rPr>
        <w:t xml:space="preserve">, стабилизированного хлоридом калия, коагулирующем действием обладают катионы. Например, большой коагулирующей способностью обладает четырёхзарядный ион тория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526280">
        <w:rPr>
          <w:rFonts w:ascii="Times New Roman" w:hAnsi="Times New Roman" w:cs="Times New Roman"/>
          <w:sz w:val="28"/>
          <w:szCs w:val="28"/>
          <w:vertAlign w:val="superscript"/>
        </w:rPr>
        <w:t>4+</w:t>
      </w:r>
      <w:r w:rsidRPr="00526280">
        <w:rPr>
          <w:rFonts w:ascii="Times New Roman" w:hAnsi="Times New Roman" w:cs="Times New Roman"/>
          <w:sz w:val="28"/>
          <w:szCs w:val="28"/>
        </w:rPr>
        <w:t xml:space="preserve">. Однако если взять для коагуляции смесь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526280">
        <w:rPr>
          <w:rFonts w:ascii="Times New Roman" w:hAnsi="Times New Roman" w:cs="Times New Roman"/>
          <w:sz w:val="28"/>
          <w:szCs w:val="28"/>
        </w:rPr>
        <w:t>(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6280">
        <w:rPr>
          <w:rFonts w:ascii="Times New Roman" w:hAnsi="Times New Roman" w:cs="Times New Roman"/>
          <w:sz w:val="28"/>
          <w:szCs w:val="28"/>
        </w:rPr>
        <w:t>)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6280">
        <w:rPr>
          <w:rFonts w:ascii="Times New Roman" w:hAnsi="Times New Roman" w:cs="Times New Roman"/>
          <w:sz w:val="28"/>
          <w:szCs w:val="28"/>
        </w:rPr>
        <w:t xml:space="preserve"> и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6280">
        <w:rPr>
          <w:rFonts w:ascii="Times New Roman" w:hAnsi="Times New Roman" w:cs="Times New Roman"/>
          <w:sz w:val="28"/>
          <w:szCs w:val="28"/>
        </w:rPr>
        <w:t xml:space="preserve">, то коагулирующая способность этой смеси значительно меньше, чем отдельно взятого 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526280">
        <w:rPr>
          <w:rFonts w:ascii="Times New Roman" w:hAnsi="Times New Roman" w:cs="Times New Roman"/>
          <w:sz w:val="28"/>
          <w:szCs w:val="28"/>
        </w:rPr>
        <w:t>(</w:t>
      </w:r>
      <w:r w:rsidRPr="0052628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6280">
        <w:rPr>
          <w:rFonts w:ascii="Times New Roman" w:hAnsi="Times New Roman" w:cs="Times New Roman"/>
          <w:sz w:val="28"/>
          <w:szCs w:val="28"/>
        </w:rPr>
        <w:t>)</w:t>
      </w:r>
      <w:r w:rsidRPr="0052628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26280">
        <w:rPr>
          <w:rFonts w:ascii="Times New Roman" w:hAnsi="Times New Roman" w:cs="Times New Roman"/>
          <w:sz w:val="28"/>
          <w:szCs w:val="28"/>
        </w:rPr>
        <w:t>. Связано это с тем, что в результате химической реакции образуется комплекс:</w: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12"/>
          <w:sz w:val="28"/>
          <w:szCs w:val="28"/>
        </w:rPr>
        <w:object w:dxaOrig="4620" w:dyaOrig="360">
          <v:shape id="_x0000_i1062" type="#_x0000_t75" style="width:231pt;height:18pt" o:ole="">
            <v:imagedata r:id="rId67" o:title=""/>
          </v:shape>
          <o:OLEObject Type="Embed" ProgID="Equation.3" ShapeID="_x0000_i1062" DrawAspect="Content" ObjectID="_1469733744" r:id="rId68"/>
        </w:obje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и вместо четырёхзарядных ионов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Th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4+</w:t>
      </w:r>
      <w:r w:rsidRPr="00526280">
        <w:rPr>
          <w:rFonts w:ascii="Times New Roman" w:hAnsi="Times New Roman" w:cs="Times New Roman"/>
          <w:sz w:val="28"/>
          <w:szCs w:val="28"/>
        </w:rPr>
        <w:t xml:space="preserve"> в золе будут находиться однозарядные катионы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+</w:t>
      </w:r>
      <w:r w:rsidRPr="00526280">
        <w:rPr>
          <w:rFonts w:ascii="Times New Roman" w:hAnsi="Times New Roman" w:cs="Times New Roman"/>
          <w:sz w:val="28"/>
          <w:szCs w:val="28"/>
        </w:rPr>
        <w:t>, коагулирующее действие которых значительно слабее (правило Шульце-Гарди).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Гетероадагуляция</w:t>
      </w:r>
      <w:r w:rsidRPr="00526280">
        <w:rPr>
          <w:rFonts w:ascii="Times New Roman" w:hAnsi="Times New Roman" w:cs="Times New Roman"/>
          <w:sz w:val="28"/>
          <w:szCs w:val="28"/>
        </w:rPr>
        <w:t xml:space="preserve"> - прилипание частиц дисперсной фазы к вводимой в систему чужеродной поверхности.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Одной из причин этого явления является адсорбция стабилизатора на этой поверхности. Например: отложение коллоидных частиц на волокнах при крашении и дроблении.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Для гидрофобных золей в качестве ВМС обычно используют белки, углеводы, пектины; для неводных золей – каучуки.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При введении в коллоидный раствор электролитов, содержащих многовалентные ионы с зарядом противоположные заряду частиц, наблюдается</w:t>
      </w:r>
      <w:r w:rsidRPr="00526280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явление «неправильные ряды»</w:t>
      </w:r>
      <w:r w:rsidRPr="00526280">
        <w:rPr>
          <w:rFonts w:ascii="Times New Roman" w:hAnsi="Times New Roman" w:cs="Times New Roman"/>
          <w:sz w:val="28"/>
          <w:szCs w:val="28"/>
        </w:rPr>
        <w:t xml:space="preserve">. Оно состоит в том, что при добавлении к отдельным порциям золя все возрастающего его количества электролита золь сначала остается устойчивым, затем в определенном интервале концентраций происходит коагуляция; далее золь снова становится устойчивым и, наконец, при повышении концентрации электролита опять наступает коагуляция уже окончательная. Подобные явления могут вызывать и большие органические ионы. Объясняется это тем, что при весьма малых количествах введенного электролита ионов недостаточно, чтобы коагулировать золь, т. е. значение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78"/>
      </w:r>
      <w:r w:rsidRPr="00526280">
        <w:rPr>
          <w:rFonts w:ascii="Times New Roman" w:hAnsi="Times New Roman" w:cs="Times New Roman"/>
          <w:sz w:val="28"/>
          <w:szCs w:val="28"/>
        </w:rPr>
        <w:t xml:space="preserve">- потенциала остается выше привычного (рис. 3.1.2.4). При больших количествах электролита его ионы проявляют коагулирующее действие. Этот интервал концентраций отвечает значениям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78"/>
      </w:r>
      <w:r w:rsidRPr="00526280">
        <w:rPr>
          <w:rFonts w:ascii="Times New Roman" w:hAnsi="Times New Roman" w:cs="Times New Roman"/>
          <w:sz w:val="28"/>
          <w:szCs w:val="28"/>
        </w:rPr>
        <w:t xml:space="preserve">- потенциала частиц от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78"/>
      </w:r>
      <w:r w:rsidRPr="00526280">
        <w:rPr>
          <w:rFonts w:ascii="Times New Roman" w:hAnsi="Times New Roman" w:cs="Times New Roman"/>
          <w:sz w:val="28"/>
          <w:szCs w:val="28"/>
        </w:rPr>
        <w:t xml:space="preserve"> критического первого знака до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78"/>
      </w:r>
      <w:r w:rsidRPr="00526280">
        <w:rPr>
          <w:rFonts w:ascii="Times New Roman" w:hAnsi="Times New Roman" w:cs="Times New Roman"/>
          <w:sz w:val="28"/>
          <w:szCs w:val="28"/>
        </w:rPr>
        <w:t xml:space="preserve"> критического другого знака.</w:t>
      </w: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D6B" w:rsidRPr="00526280" w:rsidRDefault="00F329FC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054" style="position:absolute;left:0;text-align:left;margin-left:51.75pt;margin-top:-241.4pt;width:182.25pt;height:225pt;z-index:251659776" coordorigin="1160,4231" coordsize="4185,4111">
            <v:shape id="_x0000_s1055" type="#_x0000_t202" style="position:absolute;left:1955;top:4231;width:1380;height:570" filled="f" stroked="f">
              <v:fill opacity=".5"/>
              <v:textbox style="mso-next-textbox:#_x0000_s1055">
                <w:txbxContent>
                  <w:p w:rsidR="00B66D6B" w:rsidRDefault="00B66D6B" w:rsidP="00B66D6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устойчивое</w:t>
                    </w:r>
                  </w:p>
                  <w:p w:rsidR="00B66D6B" w:rsidRDefault="00B66D6B" w:rsidP="00B66D6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положение</w:t>
                    </w:r>
                  </w:p>
                </w:txbxContent>
              </v:textbox>
            </v:shape>
            <v:rect id="_x0000_s1056" style="position:absolute;left:3515;top:5147;width:855;height:1965" fillcolor="#333" stroked="f">
              <v:fill r:id="rId69" o:title="" type="pattern"/>
              <v:stroke dashstyle="dash"/>
            </v:rect>
            <v:rect id="_x0000_s1057" style="position:absolute;left:1940;top:5177;width:720;height:1965" fillcolor="#333">
              <v:fill r:id="rId69" o:title="" type="pattern"/>
              <v:stroke dashstyle="dash"/>
            </v:rect>
            <v:line id="_x0000_s1058" style="position:absolute" from="1810,4381" to="1810,7441">
              <v:stroke startarrow="classic" startarrowwidth="narrow" startarrowlength="long" endarrowwidth="narrow" endarrowlength="long"/>
            </v:line>
            <v:line id="_x0000_s1059" style="position:absolute" from="1810,6231" to="4975,6231">
              <v:stroke endarrow="classic" endarrowwidth="narrow" endarrowlength="long"/>
            </v:line>
            <v:shape id="_x0000_s1060" type="#_x0000_t202" style="position:absolute;left:1283;top:4438;width:525;height:405" filled="f" stroked="f">
              <v:fill opacity=".5"/>
              <v:textbox style="mso-next-textbox:#_x0000_s1060">
                <w:txbxContent>
                  <w:p w:rsidR="00B66D6B" w:rsidRDefault="00B66D6B" w:rsidP="00B66D6B"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sym w:font="Symbol" w:char="F07A"/>
                    </w:r>
                  </w:p>
                </w:txbxContent>
              </v:textbox>
            </v:shape>
            <v:shape id="_x0000_s1061" type="#_x0000_t202" style="position:absolute;left:1253;top:4926;width:615;height:405" filled="f" stroked="f">
              <v:fill opacity=".5"/>
              <v:textbox style="mso-next-textbox:#_x0000_s1061">
                <w:txbxContent>
                  <w:p w:rsidR="00B66D6B" w:rsidRDefault="00B66D6B" w:rsidP="00B66D6B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sym w:font="Symbol" w:char="F07A"/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кр</w:t>
                    </w:r>
                  </w:p>
                </w:txbxContent>
              </v:textbox>
            </v:shape>
            <v:shape id="_x0000_s1062" type="#_x0000_t202" style="position:absolute;left:1238;top:6862;width:615;height:405" filled="f" stroked="f">
              <v:fill opacity=".5"/>
              <v:textbox style="mso-next-textbox:#_x0000_s1062">
                <w:txbxContent>
                  <w:p w:rsidR="00B66D6B" w:rsidRDefault="00B66D6B" w:rsidP="00B66D6B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sz w:val="18"/>
                        <w:szCs w:val="18"/>
                      </w:rPr>
                      <w:t>+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sym w:font="Symbol" w:char="F07A"/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кр</w:t>
                    </w:r>
                  </w:p>
                </w:txbxContent>
              </v:textbox>
            </v:shape>
            <v:line id="_x0000_s1063" style="position:absolute;flip:x" from="1805,4726" to="2345,5341">
              <v:stroke endarrow="classic" endarrowwidth="narrow" endarrowlength="long"/>
            </v:line>
            <v:line id="_x0000_s1064" style="position:absolute" from="2825,4771" to="3185,5341">
              <v:stroke endarrow="classic" endarrowwidth="narrow" endarrowlength="long"/>
            </v:line>
            <v:shape id="_x0000_s1065" type="#_x0000_t202" style="position:absolute;left:4673;top:6179;width:525;height:405" filled="f" stroked="f">
              <v:fill opacity=".5"/>
              <v:textbox style="mso-next-textbox:#_x0000_s1065">
                <w:txbxContent>
                  <w:p w:rsidR="00B66D6B" w:rsidRPr="0052471A" w:rsidRDefault="00B66D6B" w:rsidP="00B66D6B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52471A">
                      <w:rPr>
                        <w:i/>
                        <w:iCs/>
                        <w:sz w:val="18"/>
                        <w:szCs w:val="18"/>
                      </w:rPr>
                      <w:t>х</w:t>
                    </w:r>
                  </w:p>
                </w:txbxContent>
              </v:textbox>
            </v:shape>
            <v:shape id="_x0000_s1066" type="#_x0000_t202" style="position:absolute;left:1160;top:7412;width:4185;height:930" filled="f" stroked="f">
              <v:fill opacity=".5"/>
              <v:textbox style="mso-next-textbox:#_x0000_s1066">
                <w:txbxContent>
                  <w:p w:rsidR="00B66D6B" w:rsidRDefault="00B66D6B" w:rsidP="00B66D6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 и с. 3.1.2.4. Изменение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sym w:font="Symbol" w:char="F07A"/>
                    </w:r>
                    <w:r>
                      <w:rPr>
                        <w:sz w:val="20"/>
                        <w:szCs w:val="20"/>
                      </w:rPr>
                      <w:t xml:space="preserve">-потенциала поверхности при ее перезарядке (неправильные </w:t>
                    </w:r>
                  </w:p>
                  <w:p w:rsidR="00B66D6B" w:rsidRDefault="00B66D6B" w:rsidP="00B66D6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ряды)</w:t>
                    </w:r>
                  </w:p>
                </w:txbxContent>
              </v:textbox>
            </v:shape>
            <v:shape id="_x0000_s1067" style="position:absolute;left:1823;top:4795;width:2835;height:2535;mso-wrap-style:square;mso-wrap-distance-left:9pt;mso-wrap-distance-top:0;mso-wrap-distance-right:9pt;mso-wrap-distance-bottom:0;mso-position-horizontal:absolute;mso-position-vertical:absolute;v-text-anchor:top" coordsize="2835,2535" path="m,c90,248,393,1100,540,1485v147,385,195,658,345,825c1035,2477,1260,2535,1440,2490v180,-45,363,-318,525,-450c2127,1908,2270,1777,2415,1695v145,-82,282,-116,420,-150e" filled="f" strokeweight="2pt">
              <v:fill opacity=".5"/>
              <v:path arrowok="t"/>
            </v:shape>
            <w10:wrap type="square"/>
            <w10:anchorlock/>
          </v:group>
        </w:pict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При еще больших концентрациях многовалентные ионы перезаряжают коллоидную частицу и золь опять устойчивый. В этой зоне </w:t>
      </w:r>
      <w:r w:rsidR="00B66D6B" w:rsidRPr="00526280">
        <w:rPr>
          <w:rFonts w:ascii="Times New Roman" w:hAnsi="Times New Roman" w:cs="Times New Roman"/>
          <w:sz w:val="28"/>
          <w:szCs w:val="28"/>
        </w:rPr>
        <w:sym w:font="Symbol" w:char="F078"/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-потенциал опять выше критического значения, но обратен по знаку частицам исходного золя. Наконец, при высоком содержании исходного электролита многовалентные ионы снова снижают значение </w:t>
      </w:r>
      <w:r w:rsidR="00B66D6B" w:rsidRPr="00526280">
        <w:rPr>
          <w:rFonts w:ascii="Times New Roman" w:hAnsi="Times New Roman" w:cs="Times New Roman"/>
          <w:sz w:val="28"/>
          <w:szCs w:val="28"/>
        </w:rPr>
        <w:sym w:font="Symbol" w:char="F078"/>
      </w:r>
      <w:r w:rsidR="00B66D6B" w:rsidRPr="00526280">
        <w:rPr>
          <w:rFonts w:ascii="Times New Roman" w:hAnsi="Times New Roman" w:cs="Times New Roman"/>
          <w:sz w:val="28"/>
          <w:szCs w:val="28"/>
        </w:rPr>
        <w:t>-потенциала ниже критического и снова происходит окончательная коагуляция.</w:t>
      </w:r>
    </w:p>
    <w:p w:rsidR="00B66D6B" w:rsidRPr="00526280" w:rsidRDefault="00B66D6B" w:rsidP="0052628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Повышение агрегативной устойчивости золя путём введения в него высокомолекулярного соединения (ВМС) называется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 коллоидной защитой. </w:t>
      </w:r>
      <w:r w:rsidRPr="00526280">
        <w:rPr>
          <w:rFonts w:ascii="Times New Roman" w:hAnsi="Times New Roman" w:cs="Times New Roman"/>
          <w:sz w:val="28"/>
          <w:szCs w:val="28"/>
        </w:rPr>
        <w:t>Происходит образование защитной пленки на поверхности золя (гидратной или ВМС), препятствующей взаимодействию частиц электролита.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В качестве количественной характеристики коагуляции Зигмонди предложил использовать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скорость коагуляции</w:t>
      </w:r>
      <w:r w:rsidRPr="00526280">
        <w:rPr>
          <w:rFonts w:ascii="Times New Roman" w:hAnsi="Times New Roman" w:cs="Times New Roman"/>
          <w:sz w:val="28"/>
          <w:szCs w:val="28"/>
        </w:rPr>
        <w:t>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Скорость коагуляции </w:t>
      </w:r>
      <w:r w:rsidRPr="00526280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Symbol" w:char="F075"/>
      </w:r>
      <w:r w:rsidRPr="005262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это изменение концентрации коллоидных  частиц в единицу времени при постоянном объеме системы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8"/>
          <w:sz w:val="28"/>
          <w:szCs w:val="28"/>
        </w:rPr>
        <w:object w:dxaOrig="1100" w:dyaOrig="680">
          <v:shape id="_x0000_i1063" type="#_x0000_t75" style="width:54.75pt;height:33.75pt" o:ole="">
            <v:imagedata r:id="rId70" o:title=""/>
          </v:shape>
          <o:OLEObject Type="Embed" ProgID="Equation.3" ShapeID="_x0000_i1063" DrawAspect="Content" ObjectID="_1469733745" r:id="rId71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6E"/>
      </w:r>
      <w:r w:rsidRPr="00526280">
        <w:rPr>
          <w:rFonts w:ascii="Times New Roman" w:hAnsi="Times New Roman" w:cs="Times New Roman"/>
          <w:sz w:val="28"/>
          <w:szCs w:val="28"/>
        </w:rPr>
        <w:t xml:space="preserve"> - концентрация частиц; 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sym w:font="Symbol" w:char="F074"/>
      </w:r>
      <w:r w:rsidRPr="00526280">
        <w:rPr>
          <w:rFonts w:ascii="Times New Roman" w:hAnsi="Times New Roman" w:cs="Times New Roman"/>
          <w:sz w:val="28"/>
          <w:szCs w:val="28"/>
        </w:rPr>
        <w:t xml:space="preserve"> -  время.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Знак «-» стоит потому, что концентрация частиц со временем уменьшается, а скорость всегда положительна.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Степень коагуляции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61"/>
      </w:r>
      <w:r w:rsidRPr="00526280">
        <w:rPr>
          <w:rFonts w:ascii="Times New Roman" w:hAnsi="Times New Roman" w:cs="Times New Roman"/>
          <w:sz w:val="28"/>
          <w:szCs w:val="28"/>
        </w:rPr>
        <w:t>:</w:t>
      </w:r>
    </w:p>
    <w:p w:rsidR="00B66D6B" w:rsidRPr="00526280" w:rsidRDefault="00F329FC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64" type="#_x0000_t75" style="width:42pt;height:30.75pt">
            <v:imagedata r:id="rId72" o:title=""/>
          </v:shape>
        </w:pict>
      </w:r>
      <w:r w:rsidR="00B66D6B" w:rsidRPr="00526280">
        <w:rPr>
          <w:rFonts w:ascii="Times New Roman" w:hAnsi="Times New Roman" w:cs="Times New Roman"/>
          <w:sz w:val="28"/>
          <w:szCs w:val="28"/>
        </w:rPr>
        <w:t>,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526280">
        <w:rPr>
          <w:rFonts w:ascii="Times New Roman" w:hAnsi="Times New Roman" w:cs="Times New Roman"/>
          <w:sz w:val="28"/>
          <w:szCs w:val="28"/>
        </w:rPr>
        <w:t xml:space="preserve"> - общее число столкновений частиц в единицу времени;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эф</w:t>
      </w:r>
      <w:r w:rsidRPr="00526280">
        <w:rPr>
          <w:rFonts w:ascii="Times New Roman" w:hAnsi="Times New Roman" w:cs="Times New Roman"/>
          <w:sz w:val="28"/>
          <w:szCs w:val="28"/>
        </w:rPr>
        <w:t xml:space="preserve"> - число эффективных столкновений (т.е. столкновений, приводящих к коагуляции) в единицу времени.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61"/>
      </w:r>
      <w:r w:rsidRPr="00526280">
        <w:rPr>
          <w:rFonts w:ascii="Times New Roman" w:hAnsi="Times New Roman" w:cs="Times New Roman"/>
          <w:sz w:val="28"/>
          <w:szCs w:val="28"/>
        </w:rPr>
        <w:t xml:space="preserve"> = 0, коагуляция не происходит, коллоидный раствор агрегативно устойчив.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61"/>
      </w:r>
      <w:r w:rsidRPr="00526280">
        <w:rPr>
          <w:rFonts w:ascii="Times New Roman" w:hAnsi="Times New Roman" w:cs="Times New Roman"/>
          <w:sz w:val="28"/>
          <w:szCs w:val="28"/>
        </w:rPr>
        <w:t xml:space="preserve"> = 1, происходит быстрая коагуляция, т.е. каждое столкновение частиц приводит к их слипанию.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Если 0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3C"/>
      </w:r>
      <w:r w:rsidRPr="00526280">
        <w:rPr>
          <w:rFonts w:ascii="Times New Roman" w:hAnsi="Times New Roman" w:cs="Times New Roman"/>
          <w:sz w:val="28"/>
          <w:szCs w:val="28"/>
        </w:rPr>
        <w:t xml:space="preserve">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61"/>
      </w:r>
      <w:r w:rsidRPr="00526280">
        <w:rPr>
          <w:rFonts w:ascii="Times New Roman" w:hAnsi="Times New Roman" w:cs="Times New Roman"/>
          <w:sz w:val="28"/>
          <w:szCs w:val="28"/>
        </w:rPr>
        <w:t xml:space="preserve"> </w:t>
      </w:r>
      <w:r w:rsidRPr="00526280">
        <w:rPr>
          <w:rFonts w:ascii="Times New Roman" w:hAnsi="Times New Roman" w:cs="Times New Roman"/>
          <w:sz w:val="28"/>
          <w:szCs w:val="28"/>
        </w:rPr>
        <w:sym w:font="Symbol" w:char="F03C"/>
      </w:r>
      <w:r w:rsidRPr="00526280">
        <w:rPr>
          <w:rFonts w:ascii="Times New Roman" w:hAnsi="Times New Roman" w:cs="Times New Roman"/>
          <w:sz w:val="28"/>
          <w:szCs w:val="28"/>
        </w:rPr>
        <w:t xml:space="preserve"> 1, наблюдается медленная коагуляция, т.е. только некоторые столкновения частиц приводят к их слипанию.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Чтобы частицы при столкновении слиплись, а не разлетелись как упругие шары, должен быть преодолен потенциальный барьер коагуляции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Δ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к</w:t>
      </w:r>
      <w:r w:rsidRPr="00526280">
        <w:rPr>
          <w:rFonts w:ascii="Times New Roman" w:hAnsi="Times New Roman" w:cs="Times New Roman"/>
          <w:sz w:val="28"/>
          <w:szCs w:val="28"/>
        </w:rPr>
        <w:t>. Следовательно, коагуляция произойдет только в том случае, когда коллоидные частицы будут обладать кинетической энергией, достаточной дл  преодоления этого барьера. Для увеличения степени коагуляции необходимо снижать потенциальный барьер. Это может быть достигнуто добавлением к золю электролита – коагулянта.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Зависимость скорости коагуляции от концентрации электролита представлена на рис. 3.1.2.5.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На графике видны три участка: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6280">
        <w:rPr>
          <w:rFonts w:ascii="Times New Roman" w:hAnsi="Times New Roman" w:cs="Times New Roman"/>
          <w:sz w:val="28"/>
          <w:szCs w:val="28"/>
        </w:rPr>
        <w:t xml:space="preserve">. </w:t>
      </w:r>
      <w:r w:rsidR="002778D5" w:rsidRPr="00526280">
        <w:rPr>
          <w:rFonts w:ascii="Times New Roman" w:hAnsi="Times New Roman" w:cs="Times New Roman"/>
          <w:position w:val="-28"/>
          <w:sz w:val="28"/>
          <w:szCs w:val="28"/>
        </w:rPr>
        <w:object w:dxaOrig="2320" w:dyaOrig="680">
          <v:shape id="_x0000_i1065" type="#_x0000_t75" style="width:116.25pt;height:33.75pt" o:ole="">
            <v:imagedata r:id="rId73" o:title=""/>
          </v:shape>
          <o:OLEObject Type="Embed" ProgID="Equation.3" ShapeID="_x0000_i1065" DrawAspect="Content" ObjectID="_1469733746" r:id="rId74"/>
        </w:object>
      </w:r>
      <w:r w:rsidRPr="005262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Следовательно, кинетическая энергия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kТ</w:t>
      </w:r>
      <w:r w:rsidRPr="00526280">
        <w:rPr>
          <w:rFonts w:ascii="Times New Roman" w:hAnsi="Times New Roman" w:cs="Times New Roman"/>
          <w:sz w:val="28"/>
          <w:szCs w:val="28"/>
        </w:rPr>
        <w:t xml:space="preserve"> &lt;&lt;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Δ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к</w:t>
      </w:r>
      <w:r w:rsidRPr="00526280">
        <w:rPr>
          <w:rFonts w:ascii="Times New Roman" w:hAnsi="Times New Roman" w:cs="Times New Roman"/>
          <w:sz w:val="28"/>
          <w:szCs w:val="28"/>
        </w:rPr>
        <w:t>, (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постоянная Больцмана) – лиофобный золь агрегативно устойчив.</w:t>
      </w:r>
    </w:p>
    <w:p w:rsidR="00B66D6B" w:rsidRPr="00526280" w:rsidRDefault="00F329FC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068" style="position:absolute;left:0;text-align:left;margin-left:45pt;margin-top:182.9pt;width:151.5pt;height:167.75pt;z-index:251658752" coordorigin="1288,3361" coordsize="3030,3355">
            <v:shape id="_x0000_s1069" type="#_x0000_t75" style="position:absolute;left:1288;top:3361;width:3030;height:2789">
              <v:imagedata r:id="rId75" o:title="" cropbottom="16319f"/>
            </v:shape>
            <v:shape id="_x0000_s1070" type="#_x0000_t202" style="position:absolute;left:1386;top:5966;width:2865;height:750" stroked="f">
              <v:textbox style="mso-next-textbox:#_x0000_s1070" inset=".5mm,.3mm,.5mm,.3mm">
                <w:txbxContent>
                  <w:p w:rsidR="00B66D6B" w:rsidRPr="00451D13" w:rsidRDefault="00B66D6B" w:rsidP="00B66D6B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51D13">
                      <w:rPr>
                        <w:sz w:val="20"/>
                        <w:szCs w:val="20"/>
                      </w:rPr>
                      <w:t xml:space="preserve">Р и с. </w:t>
                    </w:r>
                    <w:r>
                      <w:rPr>
                        <w:sz w:val="20"/>
                        <w:szCs w:val="20"/>
                      </w:rPr>
                      <w:t>3.1.2.5. Зависимость скорости коагуляции от концентрации электролита</w:t>
                    </w:r>
                  </w:p>
                </w:txbxContent>
              </v:textbox>
            </v:shape>
            <w10:wrap type="square"/>
            <w10:anchorlock/>
          </v:group>
        </w:pict>
      </w:r>
      <w:r w:rsidR="00B66D6B" w:rsidRPr="005262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66" type="#_x0000_t75" style="width:188.25pt;height:33pt">
            <v:imagedata r:id="rId76" o:title=""/>
          </v:shape>
        </w:pict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, т.е. потенциальный барьер коагуляции больше, но соизмерим с кинетической энергией коллоидных частиц, причем с увеличением концентрации электролита – коагулянта он уменьшается, а скорость коагуляции возрастает. </w:t>
      </w:r>
      <w:r w:rsidR="00B66D6B" w:rsidRPr="0052628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66D6B"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км</w:t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 – порог медленной коагуляции, </w:t>
      </w:r>
      <w:r w:rsidR="00B66D6B" w:rsidRPr="0052628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66D6B"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кб</w:t>
      </w:r>
      <w:r w:rsidR="00B66D6B" w:rsidRPr="00526280">
        <w:rPr>
          <w:rFonts w:ascii="Times New Roman" w:hAnsi="Times New Roman" w:cs="Times New Roman"/>
          <w:sz w:val="28"/>
          <w:szCs w:val="28"/>
        </w:rPr>
        <w:t xml:space="preserve"> – порог быстрой коагуляции. Этот участок кривой выражает зависимость:</w:t>
      </w: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CB" w:rsidRDefault="00DD00C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На этом участке происходит медленная коагуляция.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6280">
        <w:rPr>
          <w:rFonts w:ascii="Times New Roman" w:hAnsi="Times New Roman" w:cs="Times New Roman"/>
          <w:sz w:val="28"/>
          <w:szCs w:val="28"/>
        </w:rPr>
        <w:t xml:space="preserve">. </w:t>
      </w:r>
      <w:r w:rsidR="00F329F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7" type="#_x0000_t75" style="width:222.75pt;height:32.25pt">
            <v:imagedata r:id="rId77" o:title=""/>
          </v:shape>
        </w:pic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Каждое столкновение приводит к слипанию частиц – идет быстрая коагуляция.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t>Теория быстрой коагуляции</w:t>
      </w:r>
      <w:r w:rsidRPr="00526280">
        <w:rPr>
          <w:rFonts w:ascii="Times New Roman" w:hAnsi="Times New Roman" w:cs="Times New Roman"/>
          <w:sz w:val="28"/>
          <w:szCs w:val="28"/>
        </w:rPr>
        <w:t>, разработанная М. Смолуховским в 1916 г., основана на следующих положениях.</w:t>
      </w:r>
    </w:p>
    <w:p w:rsidR="00B66D6B" w:rsidRPr="00526280" w:rsidRDefault="00B66D6B" w:rsidP="00526280">
      <w:pPr>
        <w:widowControl w:val="0"/>
        <w:numPr>
          <w:ilvl w:val="0"/>
          <w:numId w:val="4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Рассматриваемая система является монодисперсной, радиус частиц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526280">
        <w:rPr>
          <w:rFonts w:ascii="Times New Roman" w:hAnsi="Times New Roman" w:cs="Times New Roman"/>
          <w:sz w:val="28"/>
          <w:szCs w:val="28"/>
        </w:rPr>
        <w:t>.</w:t>
      </w:r>
    </w:p>
    <w:p w:rsidR="00B66D6B" w:rsidRPr="00526280" w:rsidRDefault="002778D5" w:rsidP="00526280">
      <w:pPr>
        <w:widowControl w:val="0"/>
        <w:numPr>
          <w:ilvl w:val="0"/>
          <w:numId w:val="4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4"/>
          <w:sz w:val="28"/>
          <w:szCs w:val="28"/>
        </w:rPr>
        <w:object w:dxaOrig="800" w:dyaOrig="660">
          <v:shape id="_x0000_i1068" type="#_x0000_t75" style="width:37.5pt;height:30.75pt" o:ole="">
            <v:imagedata r:id="rId78" o:title=""/>
          </v:shape>
          <o:OLEObject Type="Embed" ProgID="Equation.3" ShapeID="_x0000_i1068" DrawAspect="Content" ObjectID="_1469733747" r:id="rId79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>, т.е. все столкновения являются эффективными.</w:t>
      </w:r>
    </w:p>
    <w:p w:rsidR="00B66D6B" w:rsidRPr="00526280" w:rsidRDefault="00B66D6B" w:rsidP="00526280">
      <w:pPr>
        <w:widowControl w:val="0"/>
        <w:numPr>
          <w:ilvl w:val="0"/>
          <w:numId w:val="4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Рассматриваются только столкновения первичных частиц.</w:t>
      </w:r>
    </w:p>
    <w:p w:rsidR="00B66D6B" w:rsidRPr="00526280" w:rsidRDefault="00B66D6B" w:rsidP="00526280">
      <w:pPr>
        <w:widowControl w:val="0"/>
        <w:numPr>
          <w:ilvl w:val="0"/>
          <w:numId w:val="4"/>
        </w:numPr>
        <w:tabs>
          <w:tab w:val="clear" w:pos="1065"/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Кинетика коагуляции подобна кинетике бимолекулярной реакции:</w: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8"/>
          <w:sz w:val="28"/>
          <w:szCs w:val="28"/>
        </w:rPr>
        <w:object w:dxaOrig="1500" w:dyaOrig="680">
          <v:shape id="_x0000_i1069" type="#_x0000_t75" style="width:75pt;height:33.75pt" o:ole="">
            <v:imagedata r:id="rId80" o:title=""/>
          </v:shape>
          <o:OLEObject Type="Embed" ProgID="Equation.3" ShapeID="_x0000_i1069" DrawAspect="Content" ObjectID="_1469733748" r:id="rId81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>,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константа скорости коагуляции.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>Проинтегрируем это уравнение, разделив переменные:</w: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070" type="#_x0000_t75" style="width:71.25pt;height:30.75pt" o:ole="">
            <v:imagedata r:id="rId82" o:title=""/>
          </v:shape>
          <o:OLEObject Type="Embed" ProgID="Equation.3" ShapeID="_x0000_i1070" DrawAspect="Content" ObjectID="_1469733749" r:id="rId83"/>
        </w:object>
      </w:r>
    </w:p>
    <w:p w:rsidR="00B66D6B" w:rsidRPr="00526280" w:rsidRDefault="002778D5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position w:val="-30"/>
          <w:sz w:val="28"/>
          <w:szCs w:val="28"/>
        </w:rPr>
        <w:object w:dxaOrig="2780" w:dyaOrig="680">
          <v:shape id="_x0000_i1071" type="#_x0000_t75" style="width:138.75pt;height:33.75pt" o:ole="">
            <v:imagedata r:id="rId84" o:title=""/>
          </v:shape>
          <o:OLEObject Type="Embed" ProgID="Equation.3" ShapeID="_x0000_i1071" DrawAspect="Content" ObjectID="_1469733750" r:id="rId85"/>
        </w:object>
      </w:r>
      <w:r w:rsidR="00B66D6B" w:rsidRPr="00526280">
        <w:rPr>
          <w:rFonts w:ascii="Times New Roman" w:hAnsi="Times New Roman" w:cs="Times New Roman"/>
          <w:sz w:val="28"/>
          <w:szCs w:val="28"/>
        </w:rPr>
        <w:t>,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sym w:font="Symbol" w:char="F075"/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концентрация частиц золя в начальный момент времени; 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80">
        <w:rPr>
          <w:rFonts w:ascii="Times New Roman" w:hAnsi="Times New Roman" w:cs="Times New Roman"/>
          <w:i/>
          <w:iCs/>
          <w:sz w:val="28"/>
          <w:szCs w:val="28"/>
        </w:rPr>
        <w:sym w:font="Symbol" w:char="F075"/>
      </w:r>
      <w:r w:rsidRPr="00526280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t</w:t>
      </w:r>
      <w:r w:rsidRPr="00526280">
        <w:rPr>
          <w:rFonts w:ascii="Times New Roman" w:hAnsi="Times New Roman" w:cs="Times New Roman"/>
          <w:sz w:val="28"/>
          <w:szCs w:val="28"/>
        </w:rPr>
        <w:t xml:space="preserve"> – концентрация частиц золя в момент времени </w:t>
      </w:r>
      <w:r w:rsidRPr="00526280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526280">
        <w:rPr>
          <w:rFonts w:ascii="Times New Roman" w:hAnsi="Times New Roman" w:cs="Times New Roman"/>
          <w:sz w:val="28"/>
          <w:szCs w:val="28"/>
        </w:rPr>
        <w:t>.</w:t>
      </w:r>
    </w:p>
    <w:p w:rsidR="00B66D6B" w:rsidRPr="00526280" w:rsidRDefault="00B66D6B" w:rsidP="00526280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6280">
        <w:rPr>
          <w:rFonts w:ascii="Times New Roman" w:hAnsi="Times New Roman" w:cs="Times New Roman"/>
          <w:sz w:val="28"/>
          <w:szCs w:val="28"/>
        </w:rPr>
        <w:t xml:space="preserve">Для характеристики быстрой коагуляции используется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 xml:space="preserve">период коагуляции(период половинной коагуляции) </w:t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sym w:font="Symbol" w:char="F071"/>
      </w:r>
      <w:r w:rsidRPr="00526280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sectPr w:rsidR="00B66D6B" w:rsidRPr="00526280" w:rsidSect="005262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4F9"/>
    <w:multiLevelType w:val="hybridMultilevel"/>
    <w:tmpl w:val="E6504F16"/>
    <w:lvl w:ilvl="0" w:tplc="389055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D900B05"/>
    <w:multiLevelType w:val="multilevel"/>
    <w:tmpl w:val="BD98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1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287E23"/>
    <w:multiLevelType w:val="multilevel"/>
    <w:tmpl w:val="15CC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B05EC"/>
    <w:multiLevelType w:val="singleLevel"/>
    <w:tmpl w:val="A1AA93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1A66F75"/>
    <w:multiLevelType w:val="hybridMultilevel"/>
    <w:tmpl w:val="4B00D814"/>
    <w:lvl w:ilvl="0" w:tplc="E4760C1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6BF"/>
    <w:rsid w:val="000F4356"/>
    <w:rsid w:val="00150E0E"/>
    <w:rsid w:val="00161486"/>
    <w:rsid w:val="00253318"/>
    <w:rsid w:val="002778D5"/>
    <w:rsid w:val="0029702A"/>
    <w:rsid w:val="002B3EC6"/>
    <w:rsid w:val="00451D13"/>
    <w:rsid w:val="00490C77"/>
    <w:rsid w:val="004925E0"/>
    <w:rsid w:val="0052471A"/>
    <w:rsid w:val="00525CFB"/>
    <w:rsid w:val="00526280"/>
    <w:rsid w:val="005A5CB9"/>
    <w:rsid w:val="005F66CF"/>
    <w:rsid w:val="00716F0C"/>
    <w:rsid w:val="00796237"/>
    <w:rsid w:val="00863BDA"/>
    <w:rsid w:val="00893E4A"/>
    <w:rsid w:val="008B4715"/>
    <w:rsid w:val="00B00C1E"/>
    <w:rsid w:val="00B41ECD"/>
    <w:rsid w:val="00B66D6B"/>
    <w:rsid w:val="00C27BA1"/>
    <w:rsid w:val="00CA0E22"/>
    <w:rsid w:val="00CE336C"/>
    <w:rsid w:val="00DD00CB"/>
    <w:rsid w:val="00DE504D"/>
    <w:rsid w:val="00DE5189"/>
    <w:rsid w:val="00EC66BF"/>
    <w:rsid w:val="00F329FC"/>
    <w:rsid w:val="00F5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chartTrackingRefBased/>
  <w15:docId w15:val="{66CD37FB-EC5E-4525-854B-59984E2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3E4A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3E4A"/>
    <w:pPr>
      <w:keepNext/>
      <w:spacing w:after="0" w:line="240" w:lineRule="auto"/>
      <w:jc w:val="center"/>
      <w:outlineLvl w:val="1"/>
    </w:pPr>
    <w:rPr>
      <w:rFonts w:eastAsia="Calibri" w:cs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1486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00C1E"/>
    <w:pPr>
      <w:keepNext/>
      <w:spacing w:after="0" w:line="240" w:lineRule="auto"/>
      <w:jc w:val="center"/>
      <w:outlineLvl w:val="3"/>
    </w:pPr>
    <w:rPr>
      <w:rFonts w:eastAsia="Calibri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6148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00C1E"/>
    <w:pPr>
      <w:keepNext/>
      <w:spacing w:after="0" w:line="240" w:lineRule="auto"/>
      <w:jc w:val="center"/>
      <w:outlineLvl w:val="6"/>
    </w:pPr>
    <w:rPr>
      <w:rFonts w:eastAsia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893E4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link w:val="3"/>
    <w:uiPriority w:val="99"/>
    <w:semiHidden/>
    <w:rsid w:val="00161486"/>
    <w:rPr>
      <w:rFonts w:ascii="Cambria" w:eastAsia="Times New Roman" w:hAnsi="Cambria" w:cs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9"/>
    <w:rsid w:val="00B00C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161486"/>
    <w:rPr>
      <w:rFonts w:ascii="Calibri" w:eastAsia="Times New Roman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rsid w:val="00B00C1E"/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rsid w:val="00893E4A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893E4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rsid w:val="00893E4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uiPriority w:val="99"/>
    <w:rsid w:val="00893E4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93E4A"/>
    <w:pPr>
      <w:spacing w:after="0" w:line="240" w:lineRule="auto"/>
      <w:ind w:firstLine="426"/>
      <w:jc w:val="both"/>
    </w:pPr>
    <w:rPr>
      <w:rFonts w:eastAsia="Calibri" w:cs="Times New Roman"/>
      <w:lang w:eastAsia="ru-RU"/>
    </w:rPr>
  </w:style>
  <w:style w:type="character" w:customStyle="1" w:styleId="a6">
    <w:name w:val="Основний текст Знак"/>
    <w:link w:val="a5"/>
    <w:uiPriority w:val="99"/>
    <w:rsid w:val="00893E4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00C1E"/>
    <w:pPr>
      <w:spacing w:after="0" w:line="240" w:lineRule="auto"/>
      <w:ind w:firstLine="284"/>
      <w:jc w:val="both"/>
    </w:pPr>
    <w:rPr>
      <w:rFonts w:eastAsia="Calibri" w:cs="Times New Roman"/>
      <w:sz w:val="28"/>
      <w:szCs w:val="28"/>
      <w:lang w:val="en-US" w:eastAsia="ru-RU"/>
    </w:rPr>
  </w:style>
  <w:style w:type="character" w:customStyle="1" w:styleId="32">
    <w:name w:val="Основний текст з відступом 3 Знак"/>
    <w:link w:val="31"/>
    <w:uiPriority w:val="99"/>
    <w:rsid w:val="00893E4A"/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99"/>
    <w:rsid w:val="00893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ий текст з відступом 2 Знак"/>
    <w:link w:val="21"/>
    <w:uiPriority w:val="99"/>
    <w:rsid w:val="00893E4A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893E4A"/>
    <w:pPr>
      <w:spacing w:after="120" w:line="240" w:lineRule="auto"/>
    </w:pPr>
    <w:rPr>
      <w:rFonts w:eastAsia="Calibri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00C1E"/>
    <w:pPr>
      <w:spacing w:after="0" w:line="240" w:lineRule="auto"/>
      <w:ind w:firstLine="426"/>
      <w:jc w:val="both"/>
    </w:pPr>
    <w:rPr>
      <w:rFonts w:eastAsia="Calibri" w:cs="Times New Roman"/>
      <w:lang w:eastAsia="ru-RU"/>
    </w:rPr>
  </w:style>
  <w:style w:type="character" w:customStyle="1" w:styleId="34">
    <w:name w:val="Основний текст 3 Знак"/>
    <w:link w:val="33"/>
    <w:uiPriority w:val="99"/>
    <w:rsid w:val="00893E4A"/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ий текст 2 Знак"/>
    <w:link w:val="23"/>
    <w:uiPriority w:val="99"/>
    <w:semiHidden/>
    <w:rsid w:val="00716F0C"/>
    <w:rPr>
      <w:sz w:val="22"/>
      <w:szCs w:val="22"/>
      <w:lang w:val="x-none" w:eastAsia="en-US"/>
    </w:rPr>
  </w:style>
  <w:style w:type="paragraph" w:styleId="a8">
    <w:name w:val="caption"/>
    <w:basedOn w:val="a"/>
    <w:next w:val="a"/>
    <w:uiPriority w:val="99"/>
    <w:qFormat/>
    <w:rsid w:val="00716F0C"/>
    <w:pPr>
      <w:tabs>
        <w:tab w:val="num" w:pos="720"/>
      </w:tabs>
      <w:spacing w:after="0" w:line="240" w:lineRule="auto"/>
      <w:jc w:val="both"/>
    </w:pPr>
    <w:rPr>
      <w:rFonts w:eastAsia="Calibri" w:cs="Times New Roman"/>
      <w:sz w:val="28"/>
      <w:szCs w:val="28"/>
      <w:lang w:eastAsia="ru-RU"/>
    </w:rPr>
  </w:style>
  <w:style w:type="character" w:styleId="a9">
    <w:name w:val="page number"/>
    <w:uiPriority w:val="99"/>
    <w:rsid w:val="00B00C1E"/>
  </w:style>
  <w:style w:type="paragraph" w:styleId="aa">
    <w:name w:val="footer"/>
    <w:basedOn w:val="a"/>
    <w:link w:val="ab"/>
    <w:uiPriority w:val="99"/>
    <w:rsid w:val="00B00C1E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ac">
    <w:name w:val="Краткий обратный адрес"/>
    <w:basedOn w:val="a"/>
    <w:uiPriority w:val="99"/>
    <w:rsid w:val="00B00C1E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b">
    <w:name w:val="Нижній колонтитул Знак"/>
    <w:link w:val="aa"/>
    <w:uiPriority w:val="99"/>
    <w:rsid w:val="00B00C1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B00C1E"/>
    <w:pPr>
      <w:spacing w:after="0" w:line="240" w:lineRule="auto"/>
      <w:jc w:val="center"/>
    </w:pPr>
    <w:rPr>
      <w:rFonts w:eastAsia="Calibri" w:cs="Times New Roman"/>
      <w:b/>
      <w:bCs/>
      <w:lang w:eastAsia="ru-RU"/>
    </w:rPr>
  </w:style>
  <w:style w:type="paragraph" w:styleId="af">
    <w:name w:val="footnote text"/>
    <w:basedOn w:val="a"/>
    <w:link w:val="af0"/>
    <w:uiPriority w:val="99"/>
    <w:semiHidden/>
    <w:rsid w:val="00B00C1E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e">
    <w:name w:val="Назва Знак"/>
    <w:link w:val="ad"/>
    <w:uiPriority w:val="99"/>
    <w:rsid w:val="00B00C1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f0">
    <w:name w:val="Текст виноски Знак"/>
    <w:link w:val="af"/>
    <w:uiPriority w:val="99"/>
    <w:semiHidden/>
    <w:rsid w:val="00B00C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7.wmf"/><Relationship Id="rId16" Type="http://schemas.openxmlformats.org/officeDocument/2006/relationships/image" Target="media/image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1.bin"/><Relationship Id="rId5" Type="http://schemas.openxmlformats.org/officeDocument/2006/relationships/image" Target="media/image1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3.bin"/><Relationship Id="rId64" Type="http://schemas.openxmlformats.org/officeDocument/2006/relationships/image" Target="media/image34.wmf"/><Relationship Id="rId69" Type="http://schemas.openxmlformats.org/officeDocument/2006/relationships/image" Target="media/image37.gif"/><Relationship Id="rId77" Type="http://schemas.openxmlformats.org/officeDocument/2006/relationships/image" Target="media/image43.wmf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80" Type="http://schemas.openxmlformats.org/officeDocument/2006/relationships/image" Target="media/image45.wmf"/><Relationship Id="rId85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image" Target="media/image36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9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8.wmf"/><Relationship Id="rId75" Type="http://schemas.openxmlformats.org/officeDocument/2006/relationships/image" Target="media/image41.png"/><Relationship Id="rId83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30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5.wmf"/><Relationship Id="rId73" Type="http://schemas.openxmlformats.org/officeDocument/2006/relationships/image" Target="media/image40.wmf"/><Relationship Id="rId78" Type="http://schemas.openxmlformats.org/officeDocument/2006/relationships/image" Target="media/image44.wmf"/><Relationship Id="rId81" Type="http://schemas.openxmlformats.org/officeDocument/2006/relationships/oleObject" Target="embeddings/oleObject32.bin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7.bin"/><Relationship Id="rId87" Type="http://schemas.openxmlformats.org/officeDocument/2006/relationships/theme" Target="theme/theme1.xml"/><Relationship Id="rId61" Type="http://schemas.openxmlformats.org/officeDocument/2006/relationships/image" Target="media/image32.wmf"/><Relationship Id="rId8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Седиментация и диффузия</vt:lpstr>
    </vt:vector>
  </TitlesOfParts>
  <Company>home</Company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Седиментация и диффузия</dc:title>
  <dc:subject/>
  <dc:creator>xxxxx</dc:creator>
  <cp:keywords/>
  <dc:description/>
  <cp:lastModifiedBy>Irina</cp:lastModifiedBy>
  <cp:revision>2</cp:revision>
  <dcterms:created xsi:type="dcterms:W3CDTF">2014-08-16T19:34:00Z</dcterms:created>
  <dcterms:modified xsi:type="dcterms:W3CDTF">2014-08-16T19:34:00Z</dcterms:modified>
</cp:coreProperties>
</file>