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15172C">
      <w:pPr>
        <w:pStyle w:val="a4"/>
        <w:jc w:val="center"/>
      </w:pPr>
      <w:r>
        <w:t>ЦЕНТР МАГІСТЕРЬСКОЇ ПІДГОТОВКИ</w:t>
      </w:r>
    </w:p>
    <w:p w:rsidR="0036147E" w:rsidRDefault="0015172C">
      <w:pPr>
        <w:pStyle w:val="a4"/>
        <w:jc w:val="center"/>
      </w:pPr>
      <w:r>
        <w:t>КИЇВСЬКИЙ ДЕРЖАВНИЙ ЕКОНОМІЧНИЙ УНІВЕРСИТЕТ</w:t>
      </w: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15172C">
      <w:pPr>
        <w:pStyle w:val="a4"/>
        <w:jc w:val="center"/>
      </w:pPr>
      <w:r>
        <w:t>КОНТРОЛЬНА РОБОТА</w:t>
      </w:r>
    </w:p>
    <w:p w:rsidR="0036147E" w:rsidRDefault="0015172C">
      <w:pPr>
        <w:pStyle w:val="a4"/>
        <w:jc w:val="center"/>
      </w:pPr>
      <w:r>
        <w:t>з курсу “Економіка підприємства”</w:t>
      </w:r>
    </w:p>
    <w:p w:rsidR="0036147E" w:rsidRDefault="0036147E">
      <w:pPr>
        <w:pStyle w:val="a4"/>
        <w:jc w:val="center"/>
      </w:pPr>
    </w:p>
    <w:p w:rsidR="0036147E" w:rsidRDefault="0036147E">
      <w:pPr>
        <w:pStyle w:val="a4"/>
        <w:jc w:val="center"/>
      </w:pPr>
    </w:p>
    <w:p w:rsidR="0036147E" w:rsidRDefault="0015172C">
      <w:pPr>
        <w:pStyle w:val="a4"/>
        <w:ind w:left="1985"/>
        <w:jc w:val="left"/>
      </w:pPr>
      <w:r>
        <w:t>курс</w:t>
      </w:r>
      <w:r>
        <w:tab/>
      </w:r>
      <w:r>
        <w:tab/>
      </w:r>
      <w:r>
        <w:tab/>
        <w:t>1</w:t>
      </w:r>
    </w:p>
    <w:p w:rsidR="0036147E" w:rsidRDefault="0015172C">
      <w:pPr>
        <w:pStyle w:val="a4"/>
        <w:ind w:left="1985"/>
        <w:jc w:val="left"/>
      </w:pPr>
      <w:r>
        <w:t>група</w:t>
      </w:r>
      <w:r>
        <w:tab/>
      </w:r>
      <w:r>
        <w:tab/>
      </w:r>
      <w:r>
        <w:tab/>
        <w:t>2</w:t>
      </w:r>
    </w:p>
    <w:p w:rsidR="0036147E" w:rsidRDefault="0015172C">
      <w:pPr>
        <w:pStyle w:val="a4"/>
        <w:ind w:left="1985"/>
        <w:jc w:val="left"/>
      </w:pPr>
      <w:r>
        <w:t>спеціальність:</w:t>
      </w:r>
      <w:r>
        <w:tab/>
        <w:t>фінансовий менеджмент</w:t>
      </w:r>
    </w:p>
    <w:p w:rsidR="0036147E" w:rsidRDefault="0036147E">
      <w:pPr>
        <w:pStyle w:val="a4"/>
        <w:ind w:left="1985"/>
        <w:jc w:val="left"/>
      </w:pPr>
    </w:p>
    <w:p w:rsidR="0036147E" w:rsidRDefault="0015172C">
      <w:pPr>
        <w:pStyle w:val="a4"/>
        <w:ind w:left="1985"/>
        <w:jc w:val="left"/>
      </w:pPr>
      <w:r>
        <w:t>Виконував:</w:t>
      </w:r>
      <w:r>
        <w:tab/>
      </w:r>
      <w:r>
        <w:tab/>
      </w:r>
    </w:p>
    <w:p w:rsidR="0036147E" w:rsidRDefault="0015172C">
      <w:pPr>
        <w:pStyle w:val="a4"/>
        <w:ind w:left="1985"/>
        <w:jc w:val="left"/>
      </w:pPr>
      <w:r>
        <w:t>Викладач:</w:t>
      </w:r>
      <w:r>
        <w:rPr>
          <w:lang w:val="en-US"/>
        </w:rPr>
        <w:tab/>
      </w:r>
      <w:r>
        <w:rPr>
          <w:lang w:val="en-US"/>
        </w:rPr>
        <w:tab/>
      </w:r>
      <w:r>
        <w:t>КОЛОТ Володимир Михайлович</w:t>
      </w: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36147E">
      <w:pPr>
        <w:pStyle w:val="a4"/>
        <w:jc w:val="center"/>
      </w:pPr>
    </w:p>
    <w:p w:rsidR="0036147E" w:rsidRDefault="0015172C">
      <w:pPr>
        <w:pStyle w:val="a4"/>
        <w:jc w:val="center"/>
      </w:pPr>
      <w:r>
        <w:t>КИЇВ КДЕУ 1998</w:t>
      </w:r>
    </w:p>
    <w:p w:rsidR="0036147E" w:rsidRDefault="0015172C">
      <w:pPr>
        <w:pStyle w:val="a4"/>
      </w:pPr>
      <w:r>
        <w:br w:type="page"/>
        <w:t>СОДЕРЖАНИЕ</w:t>
      </w:r>
    </w:p>
    <w:p w:rsidR="0036147E" w:rsidRDefault="0036147E">
      <w:pPr>
        <w:pStyle w:val="a4"/>
      </w:pPr>
    </w:p>
    <w:p w:rsidR="0036147E" w:rsidRDefault="0015172C">
      <w:pPr>
        <w:pStyle w:val="10"/>
        <w:tabs>
          <w:tab w:val="left" w:pos="400"/>
          <w:tab w:val="right" w:leader="dot" w:pos="9060"/>
        </w:tabs>
        <w:rPr>
          <w:noProof/>
        </w:rPr>
      </w:pPr>
      <w:r>
        <w:rPr>
          <w:b w:val="0"/>
          <w:caps w:val="0"/>
          <w:sz w:val="28"/>
          <w:lang w:val="uk-UA"/>
        </w:rPr>
        <w:fldChar w:fldCharType="begin"/>
      </w:r>
      <w:r>
        <w:rPr>
          <w:b w:val="0"/>
          <w:caps w:val="0"/>
          <w:sz w:val="28"/>
          <w:lang w:val="uk-UA"/>
        </w:rPr>
        <w:instrText xml:space="preserve"> TOC \o "1-3" </w:instrText>
      </w:r>
      <w:r>
        <w:rPr>
          <w:b w:val="0"/>
          <w:caps w:val="0"/>
          <w:sz w:val="28"/>
          <w:lang w:val="uk-UA"/>
        </w:rPr>
        <w:fldChar w:fldCharType="separate"/>
      </w:r>
      <w:r>
        <w:rPr>
          <w:noProof/>
        </w:rPr>
        <w:t>1.</w:t>
      </w:r>
      <w:r>
        <w:rPr>
          <w:noProof/>
        </w:rPr>
        <w:tab/>
        <w:t>ВСТУП</w:t>
      </w:r>
      <w:r>
        <w:rPr>
          <w:noProof/>
        </w:rPr>
        <w:tab/>
      </w:r>
      <w:r>
        <w:rPr>
          <w:noProof/>
        </w:rPr>
        <w:fldChar w:fldCharType="begin"/>
      </w:r>
      <w:r>
        <w:rPr>
          <w:noProof/>
        </w:rPr>
        <w:instrText xml:space="preserve"> PAGEREF _Toc439644852 \h </w:instrText>
      </w:r>
      <w:r>
        <w:rPr>
          <w:noProof/>
        </w:rPr>
      </w:r>
      <w:r>
        <w:rPr>
          <w:noProof/>
        </w:rPr>
        <w:fldChar w:fldCharType="separate"/>
      </w:r>
      <w:r>
        <w:rPr>
          <w:noProof/>
        </w:rPr>
        <w:t>3</w:t>
      </w:r>
      <w:r>
        <w:rPr>
          <w:noProof/>
        </w:rPr>
        <w:fldChar w:fldCharType="end"/>
      </w:r>
    </w:p>
    <w:p w:rsidR="0036147E" w:rsidRDefault="0015172C">
      <w:pPr>
        <w:pStyle w:val="10"/>
        <w:tabs>
          <w:tab w:val="left" w:pos="400"/>
          <w:tab w:val="right" w:leader="dot" w:pos="9060"/>
        </w:tabs>
        <w:rPr>
          <w:noProof/>
        </w:rPr>
      </w:pPr>
      <w:r>
        <w:rPr>
          <w:noProof/>
        </w:rPr>
        <w:t>2.</w:t>
      </w:r>
      <w:r>
        <w:rPr>
          <w:noProof/>
        </w:rPr>
        <w:tab/>
        <w:t>НЕМАТЕРІАЛЬНІ РЕСУРСИ, ЇХ ВИДИ ТА ОСОБЛИВОСТІ</w:t>
      </w:r>
      <w:r>
        <w:rPr>
          <w:noProof/>
        </w:rPr>
        <w:tab/>
      </w:r>
      <w:r>
        <w:rPr>
          <w:noProof/>
        </w:rPr>
        <w:fldChar w:fldCharType="begin"/>
      </w:r>
      <w:r>
        <w:rPr>
          <w:noProof/>
        </w:rPr>
        <w:instrText xml:space="preserve"> PAGEREF _Toc439644853 \h </w:instrText>
      </w:r>
      <w:r>
        <w:rPr>
          <w:noProof/>
        </w:rPr>
      </w:r>
      <w:r>
        <w:rPr>
          <w:noProof/>
        </w:rPr>
        <w:fldChar w:fldCharType="separate"/>
      </w:r>
      <w:r>
        <w:rPr>
          <w:noProof/>
        </w:rPr>
        <w:t>3</w:t>
      </w:r>
      <w:r>
        <w:rPr>
          <w:noProof/>
        </w:rPr>
        <w:fldChar w:fldCharType="end"/>
      </w:r>
    </w:p>
    <w:p w:rsidR="0036147E" w:rsidRDefault="0015172C">
      <w:pPr>
        <w:pStyle w:val="22"/>
        <w:tabs>
          <w:tab w:val="right" w:leader="dot" w:pos="9060"/>
        </w:tabs>
        <w:rPr>
          <w:noProof/>
        </w:rPr>
      </w:pPr>
      <w:r>
        <w:rPr>
          <w:noProof/>
        </w:rPr>
        <w:t>2.1. Об’єкти промислової власності.</w:t>
      </w:r>
      <w:r>
        <w:rPr>
          <w:noProof/>
        </w:rPr>
        <w:tab/>
      </w:r>
      <w:r>
        <w:rPr>
          <w:noProof/>
        </w:rPr>
        <w:fldChar w:fldCharType="begin"/>
      </w:r>
      <w:r>
        <w:rPr>
          <w:noProof/>
        </w:rPr>
        <w:instrText xml:space="preserve"> PAGEREF _Toc439644854 \h </w:instrText>
      </w:r>
      <w:r>
        <w:rPr>
          <w:noProof/>
        </w:rPr>
      </w:r>
      <w:r>
        <w:rPr>
          <w:noProof/>
        </w:rPr>
        <w:fldChar w:fldCharType="separate"/>
      </w:r>
      <w:r>
        <w:rPr>
          <w:noProof/>
        </w:rPr>
        <w:t>3</w:t>
      </w:r>
      <w:r>
        <w:rPr>
          <w:noProof/>
        </w:rPr>
        <w:fldChar w:fldCharType="end"/>
      </w:r>
    </w:p>
    <w:p w:rsidR="0036147E" w:rsidRDefault="0015172C">
      <w:pPr>
        <w:pStyle w:val="22"/>
        <w:tabs>
          <w:tab w:val="right" w:leader="dot" w:pos="9060"/>
        </w:tabs>
        <w:rPr>
          <w:noProof/>
        </w:rPr>
      </w:pPr>
      <w:r>
        <w:rPr>
          <w:noProof/>
        </w:rPr>
        <w:t>2.2. Об’єкти інтелектуальної власності.</w:t>
      </w:r>
      <w:r>
        <w:rPr>
          <w:noProof/>
        </w:rPr>
        <w:tab/>
      </w:r>
      <w:r>
        <w:rPr>
          <w:noProof/>
        </w:rPr>
        <w:fldChar w:fldCharType="begin"/>
      </w:r>
      <w:r>
        <w:rPr>
          <w:noProof/>
        </w:rPr>
        <w:instrText xml:space="preserve"> PAGEREF _Toc439644855 \h </w:instrText>
      </w:r>
      <w:r>
        <w:rPr>
          <w:noProof/>
        </w:rPr>
      </w:r>
      <w:r>
        <w:rPr>
          <w:noProof/>
        </w:rPr>
        <w:fldChar w:fldCharType="separate"/>
      </w:r>
      <w:r>
        <w:rPr>
          <w:noProof/>
        </w:rPr>
        <w:t>3</w:t>
      </w:r>
      <w:r>
        <w:rPr>
          <w:noProof/>
        </w:rPr>
        <w:fldChar w:fldCharType="end"/>
      </w:r>
    </w:p>
    <w:p w:rsidR="0036147E" w:rsidRDefault="0015172C">
      <w:pPr>
        <w:pStyle w:val="22"/>
        <w:tabs>
          <w:tab w:val="right" w:leader="dot" w:pos="9060"/>
        </w:tabs>
        <w:rPr>
          <w:noProof/>
        </w:rPr>
      </w:pPr>
      <w:r>
        <w:rPr>
          <w:noProof/>
        </w:rPr>
        <w:t>2.3. Інші нематеріальні ресурси:</w:t>
      </w:r>
      <w:r>
        <w:rPr>
          <w:noProof/>
        </w:rPr>
        <w:tab/>
      </w:r>
      <w:r>
        <w:rPr>
          <w:noProof/>
        </w:rPr>
        <w:fldChar w:fldCharType="begin"/>
      </w:r>
      <w:r>
        <w:rPr>
          <w:noProof/>
        </w:rPr>
        <w:instrText xml:space="preserve"> PAGEREF _Toc439644856 \h </w:instrText>
      </w:r>
      <w:r>
        <w:rPr>
          <w:noProof/>
        </w:rPr>
      </w:r>
      <w:r>
        <w:rPr>
          <w:noProof/>
        </w:rPr>
        <w:fldChar w:fldCharType="separate"/>
      </w:r>
      <w:r>
        <w:rPr>
          <w:noProof/>
        </w:rPr>
        <w:t>3</w:t>
      </w:r>
      <w:r>
        <w:rPr>
          <w:noProof/>
        </w:rPr>
        <w:fldChar w:fldCharType="end"/>
      </w:r>
    </w:p>
    <w:p w:rsidR="0036147E" w:rsidRDefault="0015172C">
      <w:pPr>
        <w:pStyle w:val="10"/>
        <w:tabs>
          <w:tab w:val="left" w:pos="400"/>
          <w:tab w:val="right" w:leader="dot" w:pos="9060"/>
        </w:tabs>
        <w:rPr>
          <w:noProof/>
        </w:rPr>
      </w:pPr>
      <w:r>
        <w:rPr>
          <w:noProof/>
        </w:rPr>
        <w:t>3.</w:t>
      </w:r>
      <w:r>
        <w:rPr>
          <w:noProof/>
        </w:rPr>
        <w:tab/>
        <w:t>СКЛАД НЕМАТЕРІАЛЬНИХ АКТИВІВ</w:t>
      </w:r>
      <w:r>
        <w:rPr>
          <w:noProof/>
        </w:rPr>
        <w:tab/>
      </w:r>
      <w:r>
        <w:rPr>
          <w:noProof/>
        </w:rPr>
        <w:fldChar w:fldCharType="begin"/>
      </w:r>
      <w:r>
        <w:rPr>
          <w:noProof/>
        </w:rPr>
        <w:instrText xml:space="preserve"> PAGEREF _Toc439644857 \h </w:instrText>
      </w:r>
      <w:r>
        <w:rPr>
          <w:noProof/>
        </w:rPr>
      </w:r>
      <w:r>
        <w:rPr>
          <w:noProof/>
        </w:rPr>
        <w:fldChar w:fldCharType="separate"/>
      </w:r>
      <w:r>
        <w:rPr>
          <w:noProof/>
        </w:rPr>
        <w:t>3</w:t>
      </w:r>
      <w:r>
        <w:rPr>
          <w:noProof/>
        </w:rPr>
        <w:fldChar w:fldCharType="end"/>
      </w:r>
    </w:p>
    <w:p w:rsidR="0036147E" w:rsidRDefault="0015172C">
      <w:pPr>
        <w:pStyle w:val="10"/>
        <w:tabs>
          <w:tab w:val="left" w:pos="400"/>
          <w:tab w:val="right" w:leader="dot" w:pos="9060"/>
        </w:tabs>
        <w:rPr>
          <w:noProof/>
        </w:rPr>
      </w:pPr>
      <w:r>
        <w:rPr>
          <w:noProof/>
        </w:rPr>
        <w:t>4.</w:t>
      </w:r>
      <w:r>
        <w:rPr>
          <w:noProof/>
        </w:rPr>
        <w:tab/>
        <w:t>ОЦІНКА НЕМАТЕРІАЛЬНИХ АКТИВІВ</w:t>
      </w:r>
      <w:r>
        <w:rPr>
          <w:noProof/>
        </w:rPr>
        <w:tab/>
      </w:r>
      <w:r>
        <w:rPr>
          <w:noProof/>
        </w:rPr>
        <w:fldChar w:fldCharType="begin"/>
      </w:r>
      <w:r>
        <w:rPr>
          <w:noProof/>
        </w:rPr>
        <w:instrText xml:space="preserve"> PAGEREF _Toc439644858 \h </w:instrText>
      </w:r>
      <w:r>
        <w:rPr>
          <w:noProof/>
        </w:rPr>
      </w:r>
      <w:r>
        <w:rPr>
          <w:noProof/>
        </w:rPr>
        <w:fldChar w:fldCharType="separate"/>
      </w:r>
      <w:r>
        <w:rPr>
          <w:noProof/>
        </w:rPr>
        <w:t>3</w:t>
      </w:r>
      <w:r>
        <w:rPr>
          <w:noProof/>
        </w:rPr>
        <w:fldChar w:fldCharType="end"/>
      </w:r>
    </w:p>
    <w:p w:rsidR="0036147E" w:rsidRDefault="0015172C">
      <w:pPr>
        <w:pStyle w:val="10"/>
        <w:tabs>
          <w:tab w:val="left" w:pos="400"/>
          <w:tab w:val="right" w:leader="dot" w:pos="9060"/>
        </w:tabs>
        <w:rPr>
          <w:noProof/>
        </w:rPr>
      </w:pPr>
      <w:r>
        <w:rPr>
          <w:noProof/>
        </w:rPr>
        <w:t>5.</w:t>
      </w:r>
      <w:r>
        <w:rPr>
          <w:noProof/>
        </w:rPr>
        <w:tab/>
        <w:t>ПІСЛЯМОВА</w:t>
      </w:r>
      <w:r>
        <w:rPr>
          <w:noProof/>
        </w:rPr>
        <w:tab/>
      </w:r>
      <w:r>
        <w:rPr>
          <w:noProof/>
        </w:rPr>
        <w:fldChar w:fldCharType="begin"/>
      </w:r>
      <w:r>
        <w:rPr>
          <w:noProof/>
        </w:rPr>
        <w:instrText xml:space="preserve"> PAGEREF _Toc439644859 \h </w:instrText>
      </w:r>
      <w:r>
        <w:rPr>
          <w:noProof/>
        </w:rPr>
      </w:r>
      <w:r>
        <w:rPr>
          <w:noProof/>
        </w:rPr>
        <w:fldChar w:fldCharType="separate"/>
      </w:r>
      <w:r>
        <w:rPr>
          <w:noProof/>
        </w:rPr>
        <w:t>3</w:t>
      </w:r>
      <w:r>
        <w:rPr>
          <w:noProof/>
        </w:rPr>
        <w:fldChar w:fldCharType="end"/>
      </w:r>
    </w:p>
    <w:p w:rsidR="0036147E" w:rsidRDefault="0015172C">
      <w:pPr>
        <w:pStyle w:val="10"/>
        <w:tabs>
          <w:tab w:val="left" w:pos="400"/>
          <w:tab w:val="right" w:leader="dot" w:pos="9060"/>
        </w:tabs>
        <w:rPr>
          <w:noProof/>
        </w:rPr>
      </w:pPr>
      <w:r>
        <w:rPr>
          <w:noProof/>
        </w:rPr>
        <w:t>6.</w:t>
      </w:r>
      <w:r>
        <w:rPr>
          <w:noProof/>
        </w:rPr>
        <w:tab/>
        <w:t>ЛІТЕРАТУРА</w:t>
      </w:r>
      <w:r>
        <w:rPr>
          <w:noProof/>
        </w:rPr>
        <w:tab/>
      </w:r>
      <w:r>
        <w:rPr>
          <w:noProof/>
        </w:rPr>
        <w:fldChar w:fldCharType="begin"/>
      </w:r>
      <w:r>
        <w:rPr>
          <w:noProof/>
        </w:rPr>
        <w:instrText xml:space="preserve"> PAGEREF _Toc439644860 \h </w:instrText>
      </w:r>
      <w:r>
        <w:rPr>
          <w:noProof/>
        </w:rPr>
      </w:r>
      <w:r>
        <w:rPr>
          <w:noProof/>
        </w:rPr>
        <w:fldChar w:fldCharType="separate"/>
      </w:r>
      <w:r>
        <w:rPr>
          <w:noProof/>
        </w:rPr>
        <w:t>3</w:t>
      </w:r>
      <w:r>
        <w:rPr>
          <w:noProof/>
        </w:rPr>
        <w:fldChar w:fldCharType="end"/>
      </w:r>
    </w:p>
    <w:p w:rsidR="0036147E" w:rsidRDefault="0015172C">
      <w:pPr>
        <w:ind w:firstLine="851"/>
        <w:jc w:val="both"/>
        <w:rPr>
          <w:lang w:val="uk-UA"/>
        </w:rPr>
      </w:pPr>
      <w:r>
        <w:rPr>
          <w:lang w:val="uk-UA"/>
        </w:rPr>
        <w:fldChar w:fldCharType="end"/>
      </w:r>
      <w:r>
        <w:rPr>
          <w:lang w:val="uk-UA"/>
        </w:rPr>
        <w:br w:type="page"/>
      </w:r>
    </w:p>
    <w:p w:rsidR="0036147E" w:rsidRDefault="0015172C">
      <w:pPr>
        <w:pStyle w:val="1"/>
      </w:pPr>
      <w:bookmarkStart w:id="0" w:name="_Toc439644852"/>
      <w:r>
        <w:t>ВСТУП</w:t>
      </w:r>
      <w:bookmarkEnd w:id="0"/>
    </w:p>
    <w:p w:rsidR="0036147E" w:rsidRDefault="0015172C">
      <w:pPr>
        <w:pStyle w:val="a4"/>
        <w:rPr>
          <w:lang w:val="en-US"/>
        </w:rPr>
      </w:pPr>
      <w:r>
        <w:t>З розвитком ринкових відносин в складі майна підприємств з’явився новий вид активів, відмінною рисою яких є відсутність речової форми – нематеріальні активи.</w:t>
      </w:r>
    </w:p>
    <w:p w:rsidR="0036147E" w:rsidRDefault="0015172C">
      <w:pPr>
        <w:pStyle w:val="a4"/>
      </w:pPr>
      <w:r>
        <w:t>В сучасних умовах формування повної інформації про стан активів і пасивів підприємства практично неможливе без інформації про нематеріальні активи. Необхідною умовою функціонування підприємства в умовах ринкової економіки є ефективне використання його нематеріальних ресурсів. Нематеріальні ресурси здатні відігравати суттєву роль у підвищенні конкурентоспроможності підприємств шляхом удосконалення можливостей щодо пропозиції та просуівання своїх товарів або послуг.</w:t>
      </w:r>
    </w:p>
    <w:p w:rsidR="0036147E" w:rsidRDefault="0015172C">
      <w:pPr>
        <w:pStyle w:val="a4"/>
      </w:pPr>
      <w:r>
        <w:t>Метою цієї роботи є розгляд поняття нематеріальних активів, їх класифікація та методи оцінки. В кінці роботи наведено список літератури, що використовувалася..</w:t>
      </w:r>
    </w:p>
    <w:p w:rsidR="0036147E" w:rsidRDefault="0015172C">
      <w:pPr>
        <w:pStyle w:val="1"/>
      </w:pPr>
      <w:r>
        <w:br w:type="page"/>
      </w:r>
      <w:bookmarkStart w:id="1" w:name="_Toc439644853"/>
      <w:r>
        <w:t>НЕМАТЕРІАЛЬНІ РЕСУРСИ, ЇХ ВИДИ ТА ОСОБЛИВОСТІ</w:t>
      </w:r>
      <w:bookmarkEnd w:id="1"/>
    </w:p>
    <w:p w:rsidR="0036147E" w:rsidRDefault="0015172C">
      <w:pPr>
        <w:pStyle w:val="a4"/>
        <w:rPr>
          <w:rStyle w:val="ab"/>
          <w:rFonts w:ascii="Times New Roman" w:hAnsi="Times New Roman"/>
          <w:sz w:val="24"/>
        </w:rPr>
      </w:pPr>
      <w:r>
        <w:rPr>
          <w:rStyle w:val="ab"/>
          <w:rFonts w:ascii="Times New Roman" w:hAnsi="Times New Roman"/>
          <w:sz w:val="24"/>
        </w:rPr>
        <w:t xml:space="preserve">Згідно з означенням, наведеним у (2, с.205), </w:t>
      </w:r>
      <w:r>
        <w:rPr>
          <w:rStyle w:val="ab"/>
          <w:rFonts w:ascii="Times New Roman" w:hAnsi="Times New Roman"/>
          <w:i/>
          <w:sz w:val="24"/>
        </w:rPr>
        <w:t>нематеріальні ресурси</w:t>
      </w:r>
      <w:r>
        <w:rPr>
          <w:rStyle w:val="ab"/>
          <w:rFonts w:ascii="Times New Roman" w:hAnsi="Times New Roman"/>
          <w:sz w:val="24"/>
        </w:rPr>
        <w:t xml:space="preserve"> – це складова частина потенціалу підприємства, здатна приносити економічну користь протягом відносно тривалого періоду, для якої характерні відсутність матеріальної основи здобування доходів та невизначеність розмірів майбутнього прибутку від її використання.</w:t>
      </w:r>
    </w:p>
    <w:p w:rsidR="0036147E" w:rsidRDefault="0015172C">
      <w:pPr>
        <w:pStyle w:val="a4"/>
        <w:rPr>
          <w:rStyle w:val="ab"/>
          <w:rFonts w:ascii="Times New Roman" w:hAnsi="Times New Roman"/>
          <w:sz w:val="24"/>
        </w:rPr>
      </w:pPr>
      <w:r>
        <w:rPr>
          <w:rStyle w:val="ab"/>
          <w:rFonts w:ascii="Times New Roman" w:hAnsi="Times New Roman"/>
          <w:sz w:val="24"/>
        </w:rPr>
        <w:t>Види нематеріальних ресурсів можна відобразити наступною схемою:</w:t>
      </w:r>
    </w:p>
    <w:p w:rsidR="0036147E" w:rsidRDefault="0036147E">
      <w:pPr>
        <w:pStyle w:val="a4"/>
        <w:rPr>
          <w:rStyle w:val="ab"/>
          <w:rFonts w:ascii="Times New Roman" w:hAnsi="Times New Roman"/>
          <w:sz w:val="24"/>
        </w:rPr>
      </w:pPr>
    </w:p>
    <w:p w:rsidR="0036147E" w:rsidRDefault="0015172C">
      <w:pPr>
        <w:pStyle w:val="a4"/>
        <w:rPr>
          <w:rStyle w:val="ab"/>
          <w:rFonts w:ascii="Times New Roman" w:hAnsi="Times New Roman"/>
          <w:sz w:val="24"/>
        </w:rPr>
      </w:pPr>
      <w:r>
        <w:rPr>
          <w:rStyle w:val="ab"/>
        </w:rPr>
        <w:object w:dxaOrig="574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35.75pt" o:ole="" fillcolor="window">
            <v:imagedata r:id="rId7" o:title=""/>
          </v:shape>
          <o:OLEObject Type="Embed" ProgID="OrgPlusWOPX.4" ShapeID="_x0000_i1025" DrawAspect="Content" ObjectID="_1469611282" r:id="rId8"/>
        </w:object>
      </w:r>
    </w:p>
    <w:p w:rsidR="0036147E" w:rsidRDefault="0036147E">
      <w:pPr>
        <w:pStyle w:val="a4"/>
        <w:rPr>
          <w:rStyle w:val="ab"/>
          <w:rFonts w:ascii="Times New Roman" w:hAnsi="Times New Roman"/>
          <w:sz w:val="24"/>
        </w:rPr>
      </w:pPr>
    </w:p>
    <w:p w:rsidR="0036147E" w:rsidRDefault="0015172C">
      <w:pPr>
        <w:pStyle w:val="20"/>
        <w:rPr>
          <w:rStyle w:val="ab"/>
          <w:rFonts w:ascii="Times New Roman" w:hAnsi="Times New Roman"/>
          <w:sz w:val="24"/>
          <w:lang w:val="uk-UA"/>
        </w:rPr>
      </w:pPr>
      <w:bookmarkStart w:id="2" w:name="_Toc439644854"/>
      <w:r>
        <w:rPr>
          <w:rStyle w:val="ab"/>
          <w:rFonts w:ascii="Times New Roman" w:hAnsi="Times New Roman"/>
          <w:sz w:val="24"/>
          <w:lang w:val="uk-UA"/>
        </w:rPr>
        <w:t>2.1. Об’єкти промислової власності.</w:t>
      </w:r>
      <w:bookmarkEnd w:id="2"/>
    </w:p>
    <w:p w:rsidR="0036147E" w:rsidRDefault="0036147E">
      <w:pPr>
        <w:rPr>
          <w:lang w:val="uk-UA"/>
        </w:rPr>
      </w:pPr>
    </w:p>
    <w:p w:rsidR="0036147E" w:rsidRDefault="0015172C">
      <w:pPr>
        <w:pStyle w:val="a4"/>
        <w:rPr>
          <w:rStyle w:val="ab"/>
          <w:rFonts w:ascii="Times New Roman" w:hAnsi="Times New Roman"/>
          <w:sz w:val="24"/>
        </w:rPr>
      </w:pPr>
      <w:r>
        <w:rPr>
          <w:rStyle w:val="ab"/>
          <w:rFonts w:ascii="Times New Roman" w:hAnsi="Times New Roman"/>
          <w:i/>
          <w:sz w:val="24"/>
          <w:u w:val="single"/>
        </w:rPr>
        <w:t>Промислова власність</w:t>
      </w:r>
      <w:r>
        <w:rPr>
          <w:rStyle w:val="ab"/>
          <w:rFonts w:ascii="Times New Roman" w:hAnsi="Times New Roman"/>
          <w:sz w:val="24"/>
        </w:rPr>
        <w:t xml:space="preserve"> є поняття, яке застосовується для позначення виключного права на використання певних нематеріальних ресурсів. Згідно з Паризькою конвенцією з охорони промислової власності (3, ст.1) до об’єктів цієї власності належать: патенти на винаходи, корисні моделі, промислові зразки, товарні знаки, знаки обслуговування, фірмові найменування та вказівки на походження чи найменування місця походження. Серед об’єктів промислової власності найважливіше місце посідають винаходи.</w:t>
      </w:r>
    </w:p>
    <w:p w:rsidR="0036147E" w:rsidRDefault="0015172C">
      <w:pPr>
        <w:pStyle w:val="a4"/>
        <w:rPr>
          <w:rStyle w:val="ab"/>
          <w:rFonts w:ascii="Times New Roman" w:hAnsi="Times New Roman"/>
          <w:sz w:val="24"/>
        </w:rPr>
      </w:pPr>
      <w:r>
        <w:rPr>
          <w:rStyle w:val="ab"/>
          <w:rFonts w:ascii="Times New Roman" w:hAnsi="Times New Roman"/>
          <w:i/>
          <w:sz w:val="24"/>
        </w:rPr>
        <w:t>Винахід –</w:t>
      </w:r>
      <w:r>
        <w:rPr>
          <w:rStyle w:val="ab"/>
          <w:rFonts w:ascii="Times New Roman" w:hAnsi="Times New Roman"/>
          <w:sz w:val="24"/>
        </w:rPr>
        <w:t xml:space="preserve"> результат творчої діяльності людини в будь-якій області технології (5, ст.1). Наведемо розуміння винаходу з (4, п.6). Винаходу надається правова охорона, якщо він є новим, має винахідницький рівень та промислове застосування. Винахід є новим, якщо він не є частиною рівня техніки. Винахід має винахідницький рівень, якщо він для спеціаліста явно не є наслідком рівня техніки. Рівень техніки визначається за всіма джерелами інформації, що є загальнодоступними в Україні та закордонних державах до дати пріоритета винаходу. Винахід признається промислово використовуваним, якщо він може бути використаним у промисловості, с/г, сфері охорони здоров’я та інших галузях н/г. Об’єктами винаходу можуть бути пристрої, спосіб, речовина, штам мікроорганізмів, культура клітин рослин та тварин, а також застосування відомого раніш пристрою, способу, речовини, штама за новим призначенням.</w:t>
      </w:r>
    </w:p>
    <w:p w:rsidR="0036147E" w:rsidRDefault="0015172C">
      <w:pPr>
        <w:pStyle w:val="a4"/>
        <w:rPr>
          <w:rStyle w:val="ab"/>
          <w:rFonts w:ascii="Times New Roman" w:hAnsi="Times New Roman"/>
          <w:sz w:val="24"/>
        </w:rPr>
      </w:pPr>
      <w:r>
        <w:rPr>
          <w:rStyle w:val="ab"/>
          <w:rFonts w:ascii="Times New Roman" w:hAnsi="Times New Roman"/>
          <w:i/>
          <w:sz w:val="24"/>
        </w:rPr>
        <w:t xml:space="preserve">Промисловий зразок </w:t>
      </w:r>
      <w:r>
        <w:rPr>
          <w:rStyle w:val="ab"/>
          <w:rFonts w:ascii="Times New Roman" w:hAnsi="Times New Roman"/>
          <w:sz w:val="24"/>
        </w:rPr>
        <w:t>– результат творчої діяльності людини в галузі художнього конструювання (6, ст.1). До промислових зразків</w:t>
      </w:r>
      <w:r>
        <w:rPr>
          <w:rStyle w:val="ab"/>
          <w:rFonts w:ascii="Times New Roman" w:hAnsi="Times New Roman"/>
          <w:i/>
          <w:sz w:val="24"/>
        </w:rPr>
        <w:t xml:space="preserve"> </w:t>
      </w:r>
      <w:r>
        <w:rPr>
          <w:rStyle w:val="ab"/>
          <w:rFonts w:ascii="Times New Roman" w:hAnsi="Times New Roman"/>
          <w:sz w:val="24"/>
        </w:rPr>
        <w:t>відносяться форма, малюнок, колір або їх поєднання, що визначають зовнішній вигляд промислового виробу. Патент видається на промисловий зразок, що є новим, оригінальним та має промислове застосування. Промисловий зразок признається новим, якщо сукупність його істотних ознак невідома в Україні чи за кордоном до дати пріоритету промислового зразку. Промисловий зразок признається оригінальним, якщо форма, малюнок, колір або їх поєднання, що заявлені, для спеціаліста в цій галузі не є явними під час їхнього візуального сприйняття та оцінки. Істотні ознаки визначають відмінності зовнішнього вигляду промислового зразку в естетичних та економічних особливостях його форми,малюнку, кольору чи їх поєднання. Промисловий зразок признається таким, що має промислове застосування, якщо він може бути відтвореним промисловим чином у відповідному виробі для введення в обіг. (4, п.7).</w:t>
      </w:r>
    </w:p>
    <w:p w:rsidR="0036147E" w:rsidRDefault="0015172C">
      <w:pPr>
        <w:pStyle w:val="a4"/>
        <w:rPr>
          <w:rStyle w:val="ab"/>
          <w:rFonts w:ascii="Times New Roman" w:hAnsi="Times New Roman"/>
          <w:sz w:val="24"/>
        </w:rPr>
      </w:pPr>
      <w:r>
        <w:rPr>
          <w:rStyle w:val="ab"/>
          <w:rFonts w:ascii="Times New Roman" w:hAnsi="Times New Roman"/>
          <w:i/>
          <w:sz w:val="24"/>
        </w:rPr>
        <w:t xml:space="preserve">Корисна модель </w:t>
      </w:r>
      <w:r>
        <w:rPr>
          <w:rStyle w:val="ab"/>
          <w:rFonts w:ascii="Times New Roman" w:hAnsi="Times New Roman"/>
          <w:sz w:val="24"/>
        </w:rPr>
        <w:t>– результат творчої діяльності людини в будь-якій області технології. (4, ст. 1). Предметом технічного вирішення у корисних моделях є лише кострукція виробу, його форма.</w:t>
      </w:r>
    </w:p>
    <w:p w:rsidR="0036147E" w:rsidRDefault="0015172C">
      <w:pPr>
        <w:pStyle w:val="a4"/>
        <w:rPr>
          <w:rStyle w:val="ab"/>
          <w:rFonts w:ascii="Times New Roman" w:hAnsi="Times New Roman"/>
          <w:sz w:val="24"/>
        </w:rPr>
      </w:pPr>
      <w:r>
        <w:rPr>
          <w:rStyle w:val="ab"/>
          <w:rFonts w:ascii="Times New Roman" w:hAnsi="Times New Roman"/>
          <w:i/>
          <w:sz w:val="24"/>
        </w:rPr>
        <w:t xml:space="preserve">Товарний знак </w:t>
      </w:r>
      <w:r>
        <w:rPr>
          <w:rStyle w:val="ab"/>
          <w:rFonts w:ascii="Times New Roman" w:hAnsi="Times New Roman"/>
          <w:sz w:val="24"/>
        </w:rPr>
        <w:t xml:space="preserve">та </w:t>
      </w:r>
      <w:r>
        <w:rPr>
          <w:rStyle w:val="ab"/>
          <w:rFonts w:ascii="Times New Roman" w:hAnsi="Times New Roman"/>
          <w:i/>
          <w:sz w:val="24"/>
        </w:rPr>
        <w:t xml:space="preserve">знак обслуговуання </w:t>
      </w:r>
      <w:r>
        <w:rPr>
          <w:rStyle w:val="ab"/>
          <w:rFonts w:ascii="Times New Roman" w:hAnsi="Times New Roman"/>
          <w:sz w:val="24"/>
        </w:rPr>
        <w:t>це позначення для відмінності товарів та послуг, які виробляють або надають одні фізичні або юридичні особи, від однорідних товарів та послуг, що виробляють або надають інші фізичні та юридичні особи. У якості товарних знаків можуть бути зареєстровані словесні, образні, об’ємні та інші позначення та їхні комбінації (4, п.8)</w:t>
      </w:r>
    </w:p>
    <w:p w:rsidR="0036147E" w:rsidRDefault="0036147E">
      <w:pPr>
        <w:pStyle w:val="a4"/>
        <w:rPr>
          <w:rStyle w:val="ab"/>
          <w:rFonts w:ascii="Times New Roman" w:hAnsi="Times New Roman"/>
          <w:sz w:val="24"/>
        </w:rPr>
      </w:pPr>
    </w:p>
    <w:p w:rsidR="0036147E" w:rsidRDefault="0015172C">
      <w:pPr>
        <w:pStyle w:val="20"/>
        <w:rPr>
          <w:rStyle w:val="ab"/>
          <w:rFonts w:ascii="Times New Roman" w:hAnsi="Times New Roman"/>
          <w:sz w:val="24"/>
          <w:lang w:val="uk-UA"/>
        </w:rPr>
      </w:pPr>
      <w:bookmarkStart w:id="3" w:name="_Toc439644855"/>
      <w:r>
        <w:rPr>
          <w:rStyle w:val="ab"/>
          <w:rFonts w:ascii="Times New Roman" w:hAnsi="Times New Roman"/>
          <w:sz w:val="24"/>
          <w:lang w:val="uk-UA"/>
        </w:rPr>
        <w:t>2.2. Об’єкти інтелектуальної власності.</w:t>
      </w:r>
      <w:bookmarkEnd w:id="3"/>
    </w:p>
    <w:p w:rsidR="0036147E" w:rsidRDefault="0036147E">
      <w:pPr>
        <w:rPr>
          <w:lang w:val="uk-UA"/>
        </w:rPr>
      </w:pPr>
    </w:p>
    <w:p w:rsidR="0036147E" w:rsidRDefault="0015172C">
      <w:pPr>
        <w:pStyle w:val="a4"/>
        <w:rPr>
          <w:rStyle w:val="ab"/>
          <w:rFonts w:ascii="Times New Roman" w:hAnsi="Times New Roman"/>
          <w:sz w:val="24"/>
        </w:rPr>
      </w:pPr>
      <w:r>
        <w:rPr>
          <w:rStyle w:val="ab"/>
          <w:rFonts w:ascii="Times New Roman" w:hAnsi="Times New Roman"/>
          <w:i/>
          <w:sz w:val="24"/>
          <w:u w:val="single"/>
        </w:rPr>
        <w:t>Інтелектуальна власність</w:t>
      </w:r>
      <w:r>
        <w:rPr>
          <w:rStyle w:val="ab"/>
          <w:rFonts w:ascii="Times New Roman" w:hAnsi="Times New Roman"/>
          <w:sz w:val="24"/>
        </w:rPr>
        <w:t xml:space="preserve"> – юридичне поняття, яке охоплює авторське право та інші права на продукти інтелектуальної діяльності. До об’єктів інтелектуальної власності, зокрема, належать наукові праці, твори літератури та мистецтва, програмні продукти, тощо.</w:t>
      </w:r>
    </w:p>
    <w:p w:rsidR="0036147E" w:rsidRDefault="0015172C">
      <w:pPr>
        <w:pStyle w:val="a4"/>
        <w:rPr>
          <w:rStyle w:val="ab"/>
          <w:rFonts w:ascii="Times New Roman" w:hAnsi="Times New Roman"/>
          <w:sz w:val="24"/>
        </w:rPr>
      </w:pPr>
      <w:r>
        <w:rPr>
          <w:rStyle w:val="ab"/>
          <w:rFonts w:ascii="Times New Roman" w:hAnsi="Times New Roman"/>
          <w:i/>
          <w:sz w:val="24"/>
        </w:rPr>
        <w:t xml:space="preserve">Програмне забезпечення ЕОМ </w:t>
      </w:r>
      <w:r>
        <w:rPr>
          <w:rStyle w:val="ab"/>
          <w:rFonts w:ascii="Times New Roman" w:hAnsi="Times New Roman"/>
          <w:sz w:val="24"/>
        </w:rPr>
        <w:t>– сукупність однієї або більше програм або мікропрограм в будь-якому істотному вигляді (7, поз. 11.11.1.2.) Програмне забезпечення поділяють на загальне та спеціальне.</w:t>
      </w:r>
    </w:p>
    <w:p w:rsidR="0036147E" w:rsidRDefault="0015172C">
      <w:pPr>
        <w:pStyle w:val="a4"/>
        <w:rPr>
          <w:rStyle w:val="ab"/>
          <w:rFonts w:ascii="Times New Roman" w:hAnsi="Times New Roman"/>
          <w:sz w:val="24"/>
        </w:rPr>
      </w:pPr>
      <w:r>
        <w:rPr>
          <w:rStyle w:val="ab"/>
          <w:rFonts w:ascii="Times New Roman" w:hAnsi="Times New Roman"/>
          <w:i/>
          <w:sz w:val="24"/>
        </w:rPr>
        <w:t xml:space="preserve">База даних </w:t>
      </w:r>
      <w:r>
        <w:rPr>
          <w:rStyle w:val="ab"/>
          <w:rFonts w:ascii="Times New Roman" w:hAnsi="Times New Roman"/>
          <w:sz w:val="24"/>
        </w:rPr>
        <w:t>– сукупність даних, матеріалів або витворів у формі, що читається машиною (8, ст.4).</w:t>
      </w:r>
    </w:p>
    <w:p w:rsidR="0036147E" w:rsidRDefault="0015172C">
      <w:pPr>
        <w:pStyle w:val="a4"/>
        <w:rPr>
          <w:rStyle w:val="ab"/>
          <w:rFonts w:ascii="Times New Roman" w:hAnsi="Times New Roman"/>
          <w:sz w:val="24"/>
        </w:rPr>
      </w:pPr>
      <w:r>
        <w:rPr>
          <w:rStyle w:val="ab"/>
          <w:rFonts w:ascii="Times New Roman" w:hAnsi="Times New Roman"/>
          <w:i/>
          <w:sz w:val="24"/>
        </w:rPr>
        <w:t xml:space="preserve">База знань </w:t>
      </w:r>
      <w:r>
        <w:rPr>
          <w:rStyle w:val="ab"/>
          <w:rFonts w:ascii="Times New Roman" w:hAnsi="Times New Roman"/>
          <w:sz w:val="24"/>
        </w:rPr>
        <w:t>– сукупність систематизованих відомостей, що відносяться до певної галузі знань та можуть бути прочитані ЕОМ.</w:t>
      </w:r>
    </w:p>
    <w:p w:rsidR="0036147E" w:rsidRDefault="0036147E">
      <w:pPr>
        <w:pStyle w:val="a4"/>
        <w:rPr>
          <w:rStyle w:val="ab"/>
          <w:rFonts w:ascii="Times New Roman" w:hAnsi="Times New Roman"/>
          <w:sz w:val="24"/>
        </w:rPr>
      </w:pPr>
    </w:p>
    <w:p w:rsidR="0036147E" w:rsidRDefault="0015172C">
      <w:pPr>
        <w:pStyle w:val="20"/>
        <w:rPr>
          <w:rStyle w:val="ab"/>
          <w:rFonts w:ascii="Times New Roman" w:hAnsi="Times New Roman"/>
          <w:sz w:val="24"/>
          <w:lang w:val="uk-UA"/>
        </w:rPr>
      </w:pPr>
      <w:bookmarkStart w:id="4" w:name="_Toc439644856"/>
      <w:r>
        <w:rPr>
          <w:rStyle w:val="ab"/>
          <w:rFonts w:ascii="Times New Roman" w:hAnsi="Times New Roman"/>
          <w:sz w:val="24"/>
          <w:lang w:val="uk-UA"/>
        </w:rPr>
        <w:t xml:space="preserve">2.3. </w:t>
      </w:r>
      <w:r>
        <w:rPr>
          <w:rStyle w:val="ab"/>
          <w:rFonts w:ascii="Times New Roman" w:hAnsi="Times New Roman"/>
          <w:sz w:val="24"/>
        </w:rPr>
        <w:t>Інші нематеріальні ресурси:</w:t>
      </w:r>
      <w:bookmarkEnd w:id="4"/>
    </w:p>
    <w:p w:rsidR="0036147E" w:rsidRDefault="0036147E">
      <w:pPr>
        <w:rPr>
          <w:lang w:val="uk-UA"/>
        </w:rPr>
      </w:pPr>
    </w:p>
    <w:p w:rsidR="0036147E" w:rsidRDefault="0015172C">
      <w:pPr>
        <w:pStyle w:val="a4"/>
        <w:rPr>
          <w:rStyle w:val="ab"/>
          <w:rFonts w:ascii="Times New Roman" w:hAnsi="Times New Roman"/>
          <w:sz w:val="24"/>
        </w:rPr>
      </w:pPr>
      <w:r>
        <w:rPr>
          <w:rStyle w:val="ab"/>
          <w:rFonts w:ascii="Times New Roman" w:hAnsi="Times New Roman"/>
          <w:sz w:val="24"/>
        </w:rPr>
        <w:t>Під</w:t>
      </w:r>
      <w:r>
        <w:rPr>
          <w:rStyle w:val="ab"/>
          <w:rFonts w:ascii="Times New Roman" w:hAnsi="Times New Roman"/>
          <w:i/>
          <w:sz w:val="24"/>
        </w:rPr>
        <w:t xml:space="preserve"> ноу-хау </w:t>
      </w:r>
      <w:r>
        <w:rPr>
          <w:rStyle w:val="ab"/>
          <w:rFonts w:ascii="Times New Roman" w:hAnsi="Times New Roman"/>
          <w:sz w:val="24"/>
        </w:rPr>
        <w:t xml:space="preserve">розуміють: </w:t>
      </w:r>
      <w:r>
        <w:rPr>
          <w:rStyle w:val="ab"/>
          <w:rFonts w:ascii="Times New Roman" w:hAnsi="Times New Roman"/>
          <w:sz w:val="24"/>
        </w:rPr>
        <w:noBreakHyphen/>
        <w:t xml:space="preserve"> різного роду технічні зання та досвід, що не мають правової охорони за кордоном, включаючи методи, засоби та навички, що необхідні для проведення проектування, розрахунків, будівництва та виготовлення будь-яких об</w:t>
      </w:r>
      <w:r>
        <w:rPr>
          <w:rStyle w:val="ab"/>
          <w:rFonts w:ascii="Times New Roman" w:hAnsi="Times New Roman"/>
          <w:sz w:val="24"/>
          <w:lang w:val="en-US"/>
        </w:rPr>
        <w:t>’</w:t>
      </w:r>
      <w:r>
        <w:rPr>
          <w:rStyle w:val="ab"/>
          <w:rFonts w:ascii="Times New Roman" w:hAnsi="Times New Roman"/>
          <w:sz w:val="24"/>
        </w:rPr>
        <w:t xml:space="preserve">єктів та виробів науково-дослідницьких, дослідно-конструкторських, пуско-наладочних та т.і. робіт; розробки та використання технологічних процесів; склади та рецептури матеріалів, речовин, сплавів та т.і.; методи та способи лікування, пошуку та видобутку корисних копалин; </w:t>
      </w:r>
      <w:r>
        <w:rPr>
          <w:rStyle w:val="ab"/>
          <w:rFonts w:ascii="Times New Roman" w:hAnsi="Times New Roman"/>
          <w:sz w:val="24"/>
        </w:rPr>
        <w:noBreakHyphen/>
        <w:t xml:space="preserve"> знання та досвід адміністративного, економічного та іншого порядку, такі що не є загальновідомими та можуть бути практично застосовані у виробничій та хазяйській діяльності (9, п.1.3).</w:t>
      </w:r>
    </w:p>
    <w:p w:rsidR="0036147E" w:rsidRDefault="0015172C">
      <w:pPr>
        <w:pStyle w:val="a4"/>
        <w:rPr>
          <w:rStyle w:val="ab"/>
          <w:rFonts w:ascii="Times New Roman" w:hAnsi="Times New Roman"/>
          <w:sz w:val="24"/>
        </w:rPr>
      </w:pPr>
      <w:r>
        <w:rPr>
          <w:rStyle w:val="ab"/>
          <w:rFonts w:ascii="Times New Roman" w:hAnsi="Times New Roman"/>
          <w:i/>
          <w:sz w:val="24"/>
        </w:rPr>
        <w:t xml:space="preserve">Раціоналізаторською </w:t>
      </w:r>
      <w:r>
        <w:rPr>
          <w:rStyle w:val="ab"/>
          <w:rFonts w:ascii="Times New Roman" w:hAnsi="Times New Roman"/>
          <w:sz w:val="24"/>
        </w:rPr>
        <w:t xml:space="preserve">признається </w:t>
      </w:r>
      <w:r>
        <w:rPr>
          <w:rStyle w:val="ab"/>
          <w:rFonts w:ascii="Times New Roman" w:hAnsi="Times New Roman"/>
          <w:i/>
          <w:sz w:val="24"/>
        </w:rPr>
        <w:t>пропозиція</w:t>
      </w:r>
      <w:r>
        <w:rPr>
          <w:rStyle w:val="ab"/>
          <w:rFonts w:ascii="Times New Roman" w:hAnsi="Times New Roman"/>
          <w:sz w:val="24"/>
        </w:rPr>
        <w:t>, що є новою та корисною для підприємства, якому її продано, та передбачає створення та зміну конструкції виробів, технології виробництва та техніки, що застосовується, або складу матеріалу. Раціоналізаторська пропозиція є новою для підприємства, якому її продано, якщо згідно до існуючих на даному підприємстві джерел інформації ця або тотожня поданій пропозиція не була відома у степені, достатній для її практичного використання. Раціоналізаторська пропозиція є корисною для підприємства, якому її продано, якщо її використання дає можливість підвищити економічну ефективність чи отримати інший позитивний ефект цим підприємством. Не признаються раціоналізаторськими пропозиції, що знижують надійність та інші показники якості продукції чи погіршують умови праці, а також викликають або збільшують рівень забруднення оточуючого природного середовища (4, п.9).</w:t>
      </w:r>
    </w:p>
    <w:p w:rsidR="0036147E" w:rsidRDefault="0015172C">
      <w:pPr>
        <w:pStyle w:val="a4"/>
        <w:rPr>
          <w:rStyle w:val="ab"/>
          <w:rFonts w:ascii="Times New Roman" w:hAnsi="Times New Roman"/>
          <w:sz w:val="24"/>
        </w:rPr>
      </w:pPr>
      <w:r>
        <w:rPr>
          <w:rStyle w:val="ab"/>
          <w:rFonts w:ascii="Times New Roman" w:hAnsi="Times New Roman"/>
          <w:sz w:val="24"/>
        </w:rPr>
        <w:t xml:space="preserve">Позначення, елементом якого є </w:t>
      </w:r>
      <w:r>
        <w:rPr>
          <w:rStyle w:val="ab"/>
          <w:rFonts w:ascii="Times New Roman" w:hAnsi="Times New Roman"/>
          <w:i/>
          <w:sz w:val="24"/>
        </w:rPr>
        <w:t>найменування місця походження</w:t>
      </w:r>
      <w:r>
        <w:rPr>
          <w:rStyle w:val="ab"/>
          <w:rFonts w:ascii="Times New Roman" w:hAnsi="Times New Roman"/>
          <w:sz w:val="24"/>
        </w:rPr>
        <w:t>, може бути зареєстроване у якості товарного знаку у випадку подання заявником документу, що підтверджує його право на використання найменування місця походження, до реєструючої організації. Під найменуванням місця походження розуміють географічну назву країни або місцевості (області), що використовується для позначення товару, що походить з цієї країни або місцевості (області), якщо властивості або особливості цього товару винятково або істотним чином визначаються характерними для цієї країни або місцевості (області) природними умовами та/або людськими факторами. Наприклад: “Біломорські візерунки”, “Палех”. Найменування місця походження реєструються у якості товарних знаків (10, п.3.1.6).</w:t>
      </w:r>
    </w:p>
    <w:p w:rsidR="0036147E" w:rsidRDefault="0015172C">
      <w:pPr>
        <w:pStyle w:val="a4"/>
        <w:rPr>
          <w:rStyle w:val="ab"/>
          <w:rFonts w:ascii="Times New Roman" w:hAnsi="Times New Roman"/>
          <w:sz w:val="24"/>
        </w:rPr>
      </w:pPr>
      <w:r>
        <w:rPr>
          <w:rStyle w:val="ab"/>
          <w:rFonts w:ascii="Times New Roman" w:hAnsi="Times New Roman"/>
          <w:i/>
          <w:sz w:val="24"/>
        </w:rPr>
        <w:t xml:space="preserve">Гудвіл </w:t>
      </w:r>
      <w:r>
        <w:rPr>
          <w:rStyle w:val="ab"/>
          <w:rFonts w:ascii="Times New Roman" w:hAnsi="Times New Roman"/>
          <w:sz w:val="24"/>
        </w:rPr>
        <w:noBreakHyphen/>
        <w:t xml:space="preserve"> нематеріальний актив, вартість якого визначається як різниця між балансовою вартістю активів підприємства та його звичайною вартістю, як цілісного майнового комплексу, що виникає внаслідок використання кращих управлінських якостей, домінуючої позиції на ринку товарів (робіт, послуг), нових технологій тощо. Вартість гудвілу не підлягає амортизації і не враховується у визначенні валових витрат платника податку (1, ст.1).</w:t>
      </w:r>
    </w:p>
    <w:p w:rsidR="0036147E" w:rsidRDefault="0015172C">
      <w:pPr>
        <w:pStyle w:val="1"/>
      </w:pPr>
      <w:r>
        <w:br w:type="page"/>
      </w:r>
      <w:bookmarkStart w:id="5" w:name="_Toc439644857"/>
      <w:r>
        <w:t>СКЛАД НЕМАТЕРІАЛЬНИХ АКТИВІВ</w:t>
      </w:r>
      <w:bookmarkEnd w:id="5"/>
    </w:p>
    <w:p w:rsidR="0036147E" w:rsidRDefault="0015172C">
      <w:pPr>
        <w:pStyle w:val="a4"/>
        <w:rPr>
          <w:rStyle w:val="ab"/>
          <w:rFonts w:ascii="Times New Roman" w:hAnsi="Times New Roman"/>
          <w:sz w:val="24"/>
        </w:rPr>
      </w:pPr>
      <w:r>
        <w:rPr>
          <w:rStyle w:val="ab"/>
          <w:rFonts w:ascii="Times New Roman" w:hAnsi="Times New Roman"/>
          <w:sz w:val="24"/>
        </w:rPr>
        <w:t xml:space="preserve">Згідно з означенням (1, ст.1.2) </w:t>
      </w:r>
      <w:r>
        <w:rPr>
          <w:rStyle w:val="ab"/>
          <w:rFonts w:ascii="Times New Roman" w:hAnsi="Times New Roman"/>
          <w:i/>
          <w:sz w:val="24"/>
        </w:rPr>
        <w:t>нематеріальний актив</w:t>
      </w:r>
      <w:r>
        <w:rPr>
          <w:rStyle w:val="ab"/>
          <w:rFonts w:ascii="Times New Roman" w:hAnsi="Times New Roman"/>
          <w:sz w:val="24"/>
        </w:rPr>
        <w:t xml:space="preserve"> </w:t>
      </w:r>
      <w:r>
        <w:rPr>
          <w:rStyle w:val="ab"/>
          <w:rFonts w:ascii="Times New Roman" w:hAnsi="Times New Roman"/>
          <w:sz w:val="24"/>
        </w:rPr>
        <w:noBreakHyphen/>
        <w:t xml:space="preserve"> об'єкти інтелектуальної, в тому числі промислової власності, а також інші аналогічні права, визнані у порядку, встановленому відповідним законодавством, об'єктом права власності платника податку.</w:t>
      </w:r>
    </w:p>
    <w:p w:rsidR="0036147E" w:rsidRDefault="0036147E">
      <w:pPr>
        <w:pStyle w:val="a4"/>
        <w:rPr>
          <w:rStyle w:val="ab"/>
          <w:rFonts w:ascii="Times New Roman" w:hAnsi="Times New Roman"/>
          <w:sz w:val="24"/>
        </w:rPr>
      </w:pPr>
    </w:p>
    <w:p w:rsidR="0036147E" w:rsidRDefault="0015172C">
      <w:pPr>
        <w:pStyle w:val="a4"/>
        <w:rPr>
          <w:rStyle w:val="ab"/>
          <w:rFonts w:ascii="Times New Roman" w:hAnsi="Times New Roman"/>
          <w:sz w:val="24"/>
        </w:rPr>
      </w:pPr>
      <w:r>
        <w:rPr>
          <w:rStyle w:val="ab"/>
        </w:rPr>
        <w:object w:dxaOrig="5740" w:dyaOrig="1060">
          <v:shape id="_x0000_i1026" type="#_x0000_t75" style="width:447.75pt;height:82.5pt" o:ole="" fillcolor="window">
            <v:imagedata r:id="rId9" o:title=""/>
          </v:shape>
          <o:OLEObject Type="Embed" ProgID="OrgPlusWOPX.4" ShapeID="_x0000_i1026" DrawAspect="Content" ObjectID="_1469611283" r:id="rId10"/>
        </w:object>
      </w:r>
    </w:p>
    <w:p w:rsidR="0036147E" w:rsidRDefault="0036147E">
      <w:pPr>
        <w:pStyle w:val="a4"/>
        <w:rPr>
          <w:rStyle w:val="ab"/>
          <w:rFonts w:ascii="Times New Roman" w:hAnsi="Times New Roman"/>
          <w:sz w:val="24"/>
        </w:rPr>
      </w:pPr>
    </w:p>
    <w:p w:rsidR="0036147E" w:rsidRDefault="0015172C">
      <w:pPr>
        <w:pStyle w:val="ad"/>
        <w:tabs>
          <w:tab w:val="clear" w:pos="9590"/>
        </w:tabs>
        <w:ind w:firstLine="851"/>
        <w:rPr>
          <w:rStyle w:val="ab"/>
          <w:rFonts w:ascii="Times New Roman" w:hAnsi="Times New Roman"/>
          <w:color w:val="000000"/>
          <w:sz w:val="24"/>
        </w:rPr>
      </w:pPr>
      <w:r>
        <w:rPr>
          <w:rStyle w:val="ab"/>
          <w:rFonts w:ascii="Times New Roman" w:hAnsi="Times New Roman"/>
          <w:color w:val="000000"/>
          <w:sz w:val="24"/>
        </w:rPr>
        <w:t>Далі наведемо за (11, ст.2):</w:t>
      </w:r>
    </w:p>
    <w:p w:rsidR="0036147E" w:rsidRDefault="0036147E">
      <w:pPr>
        <w:pStyle w:val="ad"/>
        <w:tabs>
          <w:tab w:val="clear" w:pos="9590"/>
        </w:tabs>
        <w:ind w:firstLine="851"/>
        <w:rPr>
          <w:rStyle w:val="ab"/>
          <w:rFonts w:ascii="Times New Roman" w:hAnsi="Times New Roman"/>
          <w:color w:val="000000"/>
          <w:sz w:val="24"/>
        </w:rPr>
      </w:pPr>
    </w:p>
    <w:p w:rsidR="0036147E" w:rsidRDefault="0015172C">
      <w:pPr>
        <w:pStyle w:val="ad"/>
        <w:tabs>
          <w:tab w:val="clear" w:pos="9590"/>
        </w:tabs>
        <w:ind w:firstLine="851"/>
        <w:jc w:val="both"/>
        <w:rPr>
          <w:rStyle w:val="ab"/>
          <w:rFonts w:ascii="Times New Roman" w:hAnsi="Times New Roman"/>
          <w:color w:val="000000"/>
          <w:sz w:val="24"/>
          <w:lang w:val="uk-UA"/>
        </w:rPr>
      </w:pPr>
      <w:r>
        <w:rPr>
          <w:rStyle w:val="ab"/>
          <w:rFonts w:ascii="Times New Roman" w:hAnsi="Times New Roman"/>
          <w:color w:val="000000"/>
          <w:sz w:val="24"/>
          <w:u w:val="double"/>
          <w:lang w:val="uk-UA"/>
        </w:rPr>
        <w:t>Види та характеристики нематеріальних активів</w:t>
      </w:r>
      <w:r>
        <w:rPr>
          <w:rStyle w:val="ab"/>
          <w:rFonts w:ascii="Times New Roman" w:hAnsi="Times New Roman"/>
          <w:color w:val="000000"/>
          <w:sz w:val="24"/>
          <w:lang w:val="uk-UA"/>
        </w:rPr>
        <w:t>:</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7. </w:t>
      </w:r>
      <w:r>
        <w:rPr>
          <w:rStyle w:val="ab"/>
          <w:rFonts w:ascii="Times New Roman" w:hAnsi="Times New Roman"/>
          <w:i/>
          <w:color w:val="000000"/>
          <w:sz w:val="24"/>
          <w:lang w:val="uk-UA"/>
        </w:rPr>
        <w:t>Нематеріальні активи</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об'єкти права інтелектуальної власності, інші об'єкти права власності та користування.</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8. До нематеріальних активів </w:t>
      </w:r>
      <w:r>
        <w:rPr>
          <w:rStyle w:val="ab"/>
          <w:rFonts w:ascii="Times New Roman" w:hAnsi="Times New Roman"/>
          <w:color w:val="000000"/>
          <w:sz w:val="24"/>
          <w:lang w:val="uk-UA"/>
        </w:rPr>
        <w:noBreakHyphen/>
        <w:t xml:space="preserve"> </w:t>
      </w:r>
      <w:r>
        <w:rPr>
          <w:rStyle w:val="ab"/>
          <w:rFonts w:ascii="Times New Roman" w:hAnsi="Times New Roman"/>
          <w:color w:val="000000"/>
          <w:sz w:val="24"/>
          <w:u w:val="single"/>
          <w:lang w:val="uk-UA"/>
        </w:rPr>
        <w:t>об'єктів права інтелектуальної власноcті</w:t>
      </w:r>
      <w:r>
        <w:rPr>
          <w:rStyle w:val="ab"/>
          <w:rFonts w:ascii="Times New Roman" w:hAnsi="Times New Roman"/>
          <w:color w:val="000000"/>
          <w:sz w:val="24"/>
          <w:lang w:val="uk-UA"/>
        </w:rPr>
        <w:t>, належать:</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8.1. </w:t>
      </w:r>
      <w:r>
        <w:rPr>
          <w:rStyle w:val="ab"/>
          <w:rFonts w:ascii="Times New Roman" w:hAnsi="Times New Roman"/>
          <w:i/>
          <w:color w:val="000000"/>
          <w:sz w:val="24"/>
          <w:lang w:val="uk-UA"/>
        </w:rPr>
        <w:t>Право власності на винахід.</w:t>
      </w:r>
      <w:r>
        <w:rPr>
          <w:rStyle w:val="ab"/>
          <w:rFonts w:ascii="Times New Roman" w:hAnsi="Times New Roman"/>
          <w:color w:val="000000"/>
          <w:sz w:val="24"/>
          <w:lang w:val="uk-UA"/>
        </w:rPr>
        <w:t xml:space="preserve"> Право власності на винахід засвідчується патентом. Об'єктом винаходу може бути: продукт (пристрій, речовина, штам мікроорганізму, культура клітин рослини і тварини); спосіб.</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8.2. </w:t>
      </w:r>
      <w:r>
        <w:rPr>
          <w:rStyle w:val="ab"/>
          <w:rFonts w:ascii="Times New Roman" w:hAnsi="Times New Roman"/>
          <w:i/>
          <w:color w:val="000000"/>
          <w:sz w:val="24"/>
          <w:lang w:val="uk-UA"/>
        </w:rPr>
        <w:t>Право власності на корисну модель.</w:t>
      </w:r>
      <w:r>
        <w:rPr>
          <w:rStyle w:val="ab"/>
          <w:rFonts w:ascii="Times New Roman" w:hAnsi="Times New Roman"/>
          <w:color w:val="000000"/>
          <w:sz w:val="24"/>
          <w:lang w:val="uk-UA"/>
        </w:rPr>
        <w:t xml:space="preserve"> Право власності на корисну модель засвідчується патентом. Об'єктом корисної моделі може бути конструктивне виконання</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пристрою.</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8.3. </w:t>
      </w:r>
      <w:r>
        <w:rPr>
          <w:rStyle w:val="ab"/>
          <w:rFonts w:ascii="Times New Roman" w:hAnsi="Times New Roman"/>
          <w:i/>
          <w:color w:val="000000"/>
          <w:sz w:val="24"/>
          <w:lang w:val="uk-UA"/>
        </w:rPr>
        <w:t>Право власності на промисловий зразок.</w:t>
      </w:r>
      <w:r>
        <w:rPr>
          <w:rStyle w:val="ab"/>
          <w:rFonts w:ascii="Times New Roman" w:hAnsi="Times New Roman"/>
          <w:color w:val="000000"/>
          <w:sz w:val="24"/>
          <w:lang w:val="uk-UA"/>
        </w:rPr>
        <w:t xml:space="preserve"> Право власності на промисловий зразок засвідчується патентом. Об'єктом промислового зразка може бути форма, малюнок чи розфарбування або їх поєднання, які визначають зовнішній вигляд промислового виробу і призначені для задоволення естетичних та ергономічних потреб.</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8.4. </w:t>
      </w:r>
      <w:r>
        <w:rPr>
          <w:rStyle w:val="ab"/>
          <w:rFonts w:ascii="Times New Roman" w:hAnsi="Times New Roman"/>
          <w:i/>
          <w:color w:val="000000"/>
          <w:sz w:val="24"/>
          <w:lang w:val="uk-UA"/>
        </w:rPr>
        <w:t>Право власності на знаки для товарів і послуг.</w:t>
      </w:r>
      <w:r>
        <w:rPr>
          <w:rStyle w:val="ab"/>
          <w:rFonts w:ascii="Times New Roman" w:hAnsi="Times New Roman"/>
          <w:color w:val="000000"/>
          <w:sz w:val="24"/>
          <w:lang w:val="uk-UA"/>
        </w:rPr>
        <w:t xml:space="preserve"> Право власності на знаки для товарів і послуг засвідчується свідоцтвом. Об'єктом права власності на знак можуть бути словесні, зображувальні, об'ємні та інші позначення або їх комбінації, виконані у будь-якому кольорі чи поєднанні кольорів.</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8.5. </w:t>
      </w:r>
      <w:r>
        <w:rPr>
          <w:rStyle w:val="ab"/>
          <w:rFonts w:ascii="Times New Roman" w:hAnsi="Times New Roman"/>
          <w:i/>
          <w:color w:val="000000"/>
          <w:sz w:val="24"/>
          <w:lang w:val="uk-UA"/>
        </w:rPr>
        <w:t>Право власності на сорт рослин.</w:t>
      </w:r>
      <w:r>
        <w:rPr>
          <w:rStyle w:val="ab"/>
          <w:rFonts w:ascii="Times New Roman" w:hAnsi="Times New Roman"/>
          <w:color w:val="000000"/>
          <w:sz w:val="24"/>
          <w:lang w:val="uk-UA"/>
        </w:rPr>
        <w:t xml:space="preserve"> Право власності на сорт засвідчується патентом. Патент на сорт засвідчує авторство на сорт і виключне право на його використання. Перелік родів і видів рослин, на сорти яких видаються патенти, визначається Кабінетом Міністрів України.</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8.6. </w:t>
      </w:r>
      <w:r>
        <w:rPr>
          <w:rStyle w:val="ab"/>
          <w:rFonts w:ascii="Times New Roman" w:hAnsi="Times New Roman"/>
          <w:i/>
          <w:color w:val="000000"/>
          <w:sz w:val="24"/>
          <w:lang w:val="uk-UA"/>
        </w:rPr>
        <w:t>Право власності на фірмове найменування.</w:t>
      </w:r>
      <w:r>
        <w:rPr>
          <w:rStyle w:val="ab"/>
          <w:rFonts w:ascii="Times New Roman" w:hAnsi="Times New Roman"/>
          <w:color w:val="000000"/>
          <w:sz w:val="24"/>
          <w:lang w:val="uk-UA"/>
        </w:rPr>
        <w:t xml:space="preserve"> Юридична особа має своє найменування. Право і обов'язки господарських організацій, пов'язані з користуванням фірмовим найменуванням, виробничими марками і товарними знаками, що визначаються діючим законодавством.</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8.7. </w:t>
      </w:r>
      <w:r>
        <w:rPr>
          <w:rStyle w:val="ab"/>
          <w:rFonts w:ascii="Times New Roman" w:hAnsi="Times New Roman"/>
          <w:i/>
          <w:color w:val="000000"/>
          <w:sz w:val="24"/>
          <w:lang w:val="uk-UA"/>
        </w:rPr>
        <w:t xml:space="preserve">Право власності на програми для ЕОМ. </w:t>
      </w:r>
      <w:r>
        <w:rPr>
          <w:rStyle w:val="ab"/>
          <w:rFonts w:ascii="Times New Roman" w:hAnsi="Times New Roman"/>
          <w:color w:val="000000"/>
          <w:sz w:val="24"/>
          <w:lang w:val="uk-UA"/>
        </w:rPr>
        <w:t>Право на публікування, відтворювання, розповсюдження та інші дії по введенню в господарський обіг сукупності даних та команд, що призначені для функціонування ЕОМ та інших комп'ютерних пристроїв з метою отримання певного результату.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8.8. </w:t>
      </w:r>
      <w:r>
        <w:rPr>
          <w:rStyle w:val="ab"/>
          <w:rFonts w:ascii="Times New Roman" w:hAnsi="Times New Roman"/>
          <w:i/>
          <w:color w:val="000000"/>
          <w:sz w:val="24"/>
          <w:lang w:val="uk-UA"/>
        </w:rPr>
        <w:t>Право власності на базу даних.</w:t>
      </w:r>
      <w:r>
        <w:rPr>
          <w:rStyle w:val="ab"/>
          <w:rFonts w:ascii="Times New Roman" w:hAnsi="Times New Roman"/>
          <w:color w:val="000000"/>
          <w:sz w:val="24"/>
          <w:lang w:val="uk-UA"/>
        </w:rPr>
        <w:t xml:space="preserve"> Право на публікування, відтворювання, розповсюджування та інші дії по введенню у господарський обіг сукупності даних (статей, розрахунків, тощо), які систематизовані для пошуку і обробки за допомогою ЕОМ.</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8.9. </w:t>
      </w:r>
      <w:r>
        <w:rPr>
          <w:rStyle w:val="ab"/>
          <w:rFonts w:ascii="Times New Roman" w:hAnsi="Times New Roman"/>
          <w:i/>
          <w:color w:val="000000"/>
          <w:sz w:val="24"/>
          <w:lang w:val="uk-UA"/>
        </w:rPr>
        <w:t>Право власності на науково-технічну інформацію.</w:t>
      </w:r>
      <w:r>
        <w:rPr>
          <w:rStyle w:val="ab"/>
          <w:rFonts w:ascii="Times New Roman" w:hAnsi="Times New Roman"/>
          <w:color w:val="000000"/>
          <w:sz w:val="24"/>
          <w:lang w:val="uk-UA"/>
        </w:rPr>
        <w:t xml:space="preserve"> Об'єктом науково-технічної інформації можуть бути: результати науково-технічних, виробничих робіт та іншої науково-технічної діяльності, що зафіксовані у формі, яка забезпечує їх відтворення, використання та поширення.</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9. До нематеріальних активів - </w:t>
      </w:r>
      <w:r>
        <w:rPr>
          <w:rStyle w:val="ab"/>
          <w:rFonts w:ascii="Times New Roman" w:hAnsi="Times New Roman"/>
          <w:color w:val="000000"/>
          <w:sz w:val="24"/>
          <w:u w:val="single"/>
          <w:lang w:val="uk-UA"/>
        </w:rPr>
        <w:t>об'єктів права користування ресурсами природного середовища</w:t>
      </w:r>
      <w:r>
        <w:rPr>
          <w:rStyle w:val="ab"/>
          <w:rFonts w:ascii="Times New Roman" w:hAnsi="Times New Roman"/>
          <w:color w:val="000000"/>
          <w:sz w:val="24"/>
          <w:lang w:val="uk-UA"/>
        </w:rPr>
        <w:t>, належать:</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9.1. </w:t>
      </w:r>
      <w:r>
        <w:rPr>
          <w:rStyle w:val="ab"/>
          <w:rFonts w:ascii="Times New Roman" w:hAnsi="Times New Roman"/>
          <w:i/>
          <w:color w:val="000000"/>
          <w:sz w:val="24"/>
          <w:lang w:val="uk-UA"/>
        </w:rPr>
        <w:t>Право користування земельною ділянкою.</w:t>
      </w:r>
      <w:r>
        <w:rPr>
          <w:rStyle w:val="ab"/>
          <w:rFonts w:ascii="Times New Roman" w:hAnsi="Times New Roman"/>
          <w:color w:val="000000"/>
          <w:sz w:val="24"/>
          <w:lang w:val="uk-UA"/>
        </w:rPr>
        <w:t xml:space="preserve"> Право покупця на подальше господарське або інше використання земельної ділянки. До цього права належить також право оренди земельної ділянки.</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9.2. </w:t>
      </w:r>
      <w:r>
        <w:rPr>
          <w:rStyle w:val="ab"/>
          <w:rFonts w:ascii="Times New Roman" w:hAnsi="Times New Roman"/>
          <w:i/>
          <w:color w:val="000000"/>
          <w:sz w:val="24"/>
          <w:lang w:val="uk-UA"/>
        </w:rPr>
        <w:t>Право користування надрами.</w:t>
      </w:r>
      <w:r>
        <w:rPr>
          <w:rStyle w:val="ab"/>
          <w:rFonts w:ascii="Times New Roman" w:hAnsi="Times New Roman"/>
          <w:color w:val="000000"/>
          <w:sz w:val="24"/>
          <w:lang w:val="uk-UA"/>
        </w:rPr>
        <w:t xml:space="preserve"> Право користування надрами, у тому числі на розробку корисних копалин.</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9.3. </w:t>
      </w:r>
      <w:r>
        <w:rPr>
          <w:rStyle w:val="ab"/>
          <w:rFonts w:ascii="Times New Roman" w:hAnsi="Times New Roman"/>
          <w:i/>
          <w:color w:val="000000"/>
          <w:sz w:val="24"/>
          <w:lang w:val="uk-UA"/>
        </w:rPr>
        <w:t>Право на користування геологічною та іншою інформацією про природне середовище.</w:t>
      </w:r>
      <w:r>
        <w:rPr>
          <w:rStyle w:val="ab"/>
          <w:rFonts w:ascii="Times New Roman" w:hAnsi="Times New Roman"/>
          <w:color w:val="000000"/>
          <w:sz w:val="24"/>
          <w:lang w:val="uk-UA"/>
        </w:rPr>
        <w:t xml:space="preserve"> Право на використання геологічної, геоморфологічної та іншої інформації про стан та можливості господарського використання елементів природного середовища, природного середовища в цілому, яка міститься в звітах, картах та інших матеріалах.</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9.4. </w:t>
      </w:r>
      <w:r>
        <w:rPr>
          <w:rStyle w:val="ab"/>
          <w:rFonts w:ascii="Times New Roman" w:hAnsi="Times New Roman"/>
          <w:i/>
          <w:color w:val="000000"/>
          <w:sz w:val="24"/>
          <w:lang w:val="uk-UA"/>
        </w:rPr>
        <w:t xml:space="preserve">Право на користування іншими ресурсами природного середовища. </w:t>
      </w:r>
      <w:r>
        <w:rPr>
          <w:rStyle w:val="ab"/>
          <w:rFonts w:ascii="Times New Roman" w:hAnsi="Times New Roman"/>
          <w:color w:val="000000"/>
          <w:sz w:val="24"/>
          <w:lang w:val="uk-UA"/>
        </w:rPr>
        <w:t>Право на використання водних, біологічних та інших ресурсів, яке будь-яким чином впливає на рівень екологічної безпеки життєдіяльності підприємства, населеного пункту, регіону, тощо.</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10. До нематеріальних активів </w:t>
      </w:r>
      <w:r>
        <w:rPr>
          <w:rStyle w:val="ab"/>
          <w:rFonts w:ascii="Times New Roman" w:hAnsi="Times New Roman"/>
          <w:color w:val="000000"/>
          <w:sz w:val="24"/>
          <w:u w:val="single"/>
          <w:lang w:val="uk-UA"/>
        </w:rPr>
        <w:t>об'єктів права користування економічними, організаційними та іншими вигодами</w:t>
      </w:r>
      <w:r>
        <w:rPr>
          <w:rStyle w:val="ab"/>
          <w:rFonts w:ascii="Times New Roman" w:hAnsi="Times New Roman"/>
          <w:color w:val="000000"/>
          <w:sz w:val="24"/>
          <w:lang w:val="uk-UA"/>
        </w:rPr>
        <w:t>, належать:</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10.1. </w:t>
      </w:r>
      <w:r>
        <w:rPr>
          <w:rStyle w:val="ab"/>
          <w:rFonts w:ascii="Times New Roman" w:hAnsi="Times New Roman"/>
          <w:i/>
          <w:color w:val="000000"/>
          <w:sz w:val="24"/>
          <w:lang w:val="uk-UA"/>
        </w:rPr>
        <w:t>Економічні вигоди від користування монопольним положенням ринку</w:t>
      </w:r>
      <w:r>
        <w:rPr>
          <w:rStyle w:val="ab"/>
          <w:rFonts w:ascii="Times New Roman" w:hAnsi="Times New Roman"/>
          <w:color w:val="000000"/>
          <w:sz w:val="24"/>
          <w:lang w:val="uk-UA"/>
        </w:rPr>
        <w:t>. Факт монопольного панування на ринку виробництва товарів та здійснення послуг. Визначається на підставі інформації, наданої Антимонопольним комітетом України.</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10.2. </w:t>
      </w:r>
      <w:r>
        <w:rPr>
          <w:rStyle w:val="ab"/>
          <w:rFonts w:ascii="Times New Roman" w:hAnsi="Times New Roman"/>
          <w:i/>
          <w:color w:val="000000"/>
          <w:sz w:val="24"/>
          <w:lang w:val="uk-UA"/>
        </w:rPr>
        <w:t>Права на використання економічних та інших привілей.</w:t>
      </w:r>
      <w:r>
        <w:rPr>
          <w:rStyle w:val="ab"/>
          <w:rFonts w:ascii="Times New Roman" w:hAnsi="Times New Roman"/>
          <w:color w:val="000000"/>
          <w:sz w:val="24"/>
          <w:lang w:val="uk-UA"/>
        </w:rPr>
        <w:t xml:space="preserve"> Право на користування податковими, господарськими та іншимипривілеями та користування майном. Визначаються на підставі документів, що засвідчують ці права. Право користування податковими привілеями визначається на підставі інформації, наданої податковою інспекцією.</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11. </w:t>
      </w:r>
      <w:r>
        <w:rPr>
          <w:rStyle w:val="ab"/>
          <w:rFonts w:ascii="Times New Roman" w:hAnsi="Times New Roman"/>
          <w:i/>
          <w:color w:val="000000"/>
          <w:sz w:val="24"/>
          <w:lang w:val="uk-UA"/>
        </w:rPr>
        <w:t>Гудвіл (ділова репутація)</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комплекс заходів, спрямованих на збільшення прибутку підприємств без відповідного збільшення активних операцій, включаючи використання кращих управлінських здібностей, домінуючу позицію на ринку продукції (робіт, послуг), нові технології. При приватизації експертній оцінці підлягає лише позитивна ділова репутація.</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4"/>
        <w:rPr>
          <w:rStyle w:val="ab"/>
          <w:rFonts w:ascii="Times New Roman" w:hAnsi="Times New Roman"/>
          <w:sz w:val="24"/>
        </w:rPr>
      </w:pPr>
      <w:r>
        <w:rPr>
          <w:rStyle w:val="ab"/>
          <w:rFonts w:ascii="Times New Roman" w:hAnsi="Times New Roman"/>
          <w:sz w:val="24"/>
        </w:rPr>
        <w:t>Окремі елементи нематеріальних активів мають особливості правового захисту.</w:t>
      </w:r>
    </w:p>
    <w:p w:rsidR="0036147E" w:rsidRDefault="0015172C">
      <w:pPr>
        <w:pStyle w:val="ad"/>
        <w:tabs>
          <w:tab w:val="clear" w:pos="9590"/>
        </w:tabs>
        <w:jc w:val="both"/>
        <w:rPr>
          <w:rStyle w:val="ab"/>
          <w:rFonts w:ascii="Times New Roman" w:hAnsi="Times New Roman"/>
          <w:i/>
          <w:sz w:val="24"/>
          <w:lang w:val="uk-UA"/>
        </w:rPr>
      </w:pPr>
      <w:r>
        <w:rPr>
          <w:rStyle w:val="ab"/>
          <w:rFonts w:ascii="Times New Roman" w:hAnsi="Times New Roman"/>
          <w:i/>
          <w:sz w:val="24"/>
          <w:lang w:val="uk-UA"/>
        </w:rPr>
        <w:tab/>
      </w:r>
    </w:p>
    <w:p w:rsidR="0036147E" w:rsidRDefault="0015172C">
      <w:pPr>
        <w:pStyle w:val="ad"/>
        <w:tabs>
          <w:tab w:val="clear" w:pos="9590"/>
        </w:tabs>
        <w:jc w:val="both"/>
        <w:rPr>
          <w:rStyle w:val="ab"/>
          <w:rFonts w:ascii="Times New Roman" w:hAnsi="Times New Roman"/>
          <w:sz w:val="24"/>
          <w:lang w:val="uk-UA"/>
        </w:rPr>
      </w:pPr>
      <w:r>
        <w:rPr>
          <w:rStyle w:val="ab"/>
          <w:rFonts w:ascii="Times New Roman" w:hAnsi="Times New Roman"/>
          <w:i/>
          <w:sz w:val="24"/>
          <w:lang w:val="uk-UA"/>
        </w:rPr>
        <w:tab/>
        <w:t xml:space="preserve">Патентом </w:t>
      </w:r>
      <w:r>
        <w:rPr>
          <w:rStyle w:val="ab"/>
          <w:rFonts w:ascii="Times New Roman" w:hAnsi="Times New Roman"/>
          <w:sz w:val="24"/>
          <w:lang w:val="uk-UA"/>
        </w:rPr>
        <w:t>називається виданий патентним відомством документ, що надає особі або організації виключне право на використання зазначеногов патенті технічного вирішення.</w:t>
      </w:r>
    </w:p>
    <w:p w:rsidR="0036147E" w:rsidRDefault="0015172C">
      <w:pPr>
        <w:pStyle w:val="ad"/>
        <w:tabs>
          <w:tab w:val="clear" w:pos="9590"/>
        </w:tabs>
        <w:jc w:val="both"/>
        <w:rPr>
          <w:rStyle w:val="ab"/>
          <w:rFonts w:ascii="Times New Roman" w:hAnsi="Times New Roman"/>
          <w:sz w:val="24"/>
          <w:lang w:val="uk-UA"/>
        </w:rPr>
      </w:pPr>
      <w:r>
        <w:rPr>
          <w:rStyle w:val="ab"/>
          <w:rFonts w:ascii="Times New Roman" w:hAnsi="Times New Roman"/>
          <w:color w:val="000000"/>
          <w:sz w:val="24"/>
          <w:lang w:val="uk-UA"/>
        </w:rPr>
        <w:tab/>
        <w:t>Патент видається строком на п'ятнадцять років, рахуючи з дня подачі заявки. З того ж дня охороняються права заявника. Ніхто не може без згоди особи, якій належить патент (патентовласника), використати винахід. Патентовласник може видати дозвіл (ліцензію) на використання його винаходу або повністю переуступити  патент. Дію патенту може бути припинено достроково у випадках і в порядку, які визначаються Радою Міністрів СРСР (</w:t>
      </w:r>
      <w:r>
        <w:rPr>
          <w:rStyle w:val="ab"/>
          <w:rFonts w:ascii="Times New Roman" w:hAnsi="Times New Roman"/>
          <w:sz w:val="24"/>
        </w:rPr>
        <w:t xml:space="preserve">12, </w:t>
      </w:r>
      <w:r>
        <w:rPr>
          <w:rStyle w:val="ab"/>
          <w:rFonts w:ascii="Times New Roman" w:hAnsi="Times New Roman"/>
          <w:color w:val="000000"/>
          <w:sz w:val="24"/>
          <w:lang w:val="uk-UA"/>
        </w:rPr>
        <w:t>із змінами, внесеними Указом ПВР N 278-11 від 20.05.85</w:t>
      </w:r>
      <w:r>
        <w:rPr>
          <w:rStyle w:val="ab"/>
          <w:rFonts w:ascii="Times New Roman" w:hAnsi="Times New Roman"/>
          <w:sz w:val="24"/>
        </w:rPr>
        <w:t>, ст.519</w:t>
      </w:r>
      <w:r>
        <w:rPr>
          <w:rStyle w:val="ab"/>
          <w:rFonts w:ascii="Times New Roman" w:hAnsi="Times New Roman"/>
          <w:color w:val="000000"/>
          <w:sz w:val="24"/>
          <w:lang w:val="uk-UA"/>
        </w:rPr>
        <w:t>)</w:t>
      </w:r>
    </w:p>
    <w:p w:rsidR="0036147E" w:rsidRDefault="0015172C">
      <w:pPr>
        <w:pStyle w:val="ad"/>
        <w:tabs>
          <w:tab w:val="clear" w:pos="9590"/>
        </w:tabs>
        <w:jc w:val="both"/>
        <w:rPr>
          <w:rStyle w:val="ab"/>
          <w:rFonts w:ascii="Times New Roman" w:hAnsi="Times New Roman"/>
          <w:sz w:val="24"/>
          <w:lang w:val="uk-UA"/>
        </w:rPr>
      </w:pPr>
      <w:r>
        <w:rPr>
          <w:rStyle w:val="ab"/>
          <w:rFonts w:ascii="Times New Roman" w:hAnsi="Times New Roman"/>
          <w:color w:val="000000"/>
          <w:sz w:val="24"/>
          <w:lang w:val="uk-UA"/>
        </w:rPr>
        <w:tab/>
        <w:t>Законодавством України охороняються особисті (немайнові) і майнові права авторів та їх правонаступників, пов'язані із створенням та використанням творів науки, літератури і мистецтва (</w:t>
      </w:r>
      <w:r>
        <w:rPr>
          <w:rStyle w:val="ab"/>
          <w:rFonts w:ascii="Times New Roman" w:hAnsi="Times New Roman"/>
          <w:i/>
          <w:color w:val="000000"/>
          <w:sz w:val="24"/>
          <w:lang w:val="uk-UA"/>
        </w:rPr>
        <w:t>авторське право</w:t>
      </w:r>
      <w:r>
        <w:rPr>
          <w:rStyle w:val="ab"/>
          <w:rFonts w:ascii="Times New Roman" w:hAnsi="Times New Roman"/>
          <w:color w:val="000000"/>
          <w:sz w:val="24"/>
          <w:lang w:val="uk-UA"/>
        </w:rPr>
        <w:t>), і права виконавців, виробників фонограм та організацій мовлення (</w:t>
      </w:r>
      <w:r>
        <w:rPr>
          <w:rStyle w:val="ab"/>
          <w:rFonts w:ascii="Times New Roman" w:hAnsi="Times New Roman"/>
          <w:i/>
          <w:color w:val="000000"/>
          <w:sz w:val="24"/>
          <w:lang w:val="uk-UA"/>
        </w:rPr>
        <w:t>суміжні права</w:t>
      </w:r>
      <w:r>
        <w:rPr>
          <w:rStyle w:val="ab"/>
          <w:rFonts w:ascii="Times New Roman" w:hAnsi="Times New Roman"/>
          <w:color w:val="000000"/>
          <w:sz w:val="24"/>
          <w:lang w:val="uk-UA"/>
        </w:rPr>
        <w:t>). Відносини, що складаються у зв'язку із створенням і використанням об'єктів авторського права і суміжних прав, регулюються Законом України "Про авторське право і суміжні права" та іншими законодавчими актами України. (12, В редакції Закону N 3942-12 від 4.02.94, ст.472 )</w:t>
      </w:r>
    </w:p>
    <w:p w:rsidR="0036147E" w:rsidRDefault="0015172C">
      <w:pPr>
        <w:pStyle w:val="a4"/>
        <w:rPr>
          <w:rStyle w:val="ab"/>
          <w:rFonts w:ascii="Times New Roman" w:hAnsi="Times New Roman"/>
          <w:sz w:val="28"/>
        </w:rPr>
      </w:pPr>
      <w:r>
        <w:rPr>
          <w:rStyle w:val="ab"/>
          <w:rFonts w:ascii="Times New Roman" w:hAnsi="Times New Roman"/>
          <w:i/>
          <w:sz w:val="24"/>
        </w:rPr>
        <w:t xml:space="preserve">Роялті </w:t>
      </w:r>
      <w:r>
        <w:rPr>
          <w:rStyle w:val="ab"/>
          <w:rFonts w:ascii="Times New Roman" w:hAnsi="Times New Roman"/>
          <w:i/>
          <w:sz w:val="24"/>
        </w:rPr>
        <w:noBreakHyphen/>
      </w:r>
      <w:r>
        <w:rPr>
          <w:rStyle w:val="ab"/>
          <w:rFonts w:ascii="Times New Roman" w:hAnsi="Times New Roman"/>
          <w:sz w:val="24"/>
        </w:rPr>
        <w:t xml:space="preserve"> платежі будь-якого виду, одержані у вигляді винагород (компенсацій) за використання або надання дозволу на використання прав інтелектуальної, в тому числі промислової, власності, а також інших аналогічних майнових прав, що визнаються об'єктом права власності суб'єкта господарської діяльності, включаючи використання авторських прав на будь-які твори науки, літератури, мистецтва, записи на носіях інформації, права на копіювання і розповсюдження будь-якого патенту або ліцензії, знака на товари та послуги, права та винаходи, на промислові або наукові зразки, креслення моделі, або схеми програмних засобів обчислювальної техніки, автоматизованих систем або систем обробки інформації, секретної формули або процесу, права на інформацію щодо промислового, комерційного або наукового досвіду (ноу-хау) (1, ст.1).</w:t>
      </w:r>
    </w:p>
    <w:p w:rsidR="0036147E" w:rsidRDefault="0036147E">
      <w:pPr>
        <w:pStyle w:val="ad"/>
        <w:tabs>
          <w:tab w:val="clear" w:pos="9590"/>
        </w:tabs>
        <w:jc w:val="both"/>
        <w:rPr>
          <w:rStyle w:val="ab"/>
          <w:rFonts w:ascii="Times New Roman" w:hAnsi="Times New Roman"/>
          <w:color w:val="000000"/>
          <w:sz w:val="28"/>
        </w:rPr>
      </w:pPr>
    </w:p>
    <w:p w:rsidR="0036147E" w:rsidRDefault="0036147E">
      <w:pPr>
        <w:pStyle w:val="a4"/>
        <w:rPr>
          <w:rStyle w:val="ab"/>
          <w:rFonts w:ascii="Times New Roman" w:hAnsi="Times New Roman"/>
          <w:sz w:val="24"/>
        </w:rPr>
      </w:pPr>
    </w:p>
    <w:p w:rsidR="0036147E" w:rsidRDefault="0015172C">
      <w:pPr>
        <w:pStyle w:val="a4"/>
      </w:pPr>
      <w:r>
        <w:br w:type="page"/>
      </w:r>
    </w:p>
    <w:p w:rsidR="0036147E" w:rsidRDefault="0015172C">
      <w:pPr>
        <w:pStyle w:val="1"/>
      </w:pPr>
      <w:bookmarkStart w:id="6" w:name="_Toc439644858"/>
      <w:r>
        <w:t>ОЦІНКА НЕМАТЕРІАЛЬНИХ АКТИВІВ</w:t>
      </w:r>
      <w:bookmarkEnd w:id="6"/>
    </w:p>
    <w:p w:rsidR="0036147E" w:rsidRDefault="0015172C">
      <w:pPr>
        <w:pStyle w:val="ad"/>
        <w:tabs>
          <w:tab w:val="clear" w:pos="9590"/>
        </w:tabs>
        <w:ind w:firstLine="851"/>
        <w:jc w:val="both"/>
        <w:rPr>
          <w:rStyle w:val="ab"/>
          <w:rFonts w:ascii="Times New Roman" w:hAnsi="Times New Roman"/>
          <w:color w:val="000000"/>
          <w:sz w:val="24"/>
          <w:lang w:val="uk-UA"/>
        </w:rPr>
      </w:pPr>
      <w:r>
        <w:rPr>
          <w:rStyle w:val="ab"/>
          <w:rFonts w:ascii="Times New Roman" w:hAnsi="Times New Roman"/>
          <w:color w:val="000000"/>
          <w:sz w:val="24"/>
          <w:lang w:val="uk-UA"/>
        </w:rPr>
        <w:t>У міжнародній практиці існують три головні методи оцінки нематеріальних активів фірми:</w:t>
      </w:r>
    </w:p>
    <w:p w:rsidR="0036147E" w:rsidRDefault="0036147E">
      <w:pPr>
        <w:pStyle w:val="ad"/>
        <w:tabs>
          <w:tab w:val="clear" w:pos="9590"/>
        </w:tabs>
        <w:ind w:firstLine="851"/>
        <w:jc w:val="both"/>
        <w:rPr>
          <w:rStyle w:val="ab"/>
          <w:rFonts w:ascii="Times New Roman" w:hAnsi="Times New Roman"/>
          <w:color w:val="000000"/>
          <w:sz w:val="24"/>
          <w:lang w:val="uk-UA"/>
        </w:rPr>
      </w:pPr>
    </w:p>
    <w:p w:rsidR="0036147E" w:rsidRDefault="0015172C">
      <w:pPr>
        <w:pStyle w:val="ad"/>
        <w:numPr>
          <w:ilvl w:val="0"/>
          <w:numId w:val="16"/>
        </w:numPr>
        <w:tabs>
          <w:tab w:val="clear" w:pos="360"/>
          <w:tab w:val="clear" w:pos="9590"/>
          <w:tab w:val="num" w:pos="1211"/>
        </w:tabs>
        <w:ind w:left="1211"/>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 за собівартістю;</w:t>
      </w:r>
    </w:p>
    <w:p w:rsidR="0036147E" w:rsidRDefault="0015172C">
      <w:pPr>
        <w:pStyle w:val="ad"/>
        <w:numPr>
          <w:ilvl w:val="0"/>
          <w:numId w:val="16"/>
        </w:numPr>
        <w:tabs>
          <w:tab w:val="clear" w:pos="360"/>
          <w:tab w:val="clear" w:pos="9590"/>
          <w:tab w:val="num" w:pos="1211"/>
        </w:tabs>
        <w:ind w:left="1211"/>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 за покупною вартістю;</w:t>
      </w:r>
    </w:p>
    <w:p w:rsidR="0036147E" w:rsidRDefault="0015172C">
      <w:pPr>
        <w:pStyle w:val="ad"/>
        <w:numPr>
          <w:ilvl w:val="0"/>
          <w:numId w:val="16"/>
        </w:numPr>
        <w:tabs>
          <w:tab w:val="clear" w:pos="360"/>
          <w:tab w:val="clear" w:pos="9590"/>
          <w:tab w:val="num" w:pos="1211"/>
        </w:tabs>
        <w:ind w:left="1211"/>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 за ринковою вартістю.</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За собівартістю, як правило оцінюють нематеріальні активи, що створенні самим підприємством, шляхом накопичення всіх витрат, що пов</w:t>
      </w:r>
      <w:r>
        <w:rPr>
          <w:rStyle w:val="ab"/>
          <w:rFonts w:ascii="Times New Roman" w:hAnsi="Times New Roman"/>
          <w:color w:val="000000"/>
          <w:sz w:val="24"/>
          <w:lang w:val="en-US"/>
        </w:rPr>
        <w:t>’</w:t>
      </w:r>
      <w:r>
        <w:rPr>
          <w:rStyle w:val="ab"/>
          <w:rFonts w:ascii="Times New Roman" w:hAnsi="Times New Roman"/>
          <w:color w:val="000000"/>
          <w:sz w:val="24"/>
          <w:lang w:val="uk-UA"/>
        </w:rPr>
        <w:t>язані з їх створенням на окремому субрахунку бухгалтерського обліку.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За покупною вартістю оцінюють нематеріальні активи, що купуються в процесі діяльності підприємства. Такі активи оцінюють за їх покупною вартістю на окремих субрахунках бухгалтерського обліку.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Необхідність оцінки ринкової вартості нематеріальних ресурсів виникає у випадку вкладення підприємством нематеріальних активів у статутний фонд іншого підприємства.</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ab/>
        <w:t xml:space="preserve">Порядок оцінки нематеріальних активів визначається </w:t>
      </w:r>
      <w:r>
        <w:rPr>
          <w:rStyle w:val="ab"/>
          <w:rFonts w:ascii="Times New Roman" w:hAnsi="Times New Roman"/>
          <w:sz w:val="24"/>
          <w:lang w:val="uk-UA"/>
        </w:rPr>
        <w:t>Наказом Фонду державного майна України, Державного комітету з питань науки і технологій “Про затвердження Порядку експертної оцінки нематеріальних активів”</w:t>
      </w:r>
      <w:r>
        <w:rPr>
          <w:rStyle w:val="ab"/>
          <w:rFonts w:ascii="Times New Roman" w:hAnsi="Times New Roman"/>
          <w:color w:val="000000"/>
          <w:sz w:val="24"/>
          <w:lang w:val="uk-UA"/>
        </w:rPr>
        <w:t xml:space="preserve"> (11). Згідно цього наказу наведемо </w:t>
      </w:r>
    </w:p>
    <w:p w:rsidR="0036147E" w:rsidRDefault="0036147E">
      <w:pPr>
        <w:pStyle w:val="ad"/>
        <w:tabs>
          <w:tab w:val="clear" w:pos="9590"/>
        </w:tabs>
        <w:ind w:firstLine="851"/>
        <w:jc w:val="both"/>
        <w:rPr>
          <w:rStyle w:val="ab"/>
          <w:rFonts w:ascii="Times New Roman" w:hAnsi="Times New Roman"/>
          <w:color w:val="000000"/>
          <w:sz w:val="24"/>
          <w:lang w:val="uk-UA"/>
        </w:rPr>
      </w:pPr>
    </w:p>
    <w:p w:rsidR="0036147E" w:rsidRDefault="0015172C">
      <w:pPr>
        <w:pStyle w:val="ad"/>
        <w:tabs>
          <w:tab w:val="clear" w:pos="9590"/>
        </w:tabs>
        <w:jc w:val="center"/>
        <w:rPr>
          <w:rStyle w:val="ab"/>
          <w:rFonts w:ascii="Times New Roman" w:hAnsi="Times New Roman"/>
          <w:color w:val="000000"/>
          <w:sz w:val="24"/>
          <w:u w:val="double"/>
          <w:lang w:val="uk-UA"/>
        </w:rPr>
      </w:pPr>
      <w:r>
        <w:rPr>
          <w:rStyle w:val="ab"/>
          <w:rFonts w:ascii="Times New Roman" w:hAnsi="Times New Roman"/>
          <w:color w:val="000000"/>
          <w:sz w:val="24"/>
          <w:u w:val="double"/>
          <w:lang w:val="uk-UA"/>
        </w:rPr>
        <w:t>Способи експертної оцінки вартості нематеріальних активів</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 xml:space="preserve">12. Експертна оцінка вартості нематеріальних активів може здійснюватися такими </w:t>
      </w:r>
      <w:r>
        <w:rPr>
          <w:rStyle w:val="ab"/>
          <w:rFonts w:ascii="Times New Roman" w:hAnsi="Times New Roman"/>
          <w:i/>
          <w:color w:val="000000"/>
          <w:sz w:val="24"/>
          <w:lang w:val="uk-UA"/>
        </w:rPr>
        <w:t>способами</w:t>
      </w:r>
      <w:r>
        <w:rPr>
          <w:rStyle w:val="ab"/>
          <w:rFonts w:ascii="Times New Roman" w:hAnsi="Times New Roman"/>
          <w:color w:val="000000"/>
          <w:sz w:val="24"/>
          <w:lang w:val="uk-UA"/>
        </w:rPr>
        <w:t>:</w:t>
      </w:r>
    </w:p>
    <w:p w:rsidR="0036147E" w:rsidRDefault="0015172C">
      <w:pPr>
        <w:pStyle w:val="ad"/>
        <w:numPr>
          <w:ilvl w:val="0"/>
          <w:numId w:val="14"/>
        </w:numPr>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шляхом визначення сучасної вартості відтворення щодо нематеріальних активів, які взяті на облік в результаті проведеної інвентаризації на дату приватизації;</w:t>
      </w:r>
    </w:p>
    <w:p w:rsidR="0036147E" w:rsidRDefault="0015172C">
      <w:pPr>
        <w:pStyle w:val="ad"/>
        <w:numPr>
          <w:ilvl w:val="0"/>
          <w:numId w:val="14"/>
        </w:numPr>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шляхом капіталізації прибутків для визначення сумарної вартості нематеріальних активів, що не відображені в бухгалтерському балансі на дату приватизації;</w:t>
      </w:r>
    </w:p>
    <w:p w:rsidR="0036147E" w:rsidRDefault="0015172C">
      <w:pPr>
        <w:pStyle w:val="ad"/>
        <w:numPr>
          <w:ilvl w:val="0"/>
          <w:numId w:val="14"/>
        </w:numPr>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шляхом поєднання двох способів.</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13. Експертна оцінка виявлених при інвентаризації нематеріальних активів при прийнятті їх на облік, на підставі п.17 Положення про інвентарізацію майна державних підприємств, що приватизуються, а також майна державних підприємств та організацій, яке передається в оренду ( 158-93-п ), здійснюється комісією по інвентаризації об'єкта приватизації відповідно до їх сучасної вартості відтворення.</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14. Експертна оцінка вартості нематеріальних активів, що не відображені в бухгалтерському балансі об'єкта приватизації, здійснюється за формулою:</w:t>
      </w:r>
    </w:p>
    <w:p w:rsidR="0036147E" w:rsidRDefault="0015172C">
      <w:pPr>
        <w:pStyle w:val="ad"/>
        <w:tabs>
          <w:tab w:val="clear" w:pos="9590"/>
        </w:tabs>
        <w:jc w:val="center"/>
        <w:rPr>
          <w:rStyle w:val="ab"/>
          <w:rFonts w:ascii="Times New Roman" w:hAnsi="Times New Roman"/>
          <w:color w:val="000000"/>
          <w:sz w:val="24"/>
          <w:lang w:val="uk-UA"/>
        </w:rPr>
      </w:pPr>
      <w:r>
        <w:rPr>
          <w:rStyle w:val="ab"/>
          <w:rFonts w:ascii="Times New Roman" w:hAnsi="Times New Roman"/>
          <w:color w:val="000000"/>
          <w:sz w:val="24"/>
          <w:lang w:val="uk-UA"/>
        </w:rPr>
        <w:object w:dxaOrig="1600" w:dyaOrig="620">
          <v:shape id="_x0000_i1027" type="#_x0000_t75" style="width:80.25pt;height:30.75pt" o:ole="" fillcolor="window">
            <v:imagedata r:id="rId11" o:title=""/>
          </v:shape>
          <o:OLEObject Type="Embed" ProgID="Equation.3" ShapeID="_x0000_i1027" DrawAspect="Content" ObjectID="_1469611284" r:id="rId12"/>
        </w:object>
      </w:r>
      <w:r>
        <w:rPr>
          <w:rStyle w:val="ab"/>
          <w:rFonts w:ascii="Times New Roman" w:hAnsi="Times New Roman"/>
          <w:color w:val="000000"/>
          <w:sz w:val="24"/>
          <w:lang w:val="uk-UA"/>
        </w:rPr>
        <w:t>, де:</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Вна</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вартість нематеріальних активів, не відображених в балансі, млн. крб.;</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Пп</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об'єкта приватизації після вирахування податку на прибуток за перше півріччя 1995 року з урахуванням помісячної індексації, млн.крб.;</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Ск</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ставка капіталізації, яка дорівнює 0,12;</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Вб</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вартість цілісного майнового комплексу, що визначається за балансом, складеним на дату приватизації, млн. крб. Врахуванню підлягає лише позитивне значення Вна.</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15. Помісячна індексація балансового прибутку об'єкта приватизації за перше півріччя 1995 року проводиться за формулою:</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center"/>
        <w:rPr>
          <w:rStyle w:val="ab"/>
          <w:rFonts w:ascii="Times New Roman" w:hAnsi="Times New Roman"/>
          <w:color w:val="000000"/>
          <w:sz w:val="24"/>
          <w:lang w:val="uk-UA"/>
        </w:rPr>
      </w:pPr>
      <w:r>
        <w:rPr>
          <w:rStyle w:val="ab"/>
          <w:rFonts w:ascii="Times New Roman" w:hAnsi="Times New Roman"/>
          <w:i/>
          <w:color w:val="000000"/>
          <w:sz w:val="24"/>
          <w:lang w:val="uk-UA"/>
        </w:rPr>
        <w:t>Пп=П1*К1+П2*К2+П3*К3+П4*К4+П5*К5+П6*К6</w:t>
      </w:r>
      <w:r>
        <w:rPr>
          <w:rStyle w:val="ab"/>
          <w:rFonts w:ascii="Times New Roman" w:hAnsi="Times New Roman"/>
          <w:color w:val="000000"/>
          <w:sz w:val="24"/>
          <w:lang w:val="uk-UA"/>
        </w:rPr>
        <w:t>; де:</w:t>
      </w:r>
    </w:p>
    <w:p w:rsidR="0036147E" w:rsidRDefault="0036147E">
      <w:pPr>
        <w:pStyle w:val="ad"/>
        <w:tabs>
          <w:tab w:val="clear" w:pos="9590"/>
        </w:tabs>
        <w:jc w:val="center"/>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П1</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січень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П2</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лютий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П3</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березень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П4</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квітень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П5</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травень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П6</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балансовий прибуток за вирахуванням податку на прибуток за червень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К1</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січня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К2</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лютого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К3</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березня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К4</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квітня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К5</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травня 1995 року;</w:t>
      </w: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i/>
          <w:color w:val="000000"/>
          <w:sz w:val="24"/>
          <w:lang w:val="uk-UA"/>
        </w:rPr>
        <w:t>К6</w:t>
      </w:r>
      <w:r>
        <w:rPr>
          <w:rStyle w:val="ab"/>
          <w:rFonts w:ascii="Times New Roman" w:hAnsi="Times New Roman"/>
          <w:color w:val="000000"/>
          <w:sz w:val="24"/>
          <w:lang w:val="uk-UA"/>
        </w:rPr>
        <w:t xml:space="preserve"> </w:t>
      </w:r>
      <w:r>
        <w:rPr>
          <w:rStyle w:val="ab"/>
          <w:rFonts w:ascii="Times New Roman" w:hAnsi="Times New Roman"/>
          <w:color w:val="000000"/>
          <w:sz w:val="24"/>
          <w:lang w:val="uk-UA"/>
        </w:rPr>
        <w:noBreakHyphen/>
        <w:t xml:space="preserve"> добуток індексів інфляції за період від дати приватизації до червня 1995 року.</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16. Визначена експертним шляхом вартість нематеріальних активів, не відображених в балансі, додається до державної частки в статутному фонді акціонерного товариства. У разі, якщо серед нематеріальних активів, перелічених в пунктах 9-11 цього Порядку виявлені активи, що придбані за рахунок власних коштів орендаря, вони підлягають інвентаризації і оцінці відповідно до п.13 цього Порядку.</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17. Визначена відповідно до п.14 та п.15 цього Порядку вартість нематеріальних активів, не відображених в балансі, записується в рядок 15.1 акта оцінки вартості цілісного майнового комплексу та в рядок 20.1 акта оцінки вартості майна орендного підприємства.</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Style w:val="ab"/>
          <w:rFonts w:ascii="Times New Roman" w:hAnsi="Times New Roman"/>
          <w:color w:val="000000"/>
          <w:sz w:val="24"/>
          <w:lang w:val="uk-UA"/>
        </w:rPr>
      </w:pPr>
      <w:r>
        <w:rPr>
          <w:rStyle w:val="ab"/>
          <w:rFonts w:ascii="Times New Roman" w:hAnsi="Times New Roman"/>
          <w:color w:val="000000"/>
          <w:sz w:val="24"/>
          <w:lang w:val="uk-UA"/>
        </w:rPr>
        <w:t>18. Подальше врахування в бухгалтерському обліку визначеної вартості нематеріальних активів, що міститься в акті оцінки, здійснюється відповідно до Порядку відображення в бухгалтерському обліку і звітності операцій, пов'язаних з приватизацією і орендою державних підприємств, який затверджений наказом Міністерства фінансів України від 16.12.93 року N 109 ( 0200-93 ).</w:t>
      </w:r>
    </w:p>
    <w:p w:rsidR="0036147E" w:rsidRDefault="0036147E">
      <w:pPr>
        <w:pStyle w:val="ad"/>
        <w:tabs>
          <w:tab w:val="clear" w:pos="9590"/>
        </w:tabs>
        <w:jc w:val="both"/>
        <w:rPr>
          <w:rStyle w:val="ab"/>
          <w:rFonts w:ascii="Times New Roman" w:hAnsi="Times New Roman"/>
          <w:color w:val="000000"/>
          <w:sz w:val="24"/>
          <w:lang w:val="uk-UA"/>
        </w:rPr>
      </w:pPr>
    </w:p>
    <w:p w:rsidR="0036147E" w:rsidRDefault="0015172C">
      <w:pPr>
        <w:pStyle w:val="ad"/>
        <w:tabs>
          <w:tab w:val="clear" w:pos="9590"/>
        </w:tabs>
        <w:jc w:val="both"/>
        <w:rPr>
          <w:rFonts w:ascii="Times New Roman" w:hAnsi="Times New Roman"/>
          <w:sz w:val="24"/>
        </w:rPr>
      </w:pPr>
      <w:r>
        <w:rPr>
          <w:rStyle w:val="ab"/>
          <w:rFonts w:ascii="Times New Roman" w:hAnsi="Times New Roman"/>
          <w:color w:val="000000"/>
          <w:sz w:val="24"/>
          <w:lang w:val="uk-UA"/>
        </w:rPr>
        <w:t xml:space="preserve">19. У випадку прийняття рішення про експертну оцінку нематеріальних активів, дооцінка статутного фонду створюваного акціонерного товариства на суму, що враховує потенційну </w:t>
      </w:r>
      <w:r>
        <w:rPr>
          <w:rStyle w:val="ab"/>
          <w:rFonts w:ascii="Times New Roman" w:hAnsi="Times New Roman"/>
          <w:sz w:val="24"/>
        </w:rPr>
        <w:t>прибутковість, не проводиться.</w:t>
      </w:r>
    </w:p>
    <w:p w:rsidR="0036147E" w:rsidRDefault="0036147E">
      <w:pPr>
        <w:pStyle w:val="a4"/>
      </w:pPr>
    </w:p>
    <w:p w:rsidR="0036147E" w:rsidRDefault="0015172C">
      <w:pPr>
        <w:pStyle w:val="1"/>
      </w:pPr>
      <w:r>
        <w:br w:type="page"/>
      </w:r>
      <w:bookmarkStart w:id="7" w:name="_Toc439644859"/>
      <w:r>
        <w:t>ПІСЛЯМОВА</w:t>
      </w:r>
      <w:bookmarkEnd w:id="7"/>
    </w:p>
    <w:p w:rsidR="0036147E" w:rsidRDefault="0036147E">
      <w:pPr>
        <w:pStyle w:val="a4"/>
      </w:pPr>
    </w:p>
    <w:p w:rsidR="0036147E" w:rsidRDefault="0015172C">
      <w:pPr>
        <w:pStyle w:val="a4"/>
      </w:pPr>
      <w:r>
        <w:t>В умовах переходу підприємства до ринку значно зростає роль повної та достовірної інформації про майно підприємства та прийняття на її базі своєчасних правильних рішень.</w:t>
      </w:r>
    </w:p>
    <w:p w:rsidR="0036147E" w:rsidRDefault="0015172C">
      <w:pPr>
        <w:pStyle w:val="a4"/>
      </w:pPr>
      <w:r>
        <w:t>В зв</w:t>
      </w:r>
      <w:r>
        <w:rPr>
          <w:lang w:val="en-US"/>
        </w:rPr>
        <w:t>’</w:t>
      </w:r>
      <w:r>
        <w:t>язку з розширенням прав підприємств у галузі постановки та ведення бухгалтерского обліку перед бухгалтерськими службами виникає проблема оптимальної організації обліку різних об</w:t>
      </w:r>
      <w:r>
        <w:rPr>
          <w:lang w:val="en-US"/>
        </w:rPr>
        <w:t>’єктів</w:t>
      </w:r>
      <w:r>
        <w:t>: основних засобів, нематеріальних активів, процесів виробництва та реалізації, розрахунків, капітальних та фінансових вкладень та ін.</w:t>
      </w:r>
    </w:p>
    <w:p w:rsidR="0036147E" w:rsidRDefault="0015172C">
      <w:pPr>
        <w:pStyle w:val="a4"/>
      </w:pPr>
      <w:r>
        <w:t>Ця контрольна робота розглядає коло питань, пов</w:t>
      </w:r>
      <w:r>
        <w:rPr>
          <w:lang w:val="en-US"/>
        </w:rPr>
        <w:t>’</w:t>
      </w:r>
      <w:r>
        <w:t>язаних з визначенням поняття нематеріальних активів та їх оцінкою</w:t>
      </w:r>
    </w:p>
    <w:p w:rsidR="0036147E" w:rsidRDefault="0015172C">
      <w:pPr>
        <w:pStyle w:val="a4"/>
      </w:pPr>
      <w:r>
        <w:t>Потрібно відзначити, що нематеріальні активи ще недостатньо вивчені та не регламентовані потрібним чином. В зв</w:t>
      </w:r>
      <w:r>
        <w:rPr>
          <w:lang w:val="en-US"/>
        </w:rPr>
        <w:t>’</w:t>
      </w:r>
      <w:r>
        <w:t>язку з цим облік нематеріальних ресурсів не є розповсюдженим серед українських підприємств.</w:t>
      </w:r>
    </w:p>
    <w:p w:rsidR="0036147E" w:rsidRDefault="0015172C">
      <w:pPr>
        <w:pStyle w:val="a4"/>
      </w:pPr>
      <w:r>
        <w:br w:type="page"/>
      </w:r>
    </w:p>
    <w:p w:rsidR="0036147E" w:rsidRDefault="0015172C">
      <w:pPr>
        <w:pStyle w:val="1"/>
      </w:pPr>
      <w:bookmarkStart w:id="8" w:name="_Toc439644860"/>
      <w:r>
        <w:t>ЛІТЕРАТУРА</w:t>
      </w:r>
      <w:bookmarkEnd w:id="8"/>
    </w:p>
    <w:p w:rsidR="0036147E" w:rsidRDefault="0015172C">
      <w:pPr>
        <w:pStyle w:val="a4"/>
        <w:rPr>
          <w:rStyle w:val="ab"/>
          <w:rFonts w:ascii="Times New Roman" w:hAnsi="Times New Roman"/>
          <w:sz w:val="24"/>
        </w:rPr>
      </w:pPr>
      <w:r>
        <w:rPr>
          <w:rStyle w:val="ab"/>
          <w:rFonts w:ascii="Times New Roman" w:hAnsi="Times New Roman"/>
          <w:sz w:val="24"/>
        </w:rPr>
        <w:t>1. Закон України “Про оподаткування прибутку підприємств”, прийнятий Верховною Радою України 28.12.94.</w:t>
      </w:r>
    </w:p>
    <w:p w:rsidR="0036147E" w:rsidRDefault="0015172C">
      <w:pPr>
        <w:pStyle w:val="a4"/>
      </w:pPr>
      <w:r>
        <w:t>2. “Економіка підприємства”.:Підручник.-В 2т. Т1 /За редакцією С.Ф.Покропивного.- К.: Вид-во “Хвиля-Прес”, Донецьк: Мале підприємство “Поиск”. Т-во книголюбів, 1995.-400с.</w:t>
      </w:r>
    </w:p>
    <w:p w:rsidR="0036147E" w:rsidRDefault="0015172C">
      <w:pPr>
        <w:pStyle w:val="a4"/>
      </w:pPr>
      <w:r>
        <w:t>3. “Парижська конвенція з охоронипромислової власності” від 20.3.1883.</w:t>
      </w:r>
    </w:p>
    <w:p w:rsidR="0036147E" w:rsidRDefault="0015172C">
      <w:pPr>
        <w:pStyle w:val="a4"/>
      </w:pPr>
      <w:r>
        <w:t>4. “Тимчасове положення про правову охорону об’єктів промислової власності та раціоналізаторських пропозицій в Україні”, затверджене Указом Президента України від 18.09.92 №479/92.</w:t>
      </w:r>
    </w:p>
    <w:p w:rsidR="0036147E" w:rsidRDefault="0015172C">
      <w:pPr>
        <w:pStyle w:val="a4"/>
      </w:pPr>
      <w:r>
        <w:t>5. Закон України “Про охорону прав на винаходи і корисні моделі”, прийнятий Верховною Радою України 15.12.93</w:t>
      </w:r>
    </w:p>
    <w:p w:rsidR="0036147E" w:rsidRDefault="0015172C">
      <w:pPr>
        <w:pStyle w:val="a4"/>
      </w:pPr>
      <w:r>
        <w:t>6. Закон України “Про охорону прав на промислові зразки”, прийнятий Верховною Радою України 15.12.93</w:t>
      </w:r>
    </w:p>
    <w:p w:rsidR="0036147E" w:rsidRDefault="0015172C">
      <w:pPr>
        <w:pStyle w:val="a4"/>
      </w:pPr>
      <w:r>
        <w:t>7. Додаток до “Положення про порядок контролю за експортом, імпортом та транзитом товарів, що стосуються ядерної діяльності та можуть бути використані в створенні ядерної зброї”, затверджено Кабінетом Міністрів України від 12.03.96 № 302</w:t>
      </w:r>
    </w:p>
    <w:p w:rsidR="0036147E" w:rsidRDefault="0015172C">
      <w:pPr>
        <w:pStyle w:val="a4"/>
      </w:pPr>
      <w:r>
        <w:t>8. Закон України “Про авторське право та суміжні права”, прийнятий Верховною Радою України 23.12.93</w:t>
      </w:r>
    </w:p>
    <w:p w:rsidR="0036147E" w:rsidRDefault="0015172C">
      <w:pPr>
        <w:pStyle w:val="a4"/>
      </w:pPr>
      <w:r>
        <w:t>9. “</w:t>
      </w:r>
      <w:r>
        <w:rPr>
          <w:lang w:val="ru-RU"/>
        </w:rPr>
        <w:t>Инструкция о порядке работы по продаже лицензий и оказанию услуг типа инжиниринг</w:t>
      </w:r>
      <w:r>
        <w:t>”, затверджено наказом Госкомвинаходу Ради Міністрів СРСР від 26.01.70 №11.</w:t>
      </w:r>
    </w:p>
    <w:p w:rsidR="0036147E" w:rsidRDefault="0015172C">
      <w:pPr>
        <w:pStyle w:val="a4"/>
      </w:pPr>
      <w:r>
        <w:t>10. “Инструкция по государственной экспертизе заявок на регистрацию товарных знаков”, затверджено головою Госкомвинаходу СРСР 06.03.80.</w:t>
      </w:r>
    </w:p>
    <w:p w:rsidR="0036147E" w:rsidRDefault="0015172C">
      <w:pPr>
        <w:pStyle w:val="a4"/>
        <w:rPr>
          <w:rStyle w:val="ab"/>
          <w:rFonts w:ascii="Times New Roman" w:hAnsi="Times New Roman"/>
          <w:sz w:val="24"/>
        </w:rPr>
      </w:pPr>
      <w:r>
        <w:t xml:space="preserve">11. </w:t>
      </w:r>
      <w:r>
        <w:rPr>
          <w:rStyle w:val="ab"/>
          <w:rFonts w:ascii="Times New Roman" w:hAnsi="Times New Roman"/>
          <w:sz w:val="24"/>
        </w:rPr>
        <w:t>Наказ Фонду державного майна України, Державного комітету з питань науки і технологій “Про затвердження Порядку експертної оцінки нематеріальних активів” N 969/97 від 27.07.95, Зареєстровано в Міністерстві юстиції України 10 серпня 1995 р. за N 292/828.</w:t>
      </w:r>
    </w:p>
    <w:p w:rsidR="0036147E" w:rsidRDefault="0015172C">
      <w:pPr>
        <w:pStyle w:val="a4"/>
        <w:rPr>
          <w:rStyle w:val="ab"/>
          <w:rFonts w:ascii="Times New Roman" w:hAnsi="Times New Roman"/>
          <w:sz w:val="24"/>
        </w:rPr>
      </w:pPr>
      <w:r>
        <w:t xml:space="preserve">12. </w:t>
      </w:r>
      <w:r>
        <w:rPr>
          <w:rStyle w:val="ab"/>
          <w:rFonts w:ascii="Times New Roman" w:hAnsi="Times New Roman"/>
          <w:sz w:val="24"/>
        </w:rPr>
        <w:t>Цивільний кодекс Української РСР від 18.07.63 зі змінами та доповненнями.</w:t>
      </w:r>
    </w:p>
    <w:p w:rsidR="0036147E" w:rsidRDefault="0015172C">
      <w:pPr>
        <w:pStyle w:val="a4"/>
        <w:jc w:val="center"/>
      </w:pPr>
      <w:r>
        <w:br w:type="page"/>
        <w:t>ЗАДАЧА</w:t>
      </w:r>
    </w:p>
    <w:p w:rsidR="0036147E" w:rsidRDefault="0036147E">
      <w:pPr>
        <w:pStyle w:val="a4"/>
      </w:pPr>
    </w:p>
    <w:p w:rsidR="0036147E" w:rsidRDefault="0015172C">
      <w:pPr>
        <w:pStyle w:val="a4"/>
      </w:pPr>
      <w:r>
        <w:t>Обчислити виробничу потужність на початок року, середньорічну її величину та випуск продукції з діючих виробничих потужностей на основі даних, наведних у таблиці:</w:t>
      </w:r>
    </w:p>
    <w:p w:rsidR="0036147E" w:rsidRDefault="0036147E">
      <w:pPr>
        <w:pStyle w:val="a4"/>
      </w:pPr>
    </w:p>
    <w:tbl>
      <w:tblPr>
        <w:tblW w:w="0" w:type="auto"/>
        <w:tblLayout w:type="fixed"/>
        <w:tblCellMar>
          <w:left w:w="30" w:type="dxa"/>
          <w:right w:w="30" w:type="dxa"/>
        </w:tblCellMar>
        <w:tblLook w:val="0000" w:firstRow="0" w:lastRow="0" w:firstColumn="0" w:lastColumn="0" w:noHBand="0" w:noVBand="0"/>
      </w:tblPr>
      <w:tblGrid>
        <w:gridCol w:w="4992"/>
        <w:gridCol w:w="1192"/>
        <w:gridCol w:w="1193"/>
        <w:gridCol w:w="875"/>
        <w:gridCol w:w="850"/>
      </w:tblGrid>
      <w:tr w:rsidR="0036147E">
        <w:trPr>
          <w:cantSplit/>
          <w:trHeight w:val="309"/>
        </w:trPr>
        <w:tc>
          <w:tcPr>
            <w:tcW w:w="4992" w:type="dxa"/>
            <w:vMerge w:val="restart"/>
            <w:tcBorders>
              <w:top w:val="single" w:sz="12" w:space="0" w:color="auto"/>
              <w:lef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Показники</w:t>
            </w:r>
          </w:p>
        </w:tc>
        <w:tc>
          <w:tcPr>
            <w:tcW w:w="1192" w:type="dxa"/>
            <w:vMerge w:val="restart"/>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Базовий рік</w:t>
            </w:r>
          </w:p>
        </w:tc>
        <w:tc>
          <w:tcPr>
            <w:tcW w:w="2918" w:type="dxa"/>
            <w:gridSpan w:val="3"/>
            <w:tcBorders>
              <w:top w:val="single" w:sz="12" w:space="0" w:color="auto"/>
              <w:left w:val="single" w:sz="12" w:space="0" w:color="auto"/>
              <w:bottom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Розрахунковий період</w:t>
            </w:r>
          </w:p>
        </w:tc>
      </w:tr>
      <w:tr w:rsidR="0036147E">
        <w:trPr>
          <w:cantSplit/>
          <w:trHeight w:val="309"/>
        </w:trPr>
        <w:tc>
          <w:tcPr>
            <w:tcW w:w="4992" w:type="dxa"/>
            <w:vMerge/>
            <w:tcBorders>
              <w:left w:val="single" w:sz="12" w:space="0" w:color="auto"/>
            </w:tcBorders>
          </w:tcPr>
          <w:p w:rsidR="0036147E" w:rsidRDefault="0036147E">
            <w:pPr>
              <w:jc w:val="center"/>
              <w:rPr>
                <w:snapToGrid w:val="0"/>
                <w:color w:val="000000"/>
                <w:sz w:val="24"/>
                <w:lang w:val="uk-UA"/>
              </w:rPr>
            </w:pPr>
          </w:p>
        </w:tc>
        <w:tc>
          <w:tcPr>
            <w:tcW w:w="1192" w:type="dxa"/>
            <w:vMerge/>
            <w:tcBorders>
              <w:left w:val="single" w:sz="12" w:space="0" w:color="auto"/>
              <w:right w:val="single" w:sz="12" w:space="0" w:color="auto"/>
            </w:tcBorders>
          </w:tcPr>
          <w:p w:rsidR="0036147E" w:rsidRDefault="0036147E">
            <w:pPr>
              <w:jc w:val="center"/>
              <w:rPr>
                <w:snapToGrid w:val="0"/>
                <w:color w:val="000000"/>
                <w:sz w:val="24"/>
                <w:lang w:val="uk-UA"/>
              </w:rPr>
            </w:pPr>
          </w:p>
        </w:tc>
        <w:tc>
          <w:tcPr>
            <w:tcW w:w="1193"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Перший рік</w:t>
            </w:r>
          </w:p>
        </w:tc>
        <w:tc>
          <w:tcPr>
            <w:tcW w:w="875"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Другий рік</w:t>
            </w:r>
          </w:p>
        </w:tc>
        <w:tc>
          <w:tcPr>
            <w:tcW w:w="850"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Третій рік</w:t>
            </w:r>
          </w:p>
        </w:tc>
      </w:tr>
      <w:tr w:rsidR="0036147E">
        <w:trPr>
          <w:trHeight w:val="588"/>
        </w:trPr>
        <w:tc>
          <w:tcPr>
            <w:tcW w:w="4992" w:type="dxa"/>
            <w:tcBorders>
              <w:top w:val="single" w:sz="12"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Виробнича потужність на початок року, млн. грош. од.</w:t>
            </w:r>
          </w:p>
        </w:tc>
        <w:tc>
          <w:tcPr>
            <w:tcW w:w="1192" w:type="dxa"/>
            <w:tcBorders>
              <w:top w:val="single" w:sz="12"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w:t>
            </w:r>
          </w:p>
        </w:tc>
        <w:tc>
          <w:tcPr>
            <w:tcW w:w="1193" w:type="dxa"/>
            <w:tcBorders>
              <w:top w:val="single" w:sz="12" w:space="0" w:color="auto"/>
              <w:left w:val="single" w:sz="6" w:space="0" w:color="auto"/>
              <w:bottom w:val="single" w:sz="6" w:space="0" w:color="auto"/>
              <w:right w:val="single" w:sz="6" w:space="0" w:color="auto"/>
            </w:tcBorders>
            <w:vAlign w:val="center"/>
          </w:tcPr>
          <w:p w:rsidR="0036147E" w:rsidRDefault="0036147E">
            <w:pPr>
              <w:jc w:val="center"/>
              <w:rPr>
                <w:snapToGrid w:val="0"/>
                <w:color w:val="000000"/>
                <w:sz w:val="24"/>
                <w:lang w:val="uk-UA"/>
              </w:rPr>
            </w:pPr>
          </w:p>
        </w:tc>
        <w:tc>
          <w:tcPr>
            <w:tcW w:w="875" w:type="dxa"/>
            <w:tcBorders>
              <w:top w:val="single" w:sz="12" w:space="0" w:color="auto"/>
              <w:left w:val="single" w:sz="6" w:space="0" w:color="auto"/>
              <w:bottom w:val="single" w:sz="6" w:space="0" w:color="auto"/>
              <w:right w:val="single" w:sz="6" w:space="0" w:color="auto"/>
            </w:tcBorders>
            <w:vAlign w:val="center"/>
          </w:tcPr>
          <w:p w:rsidR="0036147E" w:rsidRDefault="0036147E">
            <w:pPr>
              <w:jc w:val="center"/>
              <w:rPr>
                <w:snapToGrid w:val="0"/>
                <w:color w:val="000000"/>
                <w:sz w:val="24"/>
                <w:lang w:val="uk-UA"/>
              </w:rPr>
            </w:pPr>
          </w:p>
        </w:tc>
        <w:tc>
          <w:tcPr>
            <w:tcW w:w="850" w:type="dxa"/>
            <w:tcBorders>
              <w:top w:val="single" w:sz="12" w:space="0" w:color="auto"/>
              <w:left w:val="single" w:sz="6" w:space="0" w:color="auto"/>
              <w:bottom w:val="single" w:sz="6" w:space="0" w:color="auto"/>
              <w:right w:val="single" w:sz="12" w:space="0" w:color="auto"/>
            </w:tcBorders>
            <w:vAlign w:val="center"/>
          </w:tcPr>
          <w:p w:rsidR="0036147E" w:rsidRDefault="0036147E">
            <w:pPr>
              <w:jc w:val="center"/>
              <w:rPr>
                <w:snapToGrid w:val="0"/>
                <w:color w:val="000000"/>
                <w:sz w:val="24"/>
                <w:lang w:val="uk-UA"/>
              </w:rPr>
            </w:pPr>
          </w:p>
        </w:tc>
      </w:tr>
      <w:tr w:rsidR="0036147E">
        <w:trPr>
          <w:trHeight w:val="559"/>
        </w:trPr>
        <w:tc>
          <w:tcPr>
            <w:tcW w:w="4992" w:type="dxa"/>
            <w:tcBorders>
              <w:top w:val="single" w:sz="6" w:space="0" w:color="auto"/>
              <w:left w:val="single" w:sz="12" w:space="0" w:color="auto"/>
              <w:bottom w:val="single" w:sz="6" w:space="0" w:color="auto"/>
              <w:right w:val="single" w:sz="12" w:space="0" w:color="auto"/>
            </w:tcBorders>
          </w:tcPr>
          <w:p w:rsidR="0036147E" w:rsidRDefault="0015172C">
            <w:pPr>
              <w:pStyle w:val="BodySingle"/>
              <w:rPr>
                <w:snapToGrid w:val="0"/>
                <w:lang w:val="uk-UA"/>
              </w:rPr>
            </w:pPr>
            <w:r>
              <w:rPr>
                <w:snapToGrid w:val="0"/>
                <w:lang w:val="uk-UA"/>
              </w:rPr>
              <w:t>Приріст потужностей за рахунок організаційно-технічних заходів, тис. гр. од.</w:t>
            </w:r>
          </w:p>
        </w:tc>
        <w:tc>
          <w:tcPr>
            <w:tcW w:w="1192"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c>
          <w:tcPr>
            <w:tcW w:w="1193"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40</w:t>
            </w:r>
          </w:p>
        </w:tc>
        <w:tc>
          <w:tcPr>
            <w:tcW w:w="875"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50</w:t>
            </w:r>
          </w:p>
        </w:tc>
        <w:tc>
          <w:tcPr>
            <w:tcW w:w="850"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150</w:t>
            </w:r>
          </w:p>
        </w:tc>
      </w:tr>
      <w:tr w:rsidR="0036147E">
        <w:trPr>
          <w:trHeight w:val="294"/>
        </w:trPr>
        <w:tc>
          <w:tcPr>
            <w:tcW w:w="4992"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Вибуття потужностей, тис. гр. од.</w:t>
            </w:r>
          </w:p>
        </w:tc>
        <w:tc>
          <w:tcPr>
            <w:tcW w:w="1192"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10</w:t>
            </w:r>
          </w:p>
        </w:tc>
        <w:tc>
          <w:tcPr>
            <w:tcW w:w="1193"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c>
          <w:tcPr>
            <w:tcW w:w="875"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30</w:t>
            </w:r>
          </w:p>
        </w:tc>
        <w:tc>
          <w:tcPr>
            <w:tcW w:w="850"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r>
      <w:tr w:rsidR="0036147E">
        <w:trPr>
          <w:trHeight w:val="588"/>
        </w:trPr>
        <w:tc>
          <w:tcPr>
            <w:tcW w:w="4992"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Коефіцієнт використання виробничої потужності</w:t>
            </w:r>
          </w:p>
        </w:tc>
        <w:tc>
          <w:tcPr>
            <w:tcW w:w="1192"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0.75</w:t>
            </w:r>
          </w:p>
        </w:tc>
        <w:tc>
          <w:tcPr>
            <w:tcW w:w="1193"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0.76</w:t>
            </w:r>
          </w:p>
        </w:tc>
        <w:tc>
          <w:tcPr>
            <w:tcW w:w="875"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0.80</w:t>
            </w:r>
          </w:p>
        </w:tc>
        <w:tc>
          <w:tcPr>
            <w:tcW w:w="850"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0.75</w:t>
            </w:r>
          </w:p>
        </w:tc>
      </w:tr>
      <w:tr w:rsidR="0036147E">
        <w:trPr>
          <w:trHeight w:val="908"/>
        </w:trPr>
        <w:tc>
          <w:tcPr>
            <w:tcW w:w="4992" w:type="dxa"/>
            <w:tcBorders>
              <w:top w:val="single" w:sz="6" w:space="0" w:color="auto"/>
              <w:left w:val="single" w:sz="12" w:space="0" w:color="auto"/>
              <w:bottom w:val="single" w:sz="12"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Коефіцієнт для перерахунку абсолютного введення (вибутку) потужностей у середньорічну величину</w:t>
            </w:r>
          </w:p>
        </w:tc>
        <w:tc>
          <w:tcPr>
            <w:tcW w:w="1192" w:type="dxa"/>
            <w:tcBorders>
              <w:top w:val="single" w:sz="6" w:space="0" w:color="auto"/>
              <w:left w:val="single" w:sz="12"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1193" w:type="dxa"/>
            <w:tcBorders>
              <w:top w:val="single" w:sz="6" w:space="0" w:color="auto"/>
              <w:left w:val="single" w:sz="6"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875" w:type="dxa"/>
            <w:tcBorders>
              <w:top w:val="single" w:sz="6" w:space="0" w:color="auto"/>
              <w:left w:val="single" w:sz="6"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850" w:type="dxa"/>
            <w:tcBorders>
              <w:top w:val="single" w:sz="6" w:space="0" w:color="auto"/>
              <w:left w:val="single" w:sz="6" w:space="0" w:color="auto"/>
              <w:bottom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r>
    </w:tbl>
    <w:p w:rsidR="0036147E" w:rsidRDefault="0036147E">
      <w:pPr>
        <w:pStyle w:val="a4"/>
      </w:pPr>
    </w:p>
    <w:p w:rsidR="0036147E" w:rsidRDefault="0036147E">
      <w:pPr>
        <w:pStyle w:val="a4"/>
      </w:pPr>
    </w:p>
    <w:p w:rsidR="0036147E" w:rsidRDefault="0036147E">
      <w:pPr>
        <w:pStyle w:val="a4"/>
      </w:pPr>
    </w:p>
    <w:p w:rsidR="0036147E" w:rsidRDefault="0036147E">
      <w:pPr>
        <w:pStyle w:val="a4"/>
      </w:pPr>
    </w:p>
    <w:p w:rsidR="0036147E" w:rsidRDefault="0015172C">
      <w:pPr>
        <w:pStyle w:val="a4"/>
        <w:jc w:val="center"/>
      </w:pPr>
      <w:r>
        <w:t>РОЗВ’ЯЗОК</w:t>
      </w:r>
    </w:p>
    <w:p w:rsidR="0036147E" w:rsidRDefault="0036147E">
      <w:pPr>
        <w:pStyle w:val="a4"/>
      </w:pPr>
    </w:p>
    <w:p w:rsidR="0036147E" w:rsidRDefault="0036147E">
      <w:pPr>
        <w:pStyle w:val="a4"/>
      </w:pPr>
    </w:p>
    <w:p w:rsidR="0036147E" w:rsidRDefault="0015172C">
      <w:pPr>
        <w:pStyle w:val="a4"/>
        <w:ind w:firstLine="0"/>
      </w:pPr>
      <w:r>
        <w:t>Введемо наступні позначення:</w:t>
      </w:r>
    </w:p>
    <w:p w:rsidR="0036147E" w:rsidRDefault="0036147E">
      <w:pPr>
        <w:pStyle w:val="a4"/>
        <w:ind w:firstLine="0"/>
      </w:pPr>
    </w:p>
    <w:p w:rsidR="0036147E" w:rsidRDefault="0015172C">
      <w:pPr>
        <w:pStyle w:val="a4"/>
        <w:ind w:left="709" w:hanging="709"/>
      </w:pPr>
      <w:r>
        <w:t>ВП</w:t>
      </w:r>
      <w:r>
        <w:rPr>
          <w:vertAlign w:val="subscript"/>
        </w:rPr>
        <w:t>п</w:t>
      </w:r>
      <w:r>
        <w:rPr>
          <w:vertAlign w:val="subscript"/>
        </w:rPr>
        <w:tab/>
      </w:r>
      <w:r>
        <w:t>– виробнича потужність на початок року</w:t>
      </w:r>
    </w:p>
    <w:p w:rsidR="0036147E" w:rsidRDefault="0015172C">
      <w:pPr>
        <w:pStyle w:val="a4"/>
        <w:ind w:left="709" w:hanging="709"/>
      </w:pPr>
      <w:r>
        <w:t>ВП</w:t>
      </w:r>
      <w:r>
        <w:tab/>
      </w:r>
      <w:r>
        <w:noBreakHyphen/>
        <w:t xml:space="preserve"> виробнича потужність на початок попереднього року</w:t>
      </w:r>
    </w:p>
    <w:p w:rsidR="0036147E" w:rsidRDefault="0015172C">
      <w:pPr>
        <w:pStyle w:val="a4"/>
        <w:ind w:left="709" w:hanging="709"/>
      </w:pPr>
      <w:r>
        <w:t>ПП</w:t>
      </w:r>
      <w:r>
        <w:tab/>
        <w:t>– приріст потужностей</w:t>
      </w:r>
    </w:p>
    <w:p w:rsidR="0036147E" w:rsidRDefault="0015172C">
      <w:pPr>
        <w:pStyle w:val="a4"/>
        <w:ind w:left="709" w:hanging="709"/>
      </w:pPr>
      <w:r>
        <w:t>ВбП</w:t>
      </w:r>
      <w:r>
        <w:tab/>
        <w:t>– вибуття потужностей</w:t>
      </w:r>
    </w:p>
    <w:p w:rsidR="0036147E" w:rsidRDefault="0015172C">
      <w:pPr>
        <w:pStyle w:val="a4"/>
        <w:ind w:left="709" w:hanging="709"/>
      </w:pPr>
      <w:r>
        <w:t>К</w:t>
      </w:r>
      <w:r>
        <w:rPr>
          <w:vertAlign w:val="subscript"/>
        </w:rPr>
        <w:t>вп</w:t>
      </w:r>
      <w:r>
        <w:rPr>
          <w:vertAlign w:val="subscript"/>
        </w:rPr>
        <w:tab/>
      </w:r>
      <w:r>
        <w:t>– коефіцієнт використання потужностей</w:t>
      </w:r>
    </w:p>
    <w:p w:rsidR="0036147E" w:rsidRDefault="0015172C">
      <w:pPr>
        <w:pStyle w:val="a4"/>
        <w:ind w:left="709" w:hanging="709"/>
        <w:rPr>
          <w:snapToGrid w:val="0"/>
        </w:rPr>
      </w:pPr>
      <w:r>
        <w:t>К</w:t>
      </w:r>
      <w:r>
        <w:rPr>
          <w:vertAlign w:val="subscript"/>
        </w:rPr>
        <w:t>п</w:t>
      </w:r>
      <w:r>
        <w:rPr>
          <w:vertAlign w:val="subscript"/>
        </w:rPr>
        <w:tab/>
      </w:r>
      <w:r>
        <w:noBreakHyphen/>
        <w:t xml:space="preserve"> к</w:t>
      </w:r>
      <w:r>
        <w:rPr>
          <w:snapToGrid w:val="0"/>
        </w:rPr>
        <w:t>оефіцієнт для перерахунку абсолютного введення (вибутку) потужностей у середньорічну величину</w:t>
      </w:r>
    </w:p>
    <w:p w:rsidR="0036147E" w:rsidRDefault="0015172C">
      <w:pPr>
        <w:pStyle w:val="a4"/>
        <w:ind w:left="709" w:hanging="709"/>
        <w:rPr>
          <w:snapToGrid w:val="0"/>
        </w:rPr>
      </w:pPr>
      <w:r>
        <w:rPr>
          <w:snapToGrid w:val="0"/>
        </w:rPr>
        <w:t>ВП</w:t>
      </w:r>
      <w:r>
        <w:rPr>
          <w:snapToGrid w:val="0"/>
          <w:vertAlign w:val="subscript"/>
        </w:rPr>
        <w:t>ср</w:t>
      </w:r>
      <w:r>
        <w:rPr>
          <w:snapToGrid w:val="0"/>
          <w:vertAlign w:val="subscript"/>
        </w:rPr>
        <w:tab/>
      </w:r>
      <w:r>
        <w:rPr>
          <w:snapToGrid w:val="0"/>
        </w:rPr>
        <w:t>– середньорічна величина виробничої потужності</w:t>
      </w:r>
    </w:p>
    <w:p w:rsidR="0036147E" w:rsidRDefault="0015172C">
      <w:pPr>
        <w:pStyle w:val="a4"/>
        <w:ind w:left="709" w:hanging="709"/>
      </w:pPr>
      <w:r>
        <w:t>П</w:t>
      </w:r>
      <w:r>
        <w:tab/>
        <w:t>– випуск продукції з діючих потужностей</w:t>
      </w:r>
    </w:p>
    <w:p w:rsidR="0036147E" w:rsidRDefault="0036147E">
      <w:pPr>
        <w:pStyle w:val="a4"/>
        <w:ind w:firstLine="0"/>
        <w:rPr>
          <w:vertAlign w:val="subscript"/>
        </w:rPr>
      </w:pPr>
    </w:p>
    <w:p w:rsidR="0036147E" w:rsidRDefault="0015172C">
      <w:pPr>
        <w:pStyle w:val="a4"/>
        <w:ind w:firstLine="0"/>
      </w:pPr>
      <w:r>
        <w:t>При обрахунках будемо використовувати наступні формули:</w:t>
      </w:r>
    </w:p>
    <w:p w:rsidR="0036147E" w:rsidRDefault="0036147E">
      <w:pPr>
        <w:pStyle w:val="a4"/>
        <w:ind w:firstLine="0"/>
      </w:pPr>
    </w:p>
    <w:p w:rsidR="0036147E" w:rsidRDefault="0015172C">
      <w:pPr>
        <w:pStyle w:val="a4"/>
        <w:ind w:firstLine="0"/>
        <w:rPr>
          <w:sz w:val="28"/>
        </w:rPr>
      </w:pPr>
      <w:r>
        <w:rPr>
          <w:sz w:val="28"/>
        </w:rPr>
        <w:t>ВП</w:t>
      </w:r>
      <w:r>
        <w:rPr>
          <w:sz w:val="28"/>
          <w:vertAlign w:val="subscript"/>
        </w:rPr>
        <w:t>п</w:t>
      </w:r>
      <w:r>
        <w:rPr>
          <w:sz w:val="28"/>
        </w:rPr>
        <w:t xml:space="preserve"> = ВП + ПП </w:t>
      </w:r>
      <w:r>
        <w:rPr>
          <w:sz w:val="28"/>
        </w:rPr>
        <w:noBreakHyphen/>
        <w:t xml:space="preserve"> ВбП</w:t>
      </w:r>
    </w:p>
    <w:p w:rsidR="0036147E" w:rsidRDefault="0036147E">
      <w:pPr>
        <w:pStyle w:val="a4"/>
        <w:ind w:firstLine="0"/>
        <w:rPr>
          <w:sz w:val="28"/>
        </w:rPr>
      </w:pPr>
    </w:p>
    <w:p w:rsidR="0036147E" w:rsidRDefault="0015172C">
      <w:pPr>
        <w:pStyle w:val="a4"/>
        <w:ind w:firstLine="0"/>
        <w:rPr>
          <w:sz w:val="28"/>
        </w:rPr>
      </w:pPr>
      <w:r>
        <w:rPr>
          <w:snapToGrid w:val="0"/>
          <w:sz w:val="28"/>
        </w:rPr>
        <w:t>ВП</w:t>
      </w:r>
      <w:r>
        <w:rPr>
          <w:snapToGrid w:val="0"/>
          <w:sz w:val="28"/>
          <w:vertAlign w:val="subscript"/>
        </w:rPr>
        <w:t>ср</w:t>
      </w:r>
      <w:r>
        <w:rPr>
          <w:snapToGrid w:val="0"/>
          <w:sz w:val="28"/>
        </w:rPr>
        <w:t xml:space="preserve"> = </w:t>
      </w:r>
      <w:r>
        <w:rPr>
          <w:sz w:val="28"/>
        </w:rPr>
        <w:t>ВП</w:t>
      </w:r>
      <w:r>
        <w:rPr>
          <w:sz w:val="28"/>
          <w:vertAlign w:val="subscript"/>
        </w:rPr>
        <w:t>п</w:t>
      </w:r>
      <w:r>
        <w:rPr>
          <w:sz w:val="28"/>
        </w:rPr>
        <w:t xml:space="preserve"> + (ПП-ВбП) * К</w:t>
      </w:r>
      <w:r>
        <w:rPr>
          <w:sz w:val="28"/>
          <w:vertAlign w:val="subscript"/>
        </w:rPr>
        <w:t>п</w:t>
      </w:r>
    </w:p>
    <w:p w:rsidR="0036147E" w:rsidRDefault="0036147E">
      <w:pPr>
        <w:pStyle w:val="a4"/>
        <w:ind w:firstLine="0"/>
        <w:rPr>
          <w:sz w:val="28"/>
        </w:rPr>
      </w:pPr>
    </w:p>
    <w:p w:rsidR="0036147E" w:rsidRDefault="0015172C">
      <w:pPr>
        <w:pStyle w:val="a4"/>
        <w:ind w:firstLine="0"/>
        <w:rPr>
          <w:sz w:val="28"/>
        </w:rPr>
      </w:pPr>
      <w:r>
        <w:rPr>
          <w:sz w:val="28"/>
        </w:rPr>
        <w:t xml:space="preserve">П = </w:t>
      </w:r>
      <w:r>
        <w:rPr>
          <w:snapToGrid w:val="0"/>
          <w:sz w:val="28"/>
        </w:rPr>
        <w:t>ВП</w:t>
      </w:r>
      <w:r>
        <w:rPr>
          <w:snapToGrid w:val="0"/>
          <w:sz w:val="28"/>
          <w:vertAlign w:val="subscript"/>
        </w:rPr>
        <w:t>ср</w:t>
      </w:r>
      <w:r>
        <w:rPr>
          <w:snapToGrid w:val="0"/>
          <w:sz w:val="28"/>
        </w:rPr>
        <w:t xml:space="preserve"> * </w:t>
      </w:r>
      <w:r>
        <w:rPr>
          <w:sz w:val="28"/>
        </w:rPr>
        <w:t>К</w:t>
      </w:r>
      <w:r>
        <w:rPr>
          <w:sz w:val="28"/>
          <w:vertAlign w:val="subscript"/>
        </w:rPr>
        <w:t>вп</w:t>
      </w:r>
    </w:p>
    <w:p w:rsidR="0036147E" w:rsidRDefault="0036147E">
      <w:pPr>
        <w:pStyle w:val="a4"/>
        <w:ind w:firstLine="0"/>
      </w:pPr>
    </w:p>
    <w:p w:rsidR="0036147E" w:rsidRDefault="0036147E">
      <w:pPr>
        <w:pStyle w:val="a4"/>
        <w:ind w:firstLine="0"/>
      </w:pPr>
    </w:p>
    <w:p w:rsidR="0036147E" w:rsidRDefault="0015172C">
      <w:pPr>
        <w:pStyle w:val="a4"/>
        <w:ind w:firstLine="0"/>
      </w:pPr>
      <w:r>
        <w:br w:type="page"/>
      </w:r>
    </w:p>
    <w:p w:rsidR="0036147E" w:rsidRDefault="0015172C">
      <w:pPr>
        <w:pStyle w:val="a4"/>
      </w:pPr>
      <w:r>
        <w:t>Знайдені результати занесемо у таблицю:</w:t>
      </w:r>
    </w:p>
    <w:p w:rsidR="0036147E" w:rsidRDefault="0036147E">
      <w:pPr>
        <w:pStyle w:val="a4"/>
      </w:pPr>
    </w:p>
    <w:tbl>
      <w:tblPr>
        <w:tblW w:w="0" w:type="auto"/>
        <w:tblInd w:w="-396" w:type="dxa"/>
        <w:tblLayout w:type="fixed"/>
        <w:tblCellMar>
          <w:left w:w="30" w:type="dxa"/>
          <w:right w:w="30" w:type="dxa"/>
        </w:tblCellMar>
        <w:tblLook w:val="0000" w:firstRow="0" w:lastRow="0" w:firstColumn="0" w:lastColumn="0" w:noHBand="0" w:noVBand="0"/>
      </w:tblPr>
      <w:tblGrid>
        <w:gridCol w:w="4679"/>
        <w:gridCol w:w="1276"/>
        <w:gridCol w:w="1276"/>
        <w:gridCol w:w="1276"/>
        <w:gridCol w:w="1275"/>
      </w:tblGrid>
      <w:tr w:rsidR="0036147E">
        <w:trPr>
          <w:cantSplit/>
          <w:trHeight w:val="309"/>
        </w:trPr>
        <w:tc>
          <w:tcPr>
            <w:tcW w:w="4679" w:type="dxa"/>
            <w:vMerge w:val="restart"/>
            <w:tcBorders>
              <w:top w:val="single" w:sz="12" w:space="0" w:color="auto"/>
              <w:lef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Показники</w:t>
            </w:r>
          </w:p>
        </w:tc>
        <w:tc>
          <w:tcPr>
            <w:tcW w:w="1276" w:type="dxa"/>
            <w:vMerge w:val="restart"/>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Базовий рік</w:t>
            </w:r>
          </w:p>
        </w:tc>
        <w:tc>
          <w:tcPr>
            <w:tcW w:w="3827" w:type="dxa"/>
            <w:gridSpan w:val="3"/>
            <w:tcBorders>
              <w:top w:val="single" w:sz="12" w:space="0" w:color="auto"/>
              <w:left w:val="single" w:sz="12" w:space="0" w:color="auto"/>
              <w:bottom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Розрахунковий період</w:t>
            </w:r>
          </w:p>
        </w:tc>
      </w:tr>
      <w:tr w:rsidR="0036147E">
        <w:trPr>
          <w:cantSplit/>
          <w:trHeight w:val="309"/>
        </w:trPr>
        <w:tc>
          <w:tcPr>
            <w:tcW w:w="4679" w:type="dxa"/>
            <w:vMerge/>
            <w:tcBorders>
              <w:left w:val="single" w:sz="12" w:space="0" w:color="auto"/>
            </w:tcBorders>
          </w:tcPr>
          <w:p w:rsidR="0036147E" w:rsidRDefault="0036147E">
            <w:pPr>
              <w:jc w:val="center"/>
              <w:rPr>
                <w:snapToGrid w:val="0"/>
                <w:color w:val="000000"/>
                <w:sz w:val="24"/>
                <w:lang w:val="uk-UA"/>
              </w:rPr>
            </w:pPr>
          </w:p>
        </w:tc>
        <w:tc>
          <w:tcPr>
            <w:tcW w:w="1276" w:type="dxa"/>
            <w:vMerge/>
            <w:tcBorders>
              <w:left w:val="single" w:sz="12" w:space="0" w:color="auto"/>
              <w:right w:val="single" w:sz="12" w:space="0" w:color="auto"/>
            </w:tcBorders>
          </w:tcPr>
          <w:p w:rsidR="0036147E" w:rsidRDefault="0036147E">
            <w:pPr>
              <w:jc w:val="center"/>
              <w:rPr>
                <w:snapToGrid w:val="0"/>
                <w:color w:val="000000"/>
                <w:sz w:val="24"/>
                <w:lang w:val="uk-UA"/>
              </w:rPr>
            </w:pPr>
          </w:p>
        </w:tc>
        <w:tc>
          <w:tcPr>
            <w:tcW w:w="1276"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Перший рік</w:t>
            </w:r>
          </w:p>
        </w:tc>
        <w:tc>
          <w:tcPr>
            <w:tcW w:w="1276"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Другий рік</w:t>
            </w:r>
          </w:p>
        </w:tc>
        <w:tc>
          <w:tcPr>
            <w:tcW w:w="1275" w:type="dxa"/>
            <w:tcBorders>
              <w:top w:val="single" w:sz="12" w:space="0" w:color="auto"/>
              <w:left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Третій рік</w:t>
            </w:r>
          </w:p>
        </w:tc>
      </w:tr>
      <w:tr w:rsidR="0036147E">
        <w:trPr>
          <w:trHeight w:val="620"/>
        </w:trPr>
        <w:tc>
          <w:tcPr>
            <w:tcW w:w="4679" w:type="dxa"/>
            <w:tcBorders>
              <w:top w:val="single" w:sz="12"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Виробнича потужність на початок року, млн. грош. од.</w:t>
            </w:r>
          </w:p>
        </w:tc>
        <w:tc>
          <w:tcPr>
            <w:tcW w:w="1276" w:type="dxa"/>
            <w:tcBorders>
              <w:top w:val="single" w:sz="12"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600.00</w:t>
            </w:r>
          </w:p>
        </w:tc>
        <w:tc>
          <w:tcPr>
            <w:tcW w:w="1276" w:type="dxa"/>
            <w:tcBorders>
              <w:top w:val="single" w:sz="12"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600.01</w:t>
            </w:r>
          </w:p>
        </w:tc>
        <w:tc>
          <w:tcPr>
            <w:tcW w:w="1276" w:type="dxa"/>
            <w:tcBorders>
              <w:top w:val="single" w:sz="12"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600.03</w:t>
            </w:r>
          </w:p>
        </w:tc>
        <w:tc>
          <w:tcPr>
            <w:tcW w:w="1275" w:type="dxa"/>
            <w:tcBorders>
              <w:top w:val="single" w:sz="12"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600.05</w:t>
            </w:r>
          </w:p>
        </w:tc>
      </w:tr>
      <w:tr w:rsidR="0036147E">
        <w:trPr>
          <w:trHeight w:val="544"/>
        </w:trPr>
        <w:tc>
          <w:tcPr>
            <w:tcW w:w="4679" w:type="dxa"/>
            <w:tcBorders>
              <w:top w:val="single" w:sz="6" w:space="0" w:color="auto"/>
              <w:left w:val="single" w:sz="12" w:space="0" w:color="auto"/>
              <w:bottom w:val="single" w:sz="6" w:space="0" w:color="auto"/>
              <w:right w:val="single" w:sz="12" w:space="0" w:color="auto"/>
            </w:tcBorders>
          </w:tcPr>
          <w:p w:rsidR="0036147E" w:rsidRDefault="0015172C">
            <w:pPr>
              <w:pStyle w:val="BodySingle"/>
              <w:rPr>
                <w:snapToGrid w:val="0"/>
                <w:lang w:val="uk-UA"/>
              </w:rPr>
            </w:pPr>
            <w:r>
              <w:rPr>
                <w:snapToGrid w:val="0"/>
                <w:lang w:val="uk-UA"/>
              </w:rPr>
              <w:t>Приріст потужностей за рахунок організаційно-технічних заходів, тис. гр. од.</w:t>
            </w:r>
          </w:p>
        </w:tc>
        <w:tc>
          <w:tcPr>
            <w:tcW w:w="1276"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40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50</w:t>
            </w:r>
          </w:p>
        </w:tc>
        <w:tc>
          <w:tcPr>
            <w:tcW w:w="1275"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150</w:t>
            </w:r>
          </w:p>
        </w:tc>
      </w:tr>
      <w:tr w:rsidR="0036147E">
        <w:trPr>
          <w:trHeight w:val="255"/>
        </w:trPr>
        <w:tc>
          <w:tcPr>
            <w:tcW w:w="4679"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Вибуття потужностей, тис. гр. од.</w:t>
            </w:r>
          </w:p>
        </w:tc>
        <w:tc>
          <w:tcPr>
            <w:tcW w:w="1276"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10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30</w:t>
            </w:r>
          </w:p>
        </w:tc>
        <w:tc>
          <w:tcPr>
            <w:tcW w:w="1275"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20</w:t>
            </w:r>
          </w:p>
        </w:tc>
      </w:tr>
      <w:tr w:rsidR="0036147E">
        <w:trPr>
          <w:trHeight w:val="529"/>
        </w:trPr>
        <w:tc>
          <w:tcPr>
            <w:tcW w:w="4679"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Коефіцієнт використання виробничої потужності</w:t>
            </w:r>
          </w:p>
        </w:tc>
        <w:tc>
          <w:tcPr>
            <w:tcW w:w="1276"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0.75</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0.76</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0.80</w:t>
            </w:r>
          </w:p>
        </w:tc>
        <w:tc>
          <w:tcPr>
            <w:tcW w:w="1275"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0.75</w:t>
            </w:r>
          </w:p>
        </w:tc>
      </w:tr>
      <w:tr w:rsidR="0036147E">
        <w:trPr>
          <w:trHeight w:val="817"/>
        </w:trPr>
        <w:tc>
          <w:tcPr>
            <w:tcW w:w="4679"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Коефіцієнт для перерахунку абсолютного введення (вибутку) потужностей у середньорічну величину</w:t>
            </w:r>
          </w:p>
        </w:tc>
        <w:tc>
          <w:tcPr>
            <w:tcW w:w="1276"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c>
          <w:tcPr>
            <w:tcW w:w="1275"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0.45</w:t>
            </w:r>
          </w:p>
        </w:tc>
      </w:tr>
      <w:tr w:rsidR="0036147E">
        <w:trPr>
          <w:trHeight w:val="492"/>
        </w:trPr>
        <w:tc>
          <w:tcPr>
            <w:tcW w:w="4679" w:type="dxa"/>
            <w:tcBorders>
              <w:top w:val="single" w:sz="6" w:space="0" w:color="auto"/>
              <w:left w:val="single" w:sz="12" w:space="0" w:color="auto"/>
              <w:bottom w:val="single" w:sz="6" w:space="0" w:color="auto"/>
              <w:right w:val="single" w:sz="12" w:space="0" w:color="auto"/>
            </w:tcBorders>
          </w:tcPr>
          <w:p w:rsidR="0036147E" w:rsidRDefault="0015172C">
            <w:pPr>
              <w:rPr>
                <w:snapToGrid w:val="0"/>
                <w:color w:val="000000"/>
                <w:sz w:val="24"/>
                <w:lang w:val="uk-UA"/>
              </w:rPr>
            </w:pPr>
            <w:r>
              <w:rPr>
                <w:snapToGrid w:val="0"/>
                <w:color w:val="000000"/>
                <w:sz w:val="24"/>
                <w:lang w:val="uk-UA"/>
              </w:rPr>
              <w:t>Середньорічна величина виробничої потужності, тис. гр. од.</w:t>
            </w:r>
          </w:p>
        </w:tc>
        <w:tc>
          <w:tcPr>
            <w:tcW w:w="1276" w:type="dxa"/>
            <w:tcBorders>
              <w:top w:val="single" w:sz="6" w:space="0" w:color="auto"/>
              <w:left w:val="single" w:sz="12"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600 004.50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600 019.00</w:t>
            </w:r>
          </w:p>
        </w:tc>
        <w:tc>
          <w:tcPr>
            <w:tcW w:w="1276" w:type="dxa"/>
            <w:tcBorders>
              <w:top w:val="single" w:sz="6" w:space="0" w:color="auto"/>
              <w:left w:val="single" w:sz="6" w:space="0" w:color="auto"/>
              <w:bottom w:val="single" w:sz="6"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600 039.00</w:t>
            </w:r>
          </w:p>
        </w:tc>
        <w:tc>
          <w:tcPr>
            <w:tcW w:w="1275" w:type="dxa"/>
            <w:tcBorders>
              <w:top w:val="single" w:sz="6" w:space="0" w:color="auto"/>
              <w:left w:val="single" w:sz="6" w:space="0" w:color="auto"/>
              <w:bottom w:val="single" w:sz="6"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600 108.50</w:t>
            </w:r>
          </w:p>
        </w:tc>
      </w:tr>
      <w:tr w:rsidR="0036147E">
        <w:trPr>
          <w:trHeight w:val="628"/>
        </w:trPr>
        <w:tc>
          <w:tcPr>
            <w:tcW w:w="4679" w:type="dxa"/>
            <w:tcBorders>
              <w:top w:val="single" w:sz="6" w:space="0" w:color="auto"/>
              <w:left w:val="single" w:sz="12" w:space="0" w:color="auto"/>
              <w:bottom w:val="single" w:sz="12" w:space="0" w:color="auto"/>
              <w:right w:val="single" w:sz="12" w:space="0" w:color="auto"/>
            </w:tcBorders>
          </w:tcPr>
          <w:p w:rsidR="0036147E" w:rsidRDefault="0015172C">
            <w:pPr>
              <w:rPr>
                <w:snapToGrid w:val="0"/>
                <w:color w:val="000000"/>
                <w:sz w:val="24"/>
                <w:lang w:val="uk-UA"/>
              </w:rPr>
            </w:pPr>
            <w:r>
              <w:rPr>
                <w:snapToGrid w:val="0"/>
                <w:color w:val="000000"/>
                <w:sz w:val="24"/>
                <w:lang w:val="uk-UA"/>
              </w:rPr>
              <w:t>Випуск продукції з діючих потужностей, тис. гр. од.</w:t>
            </w:r>
          </w:p>
        </w:tc>
        <w:tc>
          <w:tcPr>
            <w:tcW w:w="1276" w:type="dxa"/>
            <w:tcBorders>
              <w:top w:val="single" w:sz="6" w:space="0" w:color="auto"/>
              <w:left w:val="single" w:sz="12"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450 003.38</w:t>
            </w:r>
          </w:p>
        </w:tc>
        <w:tc>
          <w:tcPr>
            <w:tcW w:w="1276" w:type="dxa"/>
            <w:tcBorders>
              <w:top w:val="single" w:sz="6" w:space="0" w:color="auto"/>
              <w:left w:val="single" w:sz="6"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456 014.44</w:t>
            </w:r>
          </w:p>
        </w:tc>
        <w:tc>
          <w:tcPr>
            <w:tcW w:w="1276" w:type="dxa"/>
            <w:tcBorders>
              <w:top w:val="single" w:sz="6" w:space="0" w:color="auto"/>
              <w:left w:val="single" w:sz="6" w:space="0" w:color="auto"/>
              <w:bottom w:val="single" w:sz="12" w:space="0" w:color="auto"/>
              <w:right w:val="single" w:sz="6" w:space="0" w:color="auto"/>
            </w:tcBorders>
            <w:vAlign w:val="center"/>
          </w:tcPr>
          <w:p w:rsidR="0036147E" w:rsidRDefault="0015172C">
            <w:pPr>
              <w:jc w:val="center"/>
              <w:rPr>
                <w:snapToGrid w:val="0"/>
                <w:color w:val="000000"/>
                <w:sz w:val="24"/>
                <w:lang w:val="uk-UA"/>
              </w:rPr>
            </w:pPr>
            <w:r>
              <w:rPr>
                <w:snapToGrid w:val="0"/>
                <w:color w:val="000000"/>
                <w:sz w:val="24"/>
                <w:lang w:val="uk-UA"/>
              </w:rPr>
              <w:t>480 031.20</w:t>
            </w:r>
          </w:p>
        </w:tc>
        <w:tc>
          <w:tcPr>
            <w:tcW w:w="1275" w:type="dxa"/>
            <w:tcBorders>
              <w:top w:val="single" w:sz="6" w:space="0" w:color="auto"/>
              <w:left w:val="single" w:sz="6" w:space="0" w:color="auto"/>
              <w:bottom w:val="single" w:sz="12" w:space="0" w:color="auto"/>
              <w:right w:val="single" w:sz="12" w:space="0" w:color="auto"/>
            </w:tcBorders>
            <w:vAlign w:val="center"/>
          </w:tcPr>
          <w:p w:rsidR="0036147E" w:rsidRDefault="0015172C">
            <w:pPr>
              <w:jc w:val="center"/>
              <w:rPr>
                <w:snapToGrid w:val="0"/>
                <w:color w:val="000000"/>
                <w:sz w:val="24"/>
                <w:lang w:val="uk-UA"/>
              </w:rPr>
            </w:pPr>
            <w:r>
              <w:rPr>
                <w:snapToGrid w:val="0"/>
                <w:color w:val="000000"/>
                <w:sz w:val="24"/>
                <w:lang w:val="uk-UA"/>
              </w:rPr>
              <w:t>450 081.38</w:t>
            </w:r>
          </w:p>
        </w:tc>
      </w:tr>
    </w:tbl>
    <w:p w:rsidR="0036147E" w:rsidRDefault="0036147E">
      <w:pPr>
        <w:pStyle w:val="a4"/>
      </w:pPr>
    </w:p>
    <w:p w:rsidR="0036147E" w:rsidRDefault="0036147E">
      <w:pPr>
        <w:pStyle w:val="a4"/>
      </w:pPr>
    </w:p>
    <w:p w:rsidR="0036147E" w:rsidRDefault="0036147E">
      <w:pPr>
        <w:pStyle w:val="a4"/>
      </w:pPr>
    </w:p>
    <w:p w:rsidR="0036147E" w:rsidRDefault="0036147E">
      <w:pPr>
        <w:pStyle w:val="a4"/>
      </w:pPr>
    </w:p>
    <w:p w:rsidR="0036147E" w:rsidRDefault="0015172C">
      <w:pPr>
        <w:pStyle w:val="a4"/>
      </w:pPr>
      <w:r>
        <w:t>Роботу виконав</w:t>
      </w:r>
      <w:r>
        <w:tab/>
      </w:r>
      <w:r>
        <w:tab/>
      </w:r>
      <w:r>
        <w:tab/>
      </w:r>
      <w:r>
        <w:tab/>
      </w:r>
      <w:r>
        <w:tab/>
      </w:r>
      <w:r>
        <w:tab/>
        <w:t>Редчиць С.І.</w:t>
      </w:r>
    </w:p>
    <w:p w:rsidR="0036147E" w:rsidRDefault="0015172C">
      <w:pPr>
        <w:pStyle w:val="a4"/>
      </w:pPr>
      <w:r>
        <w:t>Дата</w:t>
      </w:r>
    </w:p>
    <w:p w:rsidR="0036147E" w:rsidRDefault="0036147E">
      <w:pPr>
        <w:pStyle w:val="a4"/>
      </w:pPr>
    </w:p>
    <w:p w:rsidR="0036147E" w:rsidRDefault="0036147E">
      <w:pPr>
        <w:pStyle w:val="a4"/>
      </w:pPr>
    </w:p>
    <w:p w:rsidR="0036147E" w:rsidRDefault="0036147E">
      <w:pPr>
        <w:pStyle w:val="a4"/>
      </w:pPr>
    </w:p>
    <w:p w:rsidR="0036147E" w:rsidRDefault="0015172C">
      <w:pPr>
        <w:pStyle w:val="a4"/>
      </w:pPr>
      <w:r>
        <w:t>РЕЦЕНЗІЯ</w:t>
      </w:r>
    </w:p>
    <w:p w:rsidR="0036147E" w:rsidRDefault="0036147E">
      <w:pPr>
        <w:pStyle w:val="a4"/>
      </w:pPr>
      <w:bookmarkStart w:id="9" w:name="_GoBack"/>
      <w:bookmarkEnd w:id="9"/>
    </w:p>
    <w:sectPr w:rsidR="0036147E">
      <w:headerReference w:type="even" r:id="rId13"/>
      <w:headerReference w:type="default" r:id="rId14"/>
      <w:footerReference w:type="even" r:id="rId15"/>
      <w:footerReference w:type="default" r:id="rId16"/>
      <w:endnotePr>
        <w:numFmt w:val="decimal"/>
      </w:endnotePr>
      <w:pgSz w:w="11905" w:h="16838"/>
      <w:pgMar w:top="850" w:right="1134" w:bottom="850"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47E" w:rsidRDefault="0015172C">
      <w:r>
        <w:separator/>
      </w:r>
    </w:p>
  </w:endnote>
  <w:endnote w:type="continuationSeparator" w:id="0">
    <w:p w:rsidR="0036147E" w:rsidRDefault="0015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7E" w:rsidRDefault="0015172C">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36147E" w:rsidRDefault="003614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7E" w:rsidRDefault="0015172C">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36147E" w:rsidRDefault="003614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47E" w:rsidRDefault="0015172C">
      <w:r>
        <w:separator/>
      </w:r>
    </w:p>
  </w:footnote>
  <w:footnote w:type="continuationSeparator" w:id="0">
    <w:p w:rsidR="0036147E" w:rsidRDefault="00151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7E" w:rsidRDefault="0015172C">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6147E" w:rsidRDefault="0036147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47E" w:rsidRDefault="0015172C">
    <w:pPr>
      <w:pStyle w:val="a4"/>
    </w:pPr>
    <w:r>
      <w:rPr>
        <w:rStyle w:val="a8"/>
        <w:color w:val="auto"/>
        <w:lang w:val="en-AU"/>
      </w:rPr>
      <w:fldChar w:fldCharType="begin"/>
    </w:r>
    <w:r>
      <w:rPr>
        <w:rStyle w:val="a8"/>
        <w:color w:val="auto"/>
        <w:lang w:val="en-AU"/>
      </w:rPr>
      <w:instrText xml:space="preserve"> PAGE </w:instrText>
    </w:r>
    <w:r>
      <w:rPr>
        <w:rStyle w:val="a8"/>
        <w:color w:val="auto"/>
        <w:lang w:val="en-AU"/>
      </w:rPr>
      <w:fldChar w:fldCharType="separate"/>
    </w:r>
    <w:r>
      <w:rPr>
        <w:rStyle w:val="a8"/>
        <w:noProof/>
        <w:color w:val="auto"/>
        <w:lang w:val="en-AU"/>
      </w:rPr>
      <w:t>2</w:t>
    </w:r>
    <w:r>
      <w:rPr>
        <w:rStyle w:val="a8"/>
        <w:color w:val="auto"/>
        <w:lang w:val="en-AU"/>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EE0E6DC"/>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4FA509A"/>
    <w:lvl w:ilvl="0">
      <w:start w:val="1"/>
      <w:numFmt w:val="bullet"/>
      <w:pStyle w:val="a"/>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44213B"/>
    <w:multiLevelType w:val="singleLevel"/>
    <w:tmpl w:val="2174B220"/>
    <w:lvl w:ilvl="0">
      <w:start w:val="1"/>
      <w:numFmt w:val="decimal"/>
      <w:lvlText w:val="%1."/>
      <w:lvlJc w:val="left"/>
      <w:pPr>
        <w:tabs>
          <w:tab w:val="num" w:pos="1069"/>
        </w:tabs>
        <w:ind w:left="1069" w:hanging="360"/>
      </w:pPr>
      <w:rPr>
        <w:rFonts w:hint="default"/>
      </w:rPr>
    </w:lvl>
  </w:abstractNum>
  <w:abstractNum w:abstractNumId="4">
    <w:nsid w:val="086D6C01"/>
    <w:multiLevelType w:val="singleLevel"/>
    <w:tmpl w:val="84DC87BE"/>
    <w:lvl w:ilvl="0">
      <w:start w:val="12"/>
      <w:numFmt w:val="bullet"/>
      <w:lvlText w:val="-"/>
      <w:lvlJc w:val="left"/>
      <w:pPr>
        <w:tabs>
          <w:tab w:val="num" w:pos="360"/>
        </w:tabs>
        <w:ind w:left="360" w:hanging="360"/>
      </w:pPr>
      <w:rPr>
        <w:rFonts w:hint="default"/>
      </w:rPr>
    </w:lvl>
  </w:abstractNum>
  <w:abstractNum w:abstractNumId="5">
    <w:nsid w:val="0B15461C"/>
    <w:multiLevelType w:val="singleLevel"/>
    <w:tmpl w:val="A49EDDFA"/>
    <w:lvl w:ilvl="0">
      <w:start w:val="1"/>
      <w:numFmt w:val="decimal"/>
      <w:lvlText w:val="%1."/>
      <w:lvlJc w:val="left"/>
      <w:pPr>
        <w:tabs>
          <w:tab w:val="num" w:pos="1069"/>
        </w:tabs>
        <w:ind w:left="1069" w:hanging="360"/>
      </w:pPr>
      <w:rPr>
        <w:rFonts w:hint="default"/>
      </w:rPr>
    </w:lvl>
  </w:abstractNum>
  <w:abstractNum w:abstractNumId="6">
    <w:nsid w:val="0E9938AF"/>
    <w:multiLevelType w:val="singleLevel"/>
    <w:tmpl w:val="917479D8"/>
    <w:lvl w:ilvl="0">
      <w:start w:val="1"/>
      <w:numFmt w:val="decimal"/>
      <w:lvlText w:val="%1."/>
      <w:lvlJc w:val="left"/>
      <w:pPr>
        <w:tabs>
          <w:tab w:val="num" w:pos="360"/>
        </w:tabs>
        <w:ind w:left="360" w:hanging="360"/>
      </w:pPr>
      <w:rPr>
        <w:rFonts w:hint="default"/>
      </w:rPr>
    </w:lvl>
  </w:abstractNum>
  <w:abstractNum w:abstractNumId="7">
    <w:nsid w:val="13EC7F15"/>
    <w:multiLevelType w:val="singleLevel"/>
    <w:tmpl w:val="2174B220"/>
    <w:lvl w:ilvl="0">
      <w:start w:val="1"/>
      <w:numFmt w:val="decimal"/>
      <w:lvlText w:val="%1."/>
      <w:lvlJc w:val="left"/>
      <w:pPr>
        <w:tabs>
          <w:tab w:val="num" w:pos="1069"/>
        </w:tabs>
        <w:ind w:left="1069" w:hanging="360"/>
      </w:pPr>
      <w:rPr>
        <w:rFonts w:hint="default"/>
      </w:rPr>
    </w:lvl>
  </w:abstractNum>
  <w:abstractNum w:abstractNumId="8">
    <w:nsid w:val="1A2A6BDE"/>
    <w:multiLevelType w:val="singleLevel"/>
    <w:tmpl w:val="FFE6D668"/>
    <w:lvl w:ilvl="0">
      <w:start w:val="1"/>
      <w:numFmt w:val="decimal"/>
      <w:lvlText w:val="%1."/>
      <w:lvlJc w:val="left"/>
      <w:pPr>
        <w:tabs>
          <w:tab w:val="num" w:pos="1069"/>
        </w:tabs>
        <w:ind w:left="1069" w:hanging="360"/>
      </w:pPr>
      <w:rPr>
        <w:rFonts w:hint="default"/>
      </w:rPr>
    </w:lvl>
  </w:abstractNum>
  <w:abstractNum w:abstractNumId="9">
    <w:nsid w:val="233F530A"/>
    <w:multiLevelType w:val="singleLevel"/>
    <w:tmpl w:val="C298F4F4"/>
    <w:lvl w:ilvl="0">
      <w:start w:val="1"/>
      <w:numFmt w:val="decimal"/>
      <w:lvlText w:val="%1."/>
      <w:lvlJc w:val="left"/>
      <w:pPr>
        <w:tabs>
          <w:tab w:val="num" w:pos="1069"/>
        </w:tabs>
        <w:ind w:left="1069" w:hanging="360"/>
      </w:pPr>
      <w:rPr>
        <w:rFonts w:hint="default"/>
      </w:rPr>
    </w:lvl>
  </w:abstractNum>
  <w:abstractNum w:abstractNumId="10">
    <w:nsid w:val="2E2C1C50"/>
    <w:multiLevelType w:val="singleLevel"/>
    <w:tmpl w:val="D11CBB82"/>
    <w:lvl w:ilvl="0">
      <w:start w:val="1"/>
      <w:numFmt w:val="decimal"/>
      <w:lvlText w:val="%1."/>
      <w:lvlJc w:val="left"/>
      <w:pPr>
        <w:tabs>
          <w:tab w:val="num" w:pos="360"/>
        </w:tabs>
        <w:ind w:left="360" w:hanging="360"/>
      </w:pPr>
      <w:rPr>
        <w:rFonts w:hint="default"/>
      </w:rPr>
    </w:lvl>
  </w:abstractNum>
  <w:abstractNum w:abstractNumId="11">
    <w:nsid w:val="5F57480A"/>
    <w:multiLevelType w:val="singleLevel"/>
    <w:tmpl w:val="C0A4D88E"/>
    <w:lvl w:ilvl="0">
      <w:start w:val="1"/>
      <w:numFmt w:val="decimal"/>
      <w:lvlText w:val="%1."/>
      <w:lvlJc w:val="left"/>
      <w:pPr>
        <w:tabs>
          <w:tab w:val="num" w:pos="1069"/>
        </w:tabs>
        <w:ind w:left="1069" w:hanging="360"/>
      </w:pPr>
      <w:rPr>
        <w:rFonts w:hint="default"/>
      </w:rPr>
    </w:lvl>
  </w:abstractNum>
  <w:abstractNum w:abstractNumId="12">
    <w:nsid w:val="6D8548FC"/>
    <w:multiLevelType w:val="singleLevel"/>
    <w:tmpl w:val="84DC87BE"/>
    <w:lvl w:ilvl="0">
      <w:start w:val="12"/>
      <w:numFmt w:val="bullet"/>
      <w:lvlText w:val="-"/>
      <w:lvlJc w:val="left"/>
      <w:pPr>
        <w:tabs>
          <w:tab w:val="num" w:pos="360"/>
        </w:tabs>
        <w:ind w:left="360" w:hanging="360"/>
      </w:pPr>
      <w:rPr>
        <w:rFonts w:hint="default"/>
      </w:rPr>
    </w:lvl>
  </w:abstractNum>
  <w:abstractNum w:abstractNumId="13">
    <w:nsid w:val="7482640E"/>
    <w:multiLevelType w:val="singleLevel"/>
    <w:tmpl w:val="8CD07A64"/>
    <w:lvl w:ilvl="0">
      <w:start w:val="1"/>
      <w:numFmt w:val="decimal"/>
      <w:lvlText w:val="%1."/>
      <w:lvlJc w:val="left"/>
      <w:pPr>
        <w:tabs>
          <w:tab w:val="num" w:pos="1080"/>
        </w:tabs>
        <w:ind w:left="1080" w:hanging="360"/>
      </w:pPr>
      <w:rPr>
        <w:rFonts w:hint="default"/>
      </w:rPr>
    </w:lvl>
  </w:abstractNum>
  <w:abstractNum w:abstractNumId="14">
    <w:nsid w:val="77833960"/>
    <w:multiLevelType w:val="singleLevel"/>
    <w:tmpl w:val="ED2C3E66"/>
    <w:lvl w:ilvl="0">
      <w:start w:val="1"/>
      <w:numFmt w:val="decimal"/>
      <w:pStyle w:val="1"/>
      <w:lvlText w:val="%1."/>
      <w:lvlJc w:val="left"/>
      <w:pPr>
        <w:tabs>
          <w:tab w:val="num" w:pos="360"/>
        </w:tabs>
        <w:ind w:left="360" w:hanging="360"/>
      </w:pPr>
      <w:rPr>
        <w:rFonts w:hint="default"/>
      </w:rPr>
    </w:lvl>
  </w:abstractNum>
  <w:abstractNum w:abstractNumId="15">
    <w:nsid w:val="7F757860"/>
    <w:multiLevelType w:val="singleLevel"/>
    <w:tmpl w:val="A064AA70"/>
    <w:lvl w:ilvl="0">
      <w:start w:val="1"/>
      <w:numFmt w:val="decimal"/>
      <w:lvlText w:val="%1."/>
      <w:lvlJc w:val="left"/>
      <w:pPr>
        <w:tabs>
          <w:tab w:val="num" w:pos="1069"/>
        </w:tabs>
        <w:ind w:left="1069" w:hanging="360"/>
      </w:pPr>
      <w:rPr>
        <w:rFonts w:hint="default"/>
      </w:rPr>
    </w:lvl>
  </w:abstractNum>
  <w:num w:numId="1">
    <w:abstractNumId w:val="2"/>
    <w:lvlOverride w:ilvl="0">
      <w:lvl w:ilvl="0">
        <w:start w:val="2"/>
        <w:numFmt w:val="bullet"/>
        <w:lvlText w:val="-"/>
        <w:legacy w:legacy="1" w:legacySpace="0" w:legacyIndent="1069"/>
        <w:lvlJc w:val="left"/>
        <w:pPr>
          <w:ind w:left="1778" w:hanging="1069"/>
        </w:pPr>
        <w:rPr>
          <w:rFonts w:ascii="Times New Roman" w:hAnsi="Times New Roman" w:hint="default"/>
        </w:rPr>
      </w:lvl>
    </w:lvlOverride>
  </w:num>
  <w:num w:numId="2">
    <w:abstractNumId w:val="11"/>
  </w:num>
  <w:num w:numId="3">
    <w:abstractNumId w:val="8"/>
  </w:num>
  <w:num w:numId="4">
    <w:abstractNumId w:val="5"/>
  </w:num>
  <w:num w:numId="5">
    <w:abstractNumId w:val="9"/>
  </w:num>
  <w:num w:numId="6">
    <w:abstractNumId w:val="15"/>
  </w:num>
  <w:num w:numId="7">
    <w:abstractNumId w:val="3"/>
  </w:num>
  <w:num w:numId="8">
    <w:abstractNumId w:val="7"/>
  </w:num>
  <w:num w:numId="9">
    <w:abstractNumId w:val="10"/>
  </w:num>
  <w:num w:numId="10">
    <w:abstractNumId w:val="6"/>
  </w:num>
  <w:num w:numId="11">
    <w:abstractNumId w:val="13"/>
  </w:num>
  <w:num w:numId="12">
    <w:abstractNumId w:val="1"/>
  </w:num>
  <w:num w:numId="13">
    <w:abstractNumId w:val="0"/>
  </w:num>
  <w:num w:numId="14">
    <w:abstractNumId w:val="4"/>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activeWritingStyle w:appName="MSWord" w:lang="en-AU" w:vendorID="8" w:dllVersion="513" w:checkStyle="1"/>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72C"/>
    <w:rsid w:val="0015172C"/>
    <w:rsid w:val="0036147E"/>
    <w:rsid w:val="0043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32FC15F-E3C1-4F79-BA98-50C47986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lang w:val="en-AU"/>
    </w:rPr>
  </w:style>
  <w:style w:type="paragraph" w:styleId="1">
    <w:name w:val="heading 1"/>
    <w:basedOn w:val="a0"/>
    <w:next w:val="a0"/>
    <w:autoRedefine/>
    <w:qFormat/>
    <w:pPr>
      <w:keepNext/>
      <w:numPr>
        <w:numId w:val="15"/>
      </w:numPr>
      <w:spacing w:after="120" w:line="360" w:lineRule="auto"/>
      <w:jc w:val="center"/>
      <w:outlineLvl w:val="0"/>
    </w:pPr>
    <w:rPr>
      <w:b/>
      <w:caps/>
      <w:sz w:val="24"/>
      <w:lang w:val="uk-UA"/>
    </w:rPr>
  </w:style>
  <w:style w:type="paragraph" w:styleId="20">
    <w:name w:val="heading 2"/>
    <w:basedOn w:val="a0"/>
    <w:next w:val="a0"/>
    <w:qFormat/>
    <w:pPr>
      <w:keepNext/>
      <w:ind w:firstLine="851"/>
      <w:outlineLvl w:val="1"/>
    </w:pPr>
    <w:rPr>
      <w:sz w:val="28"/>
    </w:rPr>
  </w:style>
  <w:style w:type="paragraph" w:styleId="5">
    <w:name w:val="heading 5"/>
    <w:basedOn w:val="a0"/>
    <w:next w:val="a0"/>
    <w:qFormat/>
    <w:pPr>
      <w:spacing w:before="240" w:after="60"/>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autoRedefine/>
    <w:semiHidden/>
    <w:pPr>
      <w:ind w:firstLine="851"/>
      <w:jc w:val="both"/>
    </w:pPr>
    <w:rPr>
      <w:color w:val="000000"/>
      <w:sz w:val="24"/>
      <w:lang w:val="uk-UA"/>
    </w:rPr>
  </w:style>
  <w:style w:type="paragraph" w:customStyle="1" w:styleId="BodySingle">
    <w:name w:val="Body Single"/>
    <w:pPr>
      <w:widowControl w:val="0"/>
    </w:pPr>
    <w:rPr>
      <w:color w:val="000000"/>
      <w:sz w:val="24"/>
      <w:lang w:val="en-AU"/>
    </w:rPr>
  </w:style>
  <w:style w:type="paragraph" w:customStyle="1" w:styleId="Bullet">
    <w:name w:val="Bullet"/>
    <w:pPr>
      <w:widowControl w:val="0"/>
      <w:ind w:left="288"/>
    </w:pPr>
    <w:rPr>
      <w:color w:val="000000"/>
      <w:sz w:val="24"/>
      <w:lang w:val="en-AU"/>
    </w:rPr>
  </w:style>
  <w:style w:type="paragraph" w:customStyle="1" w:styleId="Bullet1">
    <w:name w:val="Bullet 1"/>
    <w:pPr>
      <w:widowControl w:val="0"/>
      <w:ind w:left="576"/>
    </w:pPr>
    <w:rPr>
      <w:color w:val="000000"/>
      <w:sz w:val="24"/>
      <w:lang w:val="en-AU"/>
    </w:rPr>
  </w:style>
  <w:style w:type="paragraph" w:customStyle="1" w:styleId="NumberList">
    <w:name w:val="Number List"/>
    <w:pPr>
      <w:widowControl w:val="0"/>
      <w:ind w:left="720"/>
    </w:pPr>
    <w:rPr>
      <w:color w:val="000000"/>
      <w:sz w:val="24"/>
      <w:lang w:val="en-AU"/>
    </w:rPr>
  </w:style>
  <w:style w:type="paragraph" w:customStyle="1" w:styleId="Subhead">
    <w:name w:val="Subhead"/>
    <w:pPr>
      <w:widowControl w:val="0"/>
      <w:spacing w:before="72" w:after="72"/>
    </w:pPr>
    <w:rPr>
      <w:b/>
      <w:i/>
      <w:color w:val="000000"/>
      <w:sz w:val="24"/>
      <w:lang w:val="en-AU"/>
    </w:rPr>
  </w:style>
  <w:style w:type="paragraph" w:styleId="a5">
    <w:name w:val="Title"/>
    <w:basedOn w:val="a0"/>
    <w:qFormat/>
    <w:pPr>
      <w:keepNext/>
      <w:keepLines/>
      <w:spacing w:before="144" w:after="72"/>
    </w:pPr>
    <w:rPr>
      <w:rFonts w:ascii="Arial" w:hAnsi="Arial"/>
      <w:b/>
      <w:color w:val="000000"/>
      <w:sz w:val="36"/>
    </w:rPr>
  </w:style>
  <w:style w:type="paragraph" w:styleId="a6">
    <w:name w:val="header"/>
    <w:basedOn w:val="a0"/>
    <w:semiHidden/>
    <w:pPr>
      <w:tabs>
        <w:tab w:val="center" w:pos="4536"/>
        <w:tab w:val="right" w:pos="9072"/>
      </w:tabs>
    </w:pPr>
  </w:style>
  <w:style w:type="paragraph" w:styleId="a7">
    <w:name w:val="footer"/>
    <w:basedOn w:val="a0"/>
    <w:semiHidden/>
    <w:pPr>
      <w:tabs>
        <w:tab w:val="center" w:pos="4536"/>
        <w:tab w:val="right" w:pos="9072"/>
      </w:tabs>
    </w:pPr>
  </w:style>
  <w:style w:type="paragraph" w:customStyle="1" w:styleId="TableText">
    <w:name w:val="Table Text"/>
    <w:pPr>
      <w:widowControl w:val="0"/>
    </w:pPr>
    <w:rPr>
      <w:color w:val="000000"/>
      <w:sz w:val="24"/>
      <w:lang w:val="en-AU"/>
    </w:rPr>
  </w:style>
  <w:style w:type="character" w:styleId="a8">
    <w:name w:val="page number"/>
    <w:basedOn w:val="a1"/>
    <w:semiHidden/>
    <w:rPr>
      <w:sz w:val="20"/>
    </w:rPr>
  </w:style>
  <w:style w:type="paragraph" w:styleId="a9">
    <w:name w:val="Subtitle"/>
    <w:basedOn w:val="a0"/>
    <w:qFormat/>
    <w:pPr>
      <w:jc w:val="center"/>
    </w:pPr>
    <w:rPr>
      <w:rFonts w:ascii="Courier New" w:hAnsi="Courier New"/>
      <w:sz w:val="28"/>
    </w:rPr>
  </w:style>
  <w:style w:type="paragraph" w:customStyle="1" w:styleId="21">
    <w:name w:val="Основний текст 21"/>
    <w:basedOn w:val="a0"/>
    <w:pPr>
      <w:jc w:val="both"/>
    </w:pPr>
    <w:rPr>
      <w:sz w:val="28"/>
    </w:rPr>
  </w:style>
  <w:style w:type="paragraph" w:styleId="aa">
    <w:name w:val="Body Text Indent"/>
    <w:basedOn w:val="a0"/>
    <w:semiHidden/>
    <w:pPr>
      <w:ind w:firstLine="709"/>
      <w:jc w:val="both"/>
    </w:pPr>
    <w:rPr>
      <w:sz w:val="28"/>
    </w:rPr>
  </w:style>
  <w:style w:type="paragraph" w:customStyle="1" w:styleId="210">
    <w:name w:val="Основний текст з відступом 21"/>
    <w:basedOn w:val="a0"/>
    <w:pPr>
      <w:ind w:firstLine="709"/>
    </w:pPr>
    <w:rPr>
      <w:sz w:val="28"/>
    </w:rPr>
  </w:style>
  <w:style w:type="paragraph" w:customStyle="1" w:styleId="31">
    <w:name w:val="Основний текст з відступом 31"/>
    <w:basedOn w:val="a0"/>
    <w:pPr>
      <w:ind w:firstLine="567"/>
      <w:jc w:val="both"/>
    </w:pPr>
    <w:rPr>
      <w:sz w:val="28"/>
    </w:rPr>
  </w:style>
  <w:style w:type="paragraph" w:styleId="10">
    <w:name w:val="toc 1"/>
    <w:basedOn w:val="a0"/>
    <w:next w:val="a0"/>
    <w:autoRedefine/>
    <w:semiHidden/>
    <w:pPr>
      <w:spacing w:before="120" w:after="120"/>
    </w:pPr>
    <w:rPr>
      <w:b/>
      <w:caps/>
      <w:sz w:val="24"/>
    </w:rPr>
  </w:style>
  <w:style w:type="paragraph" w:styleId="22">
    <w:name w:val="toc 2"/>
    <w:basedOn w:val="a0"/>
    <w:next w:val="a0"/>
    <w:autoRedefine/>
    <w:semiHidden/>
    <w:pPr>
      <w:ind w:left="200"/>
    </w:pPr>
    <w:rPr>
      <w:smallCaps/>
    </w:rPr>
  </w:style>
  <w:style w:type="paragraph" w:styleId="3">
    <w:name w:val="toc 3"/>
    <w:basedOn w:val="a0"/>
    <w:next w:val="a0"/>
    <w:autoRedefine/>
    <w:semiHidden/>
    <w:pPr>
      <w:ind w:left="400"/>
    </w:pPr>
    <w:rPr>
      <w:i/>
    </w:rPr>
  </w:style>
  <w:style w:type="paragraph" w:styleId="4">
    <w:name w:val="toc 4"/>
    <w:basedOn w:val="a0"/>
    <w:next w:val="a0"/>
    <w:autoRedefine/>
    <w:semiHidden/>
    <w:pPr>
      <w:ind w:left="600"/>
    </w:pPr>
    <w:rPr>
      <w:sz w:val="18"/>
    </w:rPr>
  </w:style>
  <w:style w:type="paragraph" w:styleId="50">
    <w:name w:val="toc 5"/>
    <w:basedOn w:val="a0"/>
    <w:next w:val="a0"/>
    <w:autoRedefine/>
    <w:semiHidden/>
    <w:pPr>
      <w:ind w:left="800"/>
    </w:pPr>
    <w:rPr>
      <w:sz w:val="18"/>
    </w:rPr>
  </w:style>
  <w:style w:type="paragraph" w:styleId="6">
    <w:name w:val="toc 6"/>
    <w:basedOn w:val="a0"/>
    <w:next w:val="a0"/>
    <w:autoRedefine/>
    <w:semiHidden/>
    <w:pPr>
      <w:ind w:left="1000"/>
    </w:pPr>
    <w:rPr>
      <w:sz w:val="18"/>
    </w:rPr>
  </w:style>
  <w:style w:type="paragraph" w:styleId="7">
    <w:name w:val="toc 7"/>
    <w:basedOn w:val="a0"/>
    <w:next w:val="a0"/>
    <w:autoRedefine/>
    <w:semiHidden/>
    <w:pPr>
      <w:ind w:left="1200"/>
    </w:pPr>
    <w:rPr>
      <w:sz w:val="18"/>
    </w:rPr>
  </w:style>
  <w:style w:type="paragraph" w:styleId="8">
    <w:name w:val="toc 8"/>
    <w:basedOn w:val="a0"/>
    <w:next w:val="a0"/>
    <w:autoRedefine/>
    <w:semiHidden/>
    <w:pPr>
      <w:ind w:left="1400"/>
    </w:pPr>
    <w:rPr>
      <w:sz w:val="18"/>
    </w:rPr>
  </w:style>
  <w:style w:type="paragraph" w:styleId="9">
    <w:name w:val="toc 9"/>
    <w:basedOn w:val="a0"/>
    <w:next w:val="a0"/>
    <w:autoRedefine/>
    <w:semiHidden/>
    <w:pPr>
      <w:ind w:left="1600"/>
    </w:pPr>
    <w:rPr>
      <w:sz w:val="18"/>
    </w:rPr>
  </w:style>
  <w:style w:type="character" w:customStyle="1" w:styleId="ab">
    <w:name w:val="Печатная машинка"/>
    <w:rPr>
      <w:rFonts w:ascii="Courier New" w:hAnsi="Courier New"/>
      <w:sz w:val="20"/>
    </w:rPr>
  </w:style>
  <w:style w:type="paragraph" w:customStyle="1" w:styleId="ac">
    <w:name w:val="Термин"/>
    <w:basedOn w:val="a0"/>
    <w:next w:val="a0"/>
    <w:rPr>
      <w:snapToGrid w:val="0"/>
      <w:sz w:val="24"/>
      <w:lang w:val="ru-RU"/>
    </w:rPr>
  </w:style>
  <w:style w:type="paragraph" w:customStyle="1" w:styleId="ad">
    <w:name w:val="Готовый"/>
    <w:basedOn w:val="a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ru-RU"/>
    </w:rPr>
  </w:style>
  <w:style w:type="paragraph" w:styleId="23">
    <w:name w:val="List 2"/>
    <w:basedOn w:val="a0"/>
    <w:semiHidden/>
    <w:pPr>
      <w:ind w:left="566" w:hanging="283"/>
    </w:pPr>
  </w:style>
  <w:style w:type="paragraph" w:styleId="a">
    <w:name w:val="List Bullet"/>
    <w:basedOn w:val="a0"/>
    <w:autoRedefine/>
    <w:semiHidden/>
    <w:pPr>
      <w:numPr>
        <w:numId w:val="12"/>
      </w:numPr>
    </w:pPr>
  </w:style>
  <w:style w:type="paragraph" w:styleId="2">
    <w:name w:val="List Bullet 2"/>
    <w:basedOn w:val="a0"/>
    <w:autoRedefine/>
    <w:semiHidden/>
    <w:pPr>
      <w:numPr>
        <w:numId w:val="13"/>
      </w:numPr>
    </w:pPr>
  </w:style>
  <w:style w:type="paragraph" w:styleId="24">
    <w:name w:val="List Continue 2"/>
    <w:basedOn w:val="a0"/>
    <w:semiHidden/>
    <w:pPr>
      <w:spacing w:after="120"/>
      <w:ind w:left="56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3738</Words>
  <Characters>21308</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Страница1ФИНАНСОВАЯ АКАДЕМИЯ </vt:lpstr>
    </vt:vector>
  </TitlesOfParts>
  <Manager>Право. Міжнародні відносини</Manager>
  <Company> Право. Міжнародні відносини</Company>
  <LinksUpToDate>false</LinksUpToDate>
  <CharactersWithSpaces>24997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Страница1ФИНАНСОВАЯ АКАДЕМИЯ </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cp:lastPrinted>1998-12-30T06:37:00Z</cp:lastPrinted>
  <dcterms:created xsi:type="dcterms:W3CDTF">2014-08-15T09:35:00Z</dcterms:created>
  <dcterms:modified xsi:type="dcterms:W3CDTF">2014-08-15T09:35:00Z</dcterms:modified>
  <cp:category>Право. Міжнародні відносини</cp:category>
</cp:coreProperties>
</file>