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84" w:rsidRPr="00BE2E2D" w:rsidRDefault="00FD4D84" w:rsidP="00FD4D84">
      <w:pPr>
        <w:widowControl/>
        <w:snapToGrid/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2E2D">
        <w:rPr>
          <w:rFonts w:ascii="Times New Roman" w:hAnsi="Times New Roman" w:cs="Times New Roman"/>
          <w:b/>
          <w:bCs/>
          <w:sz w:val="32"/>
          <w:szCs w:val="32"/>
        </w:rPr>
        <w:t>Какова методика анализа дебиторской задолженности?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Большое внимание при анализе текущих активов должно быть уделено дебиторской задолженности. При наличии конкуренции и сложностей сбыта продукции предприятия продают ее, используя формы последующей оплаты. Поэтому дебиторская задолженность является важной частью оборотного капитала.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Производится изучение состава и структуры дебиторской задолженности по данным актива баланса. Составляется табл. 3. [21, c.90].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3.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состава и структуры дебиторской задолженности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798"/>
        <w:gridCol w:w="1076"/>
        <w:gridCol w:w="773"/>
        <w:gridCol w:w="1076"/>
        <w:gridCol w:w="926"/>
        <w:gridCol w:w="1450"/>
      </w:tblGrid>
      <w:tr w:rsidR="00FD4D84" w:rsidRPr="00BE2E2D" w:rsidTr="00BD43E5">
        <w:trPr>
          <w:cantSplit/>
          <w:trHeight w:val="365"/>
        </w:trPr>
        <w:tc>
          <w:tcPr>
            <w:tcW w:w="18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Расчеты с дебиторами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8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13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Изменение за отчетный период</w:t>
            </w:r>
          </w:p>
        </w:tc>
      </w:tr>
      <w:tr w:rsidR="00FD4D84" w:rsidRPr="00BE2E2D" w:rsidTr="00BD43E5">
        <w:trPr>
          <w:cantSplit/>
          <w:trHeight w:val="422"/>
        </w:trPr>
        <w:tc>
          <w:tcPr>
            <w:tcW w:w="18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удельного веса,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процентных пунктов</w:t>
            </w:r>
          </w:p>
        </w:tc>
      </w:tr>
      <w:tr w:rsidR="00FD4D84" w:rsidRPr="00BE2E2D" w:rsidTr="00BD43E5">
        <w:trPr>
          <w:trHeight w:val="259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1. С покупателями и заказчиками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2. По векселям полученным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8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3. По авансам выданным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4. По претензиям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5. По внебюджетным платежам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69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6. С бюджетом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7. По социальному страхованию и обеспечению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8. По оплате труда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9. С подотчетными лицами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10. С персоналом по прочим операциям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7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11. С прочими дебиторами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288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12. С дочерними предприятиями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rPr>
          <w:trHeight w:val="307"/>
        </w:trPr>
        <w:tc>
          <w:tcPr>
            <w:tcW w:w="1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По данным табл. 3. анализируют о существенных изменениях как абсолютной суммы, так и структуры дебиторской задолженности.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После общего ознакомления с составом и структурой дебиторской задолженности необходимо дать оценку ее со следующей точки зрения: реальной ее стоимости, так как не вся она может быть взыскана; влияния на финансовые результат предприятия. Возвратность дебиторской задолженности определяется на основе прошлого опыта и текущих условий. Бухгалтерский риск состоит в том, что прошлый опыт может быть неадекватной мерой будущею убытка или что текущие условия могут быть не полностью учтены. В результате убытки могут быть существенными.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Аналитику необходимо знать реальность (правдивость) и правильность оформления дебиторской задолженности, правильность определения вероятности возврата этой задолженности. Расчет процента невозврата долгов производится по средним данным за несколько лег. Например, для расчета взяты данные за 5 лет, которые составили: 1. 2,5. 3. 5. 8%. Средний процент невозврата дебиторской задолженности за пять лет ранен 3,9. Однако нельзя его распространять на изучаемый период механически. Следует учитывать реальные условия, а они таковы, что видна явная тенденция роста процента невозврата. Поэтому целесообразно изучать [18, c.78]: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какой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процент невозврата дебиторской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приходится на одного или нескольких главных должников, этот процент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характеризует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концентрацию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невозврата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задолженности; будет ли влиять неплатеж одним главных должников на финансовое положение предприятия: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каково распределение дебиторской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по срокам образования;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какая доля векселей и дебиторской задолженности представляет продление старых векселей;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были ли приняты в расчет скидки и другие условия в пользу потребителя, например его право на возврат продукции.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Важным является изучение показателей качества и ликвидности дебиторской задолженности. Под качеством дебиторской задолженности понимается вероятность получения этой задолженности в полной сумме. Показателем этой вероятности является срок образования задолженности, а также удельный вес просроченной. Опыт показывает, что чем больший срок дебиторской задолженности, тем ниже вероятность ее получения.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Целесообразно составить аналитическую таблицу, характеризующую возраст дебиторской задолженности по форме 1. [21, c.92].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2"/>
        <w:gridCol w:w="1678"/>
        <w:gridCol w:w="944"/>
        <w:gridCol w:w="1049"/>
        <w:gridCol w:w="1049"/>
        <w:gridCol w:w="1049"/>
        <w:gridCol w:w="1464"/>
      </w:tblGrid>
      <w:tr w:rsidR="00FD4D84" w:rsidRPr="00BE2E2D" w:rsidTr="00BD43E5">
        <w:trPr>
          <w:cantSplit/>
          <w:trHeight w:val="384"/>
        </w:trPr>
        <w:tc>
          <w:tcPr>
            <w:tcW w:w="11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Статьи дебиторской задолженности</w:t>
            </w:r>
          </w:p>
        </w:tc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 пределах срока</w:t>
            </w:r>
          </w:p>
        </w:tc>
        <w:tc>
          <w:tcPr>
            <w:tcW w:w="29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Дни после просрочки задолженности</w:t>
            </w:r>
          </w:p>
        </w:tc>
      </w:tr>
      <w:tr w:rsidR="00FD4D84" w:rsidRPr="00BE2E2D" w:rsidTr="00BD43E5">
        <w:trPr>
          <w:cantSplit/>
          <w:trHeight w:val="673"/>
        </w:trPr>
        <w:tc>
          <w:tcPr>
            <w:tcW w:w="11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31 — 60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61 — 90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91 - 120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свыше 120</w:t>
            </w:r>
          </w:p>
        </w:tc>
      </w:tr>
      <w:tr w:rsidR="00FD4D84" w:rsidRPr="00BE2E2D" w:rsidTr="00BD43E5">
        <w:trPr>
          <w:trHeight w:val="250"/>
        </w:trPr>
        <w:tc>
          <w:tcPr>
            <w:tcW w:w="1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 зависимости от конкретных условий могут быть приняты и другие интервалы дней просрочки. Наличие такой информации за длительный период позволяет выявить как общие тенденции расчетной дисциплины, так и конкретных покупателей, наиболее часто попадающих в число ненадежных должников. Обобщенным показателем возраста задолженности является оборачиваемость. Рассчитывается фактическая оборачиваемость и ожидаемая на основании условий договоров.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Показатель ликвидности дебиторской задолженности характеризует скорость, с которой она будет превращена в денежные средства, т. е. это тоже оборачиваемость. Таким образом, показателем качества и ликвидности дебиторской задолженности может быть ее оборачиваемость. Она рассчитывается как отношение объема отгрузки по отпускным ценам и средней дебиторской задолженности, т. е. по формуле [10, c.22]: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Кд = Г / Зд;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 xml:space="preserve">Г — отгрузка продукции,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3д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— средняя дебиторская задолженность.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Этот коэффициент показывает, сколько раз задолженность образуется и поступает предприятию за изучаемый период.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Оборачиваемость дебиторской задолженности может быть рассчитана и в днях Этот показатель отражает среднее количество дней, необходимое для ее возврата, рассчитывается как отношение количества дней в периоде и коэффициента оборачиваемости, или по формуле [10, c.22]: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Од = Зд.к*Д / Г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3д.к — сумма задолженности на конец периода,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Д - длительность периода;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Г - объем отгрузки.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Поскольку в данном расчете задолженность берется по состоянию на конец периода, то результат фокусируется на самых последних данных.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оборачиваемости дебиторской задолженности сравниваются за ряд периодов со средними по отрасли, с условиями договоров. Сравнение фактической оборачиваемости с рассчитанной по условиям договоров дает возможность оценить степень своевременности платежей покупателями. Отклонение фактической оборачиваемости от договорной может быть следствием: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плохой работы по возврату задолженности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затруднения в получении этих сумм, несмотря на хорошую работу ответственных лиц;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4) финансовых затруднений у покупателей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Первая причина может быть устранена вмешательством администрации. Две другие связаны с качеством и ликвидностью дебиторской задолженности.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Таким образом, при анализе дебиторской задолженности, прежде всего, рассматривается ее состав и структура, их динамика. После общего ознакомления с составом и структурой необходимо дать оценку ее с точки зрения реальной ее стоимости, влияния на финансовые результат предприятия. Важным является изучение показателей качества и ликвидности дебиторской задолженности.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Экспресс-анализ хозяйственной деятельности ЗАО «ГРОДНОТОРГСЕРВИС»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платежеспособности характеризуют способность предприятия погашать свои краткосрочные финансовые обязательства в зависимости от использования для этих целей различных платежных ресурсов: денежных средств, дебиторской задолженности и запасов и затрат.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Определим данные показатели (табл. 4.) [8, c.121].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4.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платежеспособности (ликвидности активов) ЗАО «Гродноторгсервис» в2002г.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3"/>
        <w:gridCol w:w="1327"/>
        <w:gridCol w:w="1436"/>
        <w:gridCol w:w="1265"/>
      </w:tblGrid>
      <w:tr w:rsidR="00FD4D84" w:rsidRPr="00BE2E2D" w:rsidTr="00BD43E5">
        <w:tc>
          <w:tcPr>
            <w:tcW w:w="289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Показатель и методика его расчета</w:t>
            </w:r>
          </w:p>
        </w:tc>
        <w:tc>
          <w:tcPr>
            <w:tcW w:w="69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75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</w:tr>
      <w:tr w:rsidR="00FD4D84" w:rsidRPr="00BE2E2D" w:rsidTr="00BD43E5">
        <w:tc>
          <w:tcPr>
            <w:tcW w:w="289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Коэффициент общей (текущей) ликвидности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стр.290-стр.217-стр.230-стр.252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стр.590-стр.540-стр.550-стр.560</w:t>
            </w:r>
          </w:p>
        </w:tc>
        <w:tc>
          <w:tcPr>
            <w:tcW w:w="69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1,0 – 1,7</w:t>
            </w:r>
          </w:p>
        </w:tc>
        <w:tc>
          <w:tcPr>
            <w:tcW w:w="75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D4D84" w:rsidRPr="00BE2E2D" w:rsidTr="00BD43E5">
        <w:tc>
          <w:tcPr>
            <w:tcW w:w="289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Коэффициент абсолютной ликвидности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стр.261+стр.262+стр.263+стр.264+стр.253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стр.590-стр.540-стр.550-стр.560</w:t>
            </w:r>
          </w:p>
        </w:tc>
        <w:tc>
          <w:tcPr>
            <w:tcW w:w="69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&gt;0,2 или 20-25%</w:t>
            </w:r>
          </w:p>
        </w:tc>
        <w:tc>
          <w:tcPr>
            <w:tcW w:w="75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FD4D84" w:rsidRPr="00BE2E2D" w:rsidTr="00BD43E5">
        <w:tc>
          <w:tcPr>
            <w:tcW w:w="2896" w:type="pct"/>
          </w:tcPr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Коэффициент промежуточной (критической) ликвидности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стр.290-стр.210-стр.220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стр.590-стр.540-стр.550-стр.560</w:t>
            </w:r>
          </w:p>
        </w:tc>
        <w:tc>
          <w:tcPr>
            <w:tcW w:w="69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&gt;0,5 или 50%</w:t>
            </w:r>
          </w:p>
        </w:tc>
        <w:tc>
          <w:tcPr>
            <w:tcW w:w="75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Таким образом, на анализируемом предприятии все коэффициенты ликвидности удовлетворяют нормативным. Это говорит о том, что ЗАО «Гродноторгсервис» является платежеспособным предприятием, способным вовремя и в полном размере погасить свои обязательства.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финансовой устойчивости характеризуют степень зависимости предприятия от внешних кредиторов. Рассчитаем данные показатели (табл. 5.) [2, c.315].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Таблица 5.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финансовой устойчивости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8"/>
        <w:gridCol w:w="1365"/>
        <w:gridCol w:w="1365"/>
        <w:gridCol w:w="1273"/>
      </w:tblGrid>
      <w:tr w:rsidR="00FD4D84" w:rsidRPr="00BE2E2D" w:rsidTr="00BD43E5">
        <w:trPr>
          <w:tblHeader/>
        </w:trPr>
        <w:tc>
          <w:tcPr>
            <w:tcW w:w="290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Показатель и методика его расчета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1. К-т обеспеченности собственными оборотными средствами 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стр.390+стр.490+стр.540+стр.550+стр.560-стр.190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 0,1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К-т соотношения заемных и собственных источников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стр.490+стр.590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3. К-т финансовой зависимости 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стр.490+стр.590-стр.540-стр.550-стр.560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стр.299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&lt;0,5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Доля кредиторской задолженности в пассиве баланса (%)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(стр.490+стр.590-540-550-560) * 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стр.599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5. К-т соотношения кредиторской и дебиторской задолженности</w:t>
            </w:r>
          </w:p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стр.490+590-540-550-560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стр.216+230+240+270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&lt;1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6. К-т покрытия задолженности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стр.490+590-540-550-560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3,59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7. К-т автономии: отношения собственных средств к итогу актива баланса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стр.299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&gt;0,5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8. Чистые активы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стр.299-220-235-244-252-350-490-510-520-530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2314093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3489651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9.Доля чистых активов в общей валюте баланса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стр.299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10. К-т привлечения долгосрочных заемных средств (инвестиций)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стр.490+390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FD4D84" w:rsidRPr="00BE2E2D" w:rsidTr="00BD43E5">
        <w:tc>
          <w:tcPr>
            <w:tcW w:w="290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11. К-т изношенности основных средств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стр.392гр.3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стр.392гр.4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стр.320гр.3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стр.320гр.6</w:t>
            </w: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6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На основе данных представленной таблицы можно сделать вывод о том, что ЗАО «Гродноторгсервис» не зависит от внешних кредиторов. На проведение различных мероприятий у данного предприятия достаточно собственных средств. Доля заемных средств составляет только 30% от средств предприятия, однако следует отметить, что доля заемных средств увеличилась на конец 2002г. на 9%. На ЗАО «Гродноторгсервис» доля кредиторской задолженности превышает долю дебиторской. Однако для анализируемого предприятия данный факт не является угрожающим, поскольку, как было уже определено ранее, предприятие является платежеспособным. В любом случае, коэффициент покрытия задолженности свидетельствует об этом, несмотря на то, что он снизился на конец 2002г. Важным также является сумма чистых активов предприятия и их доля в общей валюте баланса. Как можно заметить из таблицы, их доля составляет 0,82 на начало 2002г. и 0,74 на конец 2002г.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 xml:space="preserve">кроме того, на предприятии привлекается небольшой объем инвестиций. Изношенность основных средств составляет 18-20%. 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 целом предприятие является финансово устойчивым и финансово независимым.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эффективности результатов хозяйственной деятельности характеризуют соотношение конечных финансовых результатов работы предприятия (балансовая прибыль) и тех ресурсов, которые будут использованы для получения этих результатов [13, c.245]. Рассчитаем данные показатели по предложенной методике и оформим их в табл.6.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6.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эффективности результатов хозяйственной деятельности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6"/>
        <w:gridCol w:w="1572"/>
        <w:gridCol w:w="1323"/>
      </w:tblGrid>
      <w:tr w:rsidR="00FD4D84" w:rsidRPr="00BE2E2D" w:rsidTr="00BD43E5">
        <w:trPr>
          <w:tblHeader/>
        </w:trPr>
        <w:tc>
          <w:tcPr>
            <w:tcW w:w="348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 и методика расчета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нач.2002г.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кон.2002г.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Рентабельность как отношение балансовой прибыли к уставному фонду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стр.130(гр.4)*100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стр.130гр.3*100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стр.310гр.3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стр.310гр.4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1047,8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Рентабельность как отношение балансовой прибыли к активам баланса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стр.130гр.4*100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стр.130гр.3*100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(стр.299-235)гр.3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(стр.299-235)гр.4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Рентабельность издержек предприятия (отношение прибыли от реализации продукции к полной себестоимости)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стр.050*100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стр.020+030+040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Рентабельность собственного капитала (отношение чистой прибыли к среднегодовой сумме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собственного капитала)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(стр.130-140)г.4*100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(стр.130-140)гр.3*100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стр.390гр.3ф.1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стр.390гр.4ф.1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FD4D84" w:rsidRPr="00BE2E2D" w:rsidTr="00BD43E5">
        <w:trPr>
          <w:cantSplit/>
        </w:trPr>
        <w:tc>
          <w:tcPr>
            <w:tcW w:w="5000" w:type="pct"/>
            <w:gridSpan w:val="3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структуру общей выручки (расчет производится по данным отчета о прибыли)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5. Удельный вес балансовой прибыли к общей выручке предприятия 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стр.130*100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стр.010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6. Удельный вес прибыли от реализации продукции в выручке от реализации продукции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стр.050*100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стр.010гр.3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7. Удельный вес затрат на производство реализованной продукции (затраты на рубль реализованной продукции)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(стр.020+030+040)*100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стр.010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8. Удельный вес материальных затрат в реализованной продукции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ф.5 стр.610гр.4 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ф.5 стр.610гр.3 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ф.2 стр.010гр.4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ф.2 стр.010гр.3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D4D84" w:rsidRPr="00BE2E2D" w:rsidTr="00BD43E5">
        <w:tc>
          <w:tcPr>
            <w:tcW w:w="348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9. Удельный вес затрат на оплату труда и отчислений на соц нужды в себестоимости реализованной продукции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ф.5 (стр.620+630)гр.4*100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ф.5 (стр.620+630)гр.3*100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ф.2 стр.020гр.4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ф.2 стр.020гр.3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9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Из данных представленной таблицы можно заметить, что ЗАО «Гродноторгсервис» в 2002г.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работал успешно и рентабельно, при этом все показатели рентабельности увеличились за анализируемый период. Так, например, рентабельность как отношение балансовой прибыли к активам баланса увеличилась на 4,8%. Рентабельность издержек производства увеличилась значительно на 43,8%., что связано со снижением удельного веса затрат на производство на 13,3%, в том числе материальных на 2,6%.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Рассмотрим структуру и динамику бухгалтерского баланса ЗАО «Гродноторгсервис» в 2002г. в разрезе составляющих его статей и разделов (табл.7. и табл.8.) [17, c.46].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7.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Структура и динамика актива бухгалтерского баланса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8"/>
        <w:gridCol w:w="1088"/>
        <w:gridCol w:w="1087"/>
        <w:gridCol w:w="1087"/>
        <w:gridCol w:w="1087"/>
        <w:gridCol w:w="1087"/>
        <w:gridCol w:w="1087"/>
      </w:tblGrid>
      <w:tr w:rsidR="00FD4D84" w:rsidRPr="00BE2E2D" w:rsidTr="00BD43E5">
        <w:trPr>
          <w:cantSplit/>
        </w:trPr>
        <w:tc>
          <w:tcPr>
            <w:tcW w:w="1592" w:type="pct"/>
            <w:vMerge w:val="restar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Раздел баланса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нач. 2002г.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кон. 2002г.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FD4D84" w:rsidRPr="00BE2E2D" w:rsidTr="00BD43E5">
        <w:trPr>
          <w:cantSplit/>
        </w:trPr>
        <w:tc>
          <w:tcPr>
            <w:tcW w:w="1592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2234840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3809291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1574451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Оборотные активы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561108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883061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321953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Как видим, значительную долю активов составляют внеоборотные активы – более 70%, и их доля увеличилась на 1,2% к концу 2002г.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Динамику изменения активов баланса можно представить в виде следующей диаграммы 1.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object w:dxaOrig="6106" w:dyaOrig="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220.5pt" o:ole="" fillcolor="window">
            <v:imagedata r:id="rId5" o:title=""/>
          </v:shape>
          <o:OLEObject Type="Embed" ProgID="Excel.Sheet.8" ShapeID="_x0000_i1025" DrawAspect="Content" ObjectID="_1454376449" r:id="rId6">
            <o:FieldCodes>\s</o:FieldCodes>
          </o:OLEObject>
        </w:objec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Диаграмма 1. Изменение активов баланса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8.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Структура и динамика пассива бухгалтерского баланса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8"/>
        <w:gridCol w:w="1088"/>
        <w:gridCol w:w="1087"/>
        <w:gridCol w:w="1087"/>
        <w:gridCol w:w="1087"/>
        <w:gridCol w:w="1087"/>
        <w:gridCol w:w="1087"/>
      </w:tblGrid>
      <w:tr w:rsidR="00FD4D84" w:rsidRPr="00BE2E2D" w:rsidTr="00BD43E5">
        <w:trPr>
          <w:cantSplit/>
        </w:trPr>
        <w:tc>
          <w:tcPr>
            <w:tcW w:w="1592" w:type="pct"/>
            <w:vMerge w:val="restar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Раздел баланса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нач. 2002г.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кон. 2002г.</w:t>
            </w:r>
          </w:p>
        </w:tc>
        <w:tc>
          <w:tcPr>
            <w:tcW w:w="1136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FD4D84" w:rsidRPr="00BE2E2D" w:rsidTr="00BD43E5">
        <w:trPr>
          <w:cantSplit/>
        </w:trPr>
        <w:tc>
          <w:tcPr>
            <w:tcW w:w="1592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2310784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3586371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1275587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-6,2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241127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791561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550434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244037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314420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70383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FD4D84" w:rsidRPr="00BE2E2D" w:rsidTr="00BD43E5">
        <w:tc>
          <w:tcPr>
            <w:tcW w:w="159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  <w:tc>
          <w:tcPr>
            <w:tcW w:w="56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 структуре пассивов ЗАО «Гродноторгсервис» преобладает собственный капитал – более 70%, но доля его снизилась на конец 2002г. на 6,2%. Структура обязательств изменилась в течение года. Если на начало 2002г. немного больше приходилось на краткосрочные – 8,8%, то к концу 2002г. долгосрочные выросли практически в два раза, значительно превзойдя краткосрочные, доля которых снизилась на 2,0%.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Динамику пассивов баланса также можно наглядно представить в виде диаграммы 2.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object w:dxaOrig="6960" w:dyaOrig="4454">
          <v:shape id="_x0000_i1026" type="#_x0000_t75" style="width:348pt;height:222.75pt" o:ole="" fillcolor="window">
            <v:imagedata r:id="rId7" o:title=""/>
          </v:shape>
          <o:OLEObject Type="Embed" ProgID="Excel.Sheet.8" ShapeID="_x0000_i1026" DrawAspect="Content" ObjectID="_1454376450" r:id="rId8">
            <o:FieldCodes>\s</o:FieldCodes>
          </o:OLEObject>
        </w:objec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Диаграмма 2. Динамика пассивов баланса ЗАО «Гродноторгсервис» в 2002г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Проанализируем структуру активов баланса в разрезе его статей (табл. 9.) [20, c.122].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9.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структуры активов баланса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5"/>
        <w:gridCol w:w="1057"/>
        <w:gridCol w:w="957"/>
        <w:gridCol w:w="1057"/>
        <w:gridCol w:w="957"/>
        <w:gridCol w:w="1057"/>
        <w:gridCol w:w="951"/>
      </w:tblGrid>
      <w:tr w:rsidR="00FD4D84" w:rsidRPr="00BE2E2D" w:rsidTr="00BD43E5">
        <w:trPr>
          <w:cantSplit/>
          <w:tblHeader/>
        </w:trPr>
        <w:tc>
          <w:tcPr>
            <w:tcW w:w="1847" w:type="pct"/>
            <w:vMerge w:val="restar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Статья баланса</w:t>
            </w:r>
          </w:p>
        </w:tc>
        <w:tc>
          <w:tcPr>
            <w:tcW w:w="3153" w:type="pct"/>
            <w:gridSpan w:val="6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Структура активов в валюте баланса</w:t>
            </w:r>
          </w:p>
        </w:tc>
      </w:tr>
      <w:tr w:rsidR="00FD4D84" w:rsidRPr="00BE2E2D" w:rsidTr="00BD43E5">
        <w:trPr>
          <w:cantSplit/>
          <w:trHeight w:val="302"/>
          <w:tblHeader/>
        </w:trPr>
        <w:tc>
          <w:tcPr>
            <w:tcW w:w="1847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1052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1050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FD4D84" w:rsidRPr="00BE2E2D" w:rsidTr="00BD43E5">
        <w:trPr>
          <w:cantSplit/>
          <w:tblHeader/>
        </w:trPr>
        <w:tc>
          <w:tcPr>
            <w:tcW w:w="1847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0" w:type="pct"/>
            <w:tcBorders>
              <w:top w:val="nil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2234840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3809291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1574451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1604839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2169971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565132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-11,1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-0,03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Незавершенные капитальные вложения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627637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1636622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1008985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Долгосрочные финансовые вложения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Оборотные активы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561108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883061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321953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102494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101037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-1457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Сырье, материалы и т.д.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82624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89181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6557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Затраты в незавершенном производстве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Товары отгруженные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19870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11856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-8014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-0,5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Прочие запасы и затраты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Налоги по приобретенным ценностям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76803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204770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127967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Краткосрочная дебиторская задолженность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Долгосрочная дебиторская задолженность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340575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527872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187297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41236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49382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8146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-0,35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50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  <w:tc>
          <w:tcPr>
            <w:tcW w:w="49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Исходя из данной таблицы можно сказать, что увеличение внеоборотных активов произошло вследствие увеличения незавершенных капитальных вложений как в абсолютном, так и относительном выражении. Существенно снизилась доля основных средств – на 11,1%, несмотря на абсолютное увеличение их суммы.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Снижение оборотных активов произошло только в относительном качестве, абсолютный их размер увеличился. Снижение явилось следствием снижения долей всех элементов оборотных средств, кроме налогов по приобретенным ценностям, которые увеличились на 1,7%. Заметим, что снижение дебиторской задолженности (долгосрочной) благотворно сказывается на деятельности предприятий.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Также проанализируем структуру пассивов баланса (табл.10.) [20, c.123].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10.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структуры пассивов баланса ЗАО «Гродноторгсервис» в 2002г. и влияния основных разделов на пополнение активной части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5"/>
        <w:gridCol w:w="1057"/>
        <w:gridCol w:w="955"/>
        <w:gridCol w:w="1057"/>
        <w:gridCol w:w="955"/>
        <w:gridCol w:w="1057"/>
        <w:gridCol w:w="955"/>
      </w:tblGrid>
      <w:tr w:rsidR="00FD4D84" w:rsidRPr="00BE2E2D" w:rsidTr="00BD43E5">
        <w:trPr>
          <w:cantSplit/>
          <w:tblHeader/>
        </w:trPr>
        <w:tc>
          <w:tcPr>
            <w:tcW w:w="1847" w:type="pct"/>
            <w:vMerge w:val="restar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Статья баланса</w:t>
            </w:r>
          </w:p>
        </w:tc>
        <w:tc>
          <w:tcPr>
            <w:tcW w:w="3153" w:type="pct"/>
            <w:gridSpan w:val="6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Структура активов в валюте баланса</w:t>
            </w:r>
          </w:p>
        </w:tc>
      </w:tr>
      <w:tr w:rsidR="00FD4D84" w:rsidRPr="00BE2E2D" w:rsidTr="00BD43E5">
        <w:trPr>
          <w:cantSplit/>
          <w:trHeight w:val="302"/>
          <w:tblHeader/>
        </w:trPr>
        <w:tc>
          <w:tcPr>
            <w:tcW w:w="1847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1051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1051" w:type="pct"/>
            <w:gridSpan w:val="2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FD4D84" w:rsidRPr="00BE2E2D" w:rsidTr="00BD43E5">
        <w:trPr>
          <w:cantSplit/>
          <w:tblHeader/>
        </w:trPr>
        <w:tc>
          <w:tcPr>
            <w:tcW w:w="1847" w:type="pct"/>
            <w:vMerge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nil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Уд. вес, %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Собственный капитал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2310784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3586371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1275587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-6,2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241127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791561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550434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244037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314420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70383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26216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26216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163925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176898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12973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-2,1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другими предприятиями-кредиторами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62703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54301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-8402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бюджетом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33696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48023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14327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Задолженность по оплате труда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14834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24901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10067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зависимыми и дочерними обществами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15625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15625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Прочие кредиторы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52692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34048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-18644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Расчеты по дивидендам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58262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82291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24029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Фонды потребления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21850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25759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3909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 и платежей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Прочие краткосрочные обязательства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4D84" w:rsidRPr="00BE2E2D" w:rsidTr="00BD43E5">
        <w:tc>
          <w:tcPr>
            <w:tcW w:w="1847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  <w:tc>
          <w:tcPr>
            <w:tcW w:w="4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 структуре пассивов предприятия, как уже было ранее замечено,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значительная доля средств приходится на собственный капитал, удельный вес которого снизился на конец 2002г. В структуре краткосрочных обязательств преобладает кредиторская задолженность, удельный вес которой все же снизился.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Рассмотрим, насколько эффективно используется капитал предприятия (табл. 11.) [22, c.555].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11.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эффективности использования капитала Аптечного склада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8"/>
        <w:gridCol w:w="1545"/>
        <w:gridCol w:w="1545"/>
        <w:gridCol w:w="1543"/>
      </w:tblGrid>
      <w:tr w:rsidR="00FD4D84" w:rsidRPr="00BE2E2D" w:rsidTr="00BD43E5">
        <w:trPr>
          <w:tblHeader/>
        </w:trPr>
        <w:tc>
          <w:tcPr>
            <w:tcW w:w="258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Балансовая прибыль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490006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1047813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557807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Выручка от всех видов продаж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1160170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1959265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799095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Сумма активов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Рентабельность совокупного капитала, % (1/3)*100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+4,8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5. Рентабельность продаж, % (1/2)*100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D4D84" w:rsidRPr="00BE2E2D" w:rsidTr="00BD43E5">
        <w:tc>
          <w:tcPr>
            <w:tcW w:w="258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6. К-т оборачиваемости (2/3)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Как можно заметить, рентабельность совокупного капитала увеличилась на 4,8%, что говорит о более эффективном его использовании, рентабельность продаж, также увеличилась, причем большими темпами – на 8,2%. Коэффициент оборачиваемости незначительно увеличился.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Изменение рентабельности совокупного капитала составило +4,8%, в том числе за счет: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к-та оборачиваемости капитала = 0,01*42,2 = +0,42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рентабельности продаж = 11,2*0,42 = +4,7.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Погрешность – в результате округлений.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Проанализируем оборачиваемость капитала (табл. 12.).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12.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оборачиваемости капитала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7"/>
        <w:gridCol w:w="1554"/>
        <w:gridCol w:w="1453"/>
        <w:gridCol w:w="1397"/>
      </w:tblGrid>
      <w:tr w:rsidR="00FD4D84" w:rsidRPr="00BE2E2D" w:rsidTr="00BD43E5">
        <w:trPr>
          <w:tblHeader/>
        </w:trPr>
        <w:tc>
          <w:tcPr>
            <w:tcW w:w="269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Выручка от реализации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1160170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1959265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799095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Сумма совокупного капитала, вложенного в активы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2.1. В оборотные активы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561108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883061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321953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2.1.1. в запасы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102494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101037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-1457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2.1.2. в дебиторскую задолженность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340575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527872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187297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2.1.3. в краткосрочные финансовые вложения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2.1.4. в денежной наличности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41236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49382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8146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К-т оборачиваемости всех совокупных активов (1/2)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3.1. оборотных средств (1/2.1.)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Продолжительность оборота средств, дни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4.1. в совокупных активах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867,5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-777,1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4.2. в оборотных активах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174,1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162,2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-11,9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4.3. в запасах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-13,3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4.4. в дебиторской задолженности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-8,7</w:t>
            </w:r>
          </w:p>
        </w:tc>
      </w:tr>
      <w:tr w:rsidR="00FD4D84" w:rsidRPr="00BE2E2D" w:rsidTr="00BD43E5">
        <w:tc>
          <w:tcPr>
            <w:tcW w:w="2699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4.5. в денежной наличности</w:t>
            </w:r>
          </w:p>
        </w:tc>
        <w:tc>
          <w:tcPr>
            <w:tcW w:w="81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59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Как видно из табл. 12 на анализируемом предприятии ускорилась годовая оборачиваемость активов, при чем наиболее быстрыми темпами в совокупных активах (на 777,1 дней) и запасах (на 13,3 дня).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За счет ускорения оборачиваемости капитала было высвобождено 64764,6 тыс. руб. средств [22, c.563]: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Э = 1959265/360 * (-11,9) = -64764,6.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Прибыль увеличилась на 72242,5 тыс. руб. за счет увеличения коэффициента оборачиваемости оборотных средств: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∆П = 0,16 *883061 *1001786/1959265 = + 72242,5.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Рассмотрим, насколько эффективно используется собственный капитал предприятия (табл. 13).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13.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эффективности использования собственного капитала Аптечного склада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1677"/>
        <w:gridCol w:w="1572"/>
        <w:gridCol w:w="1397"/>
      </w:tblGrid>
      <w:tr w:rsidR="00FD4D84" w:rsidRPr="00BE2E2D" w:rsidTr="00BD43E5">
        <w:trPr>
          <w:tblHeader/>
        </w:trPr>
        <w:tc>
          <w:tcPr>
            <w:tcW w:w="2573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Балансовая прибыль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490006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1047813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557807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Налоги из прибыли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133932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178799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44867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Прибыль после уплаты налогов (1-2)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356074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869014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512940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Удельный вес чистой прибыли в общей сумме балансовой прибыли (3/1)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5. Выручка от всех видов продаж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1160170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1959265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799095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6. Сумма активов капитала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7. Сумма собственного капитала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2310784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3586371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1275587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8. Рентабельность совокупного капитала, % (1/6*100)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+4,8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9. Рентабельность продаж, % (1/5*100)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10. К-т оборачиваемости капитала (5/6)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11. Мультипликатор капитала (6/7)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4D84" w:rsidRPr="00BE2E2D" w:rsidTr="00BD43E5">
        <w:tc>
          <w:tcPr>
            <w:tcW w:w="2573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12. Рентабельность собственного капитала, (3/7*100)</w:t>
            </w:r>
          </w:p>
        </w:tc>
        <w:tc>
          <w:tcPr>
            <w:tcW w:w="87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82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Рентабельность собственного капитала увеличилась на 8,8%. В том числе за счет [22, c.576]: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- увеличения удельного веса чистой прибыли в общей сумме балансовой прибыли – увеличение на 2,07%: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0,1*0,41*42,2*1,2 = 2,07.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 увеличения коэффициента оборачиваемости совокупного капитала –на 0,41%: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0,82*0,01*42,2*1,2 = 0,41.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 увеличения рентабельности продаж – увеличение на 4,6%: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0,82*0,42*11,2*1,2 = 4,6.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- увеличения мультипликатора капитала –на 1,8%: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0,82*0,42*53,4*0,1 = 1,8.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Что касается источников формирования оборотных активов, то на ЗАО «Гродноторгсеврис» в 2002г. они были сформированы в основном за счет собственных средств (табл. 14) [26, c.297].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14.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Источники формирования оборотных активов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4"/>
        <w:gridCol w:w="1545"/>
        <w:gridCol w:w="1545"/>
        <w:gridCol w:w="1397"/>
      </w:tblGrid>
      <w:tr w:rsidR="00FD4D84" w:rsidRPr="00BE2E2D" w:rsidTr="00BD43E5">
        <w:tc>
          <w:tcPr>
            <w:tcW w:w="265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Нач. 2002г.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Кон. 2002г.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FD4D84" w:rsidRPr="00BE2E2D" w:rsidTr="00BD43E5">
        <w:tc>
          <w:tcPr>
            <w:tcW w:w="265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1. Общая сумма оборотных активов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561108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883061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321953</w:t>
            </w:r>
          </w:p>
        </w:tc>
      </w:tr>
      <w:tr w:rsidR="00FD4D84" w:rsidRPr="00BE2E2D" w:rsidTr="00BD43E5">
        <w:tc>
          <w:tcPr>
            <w:tcW w:w="265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2. Сумма краткосрочных обязательств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163925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206370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42445</w:t>
            </w:r>
          </w:p>
        </w:tc>
      </w:tr>
      <w:tr w:rsidR="00FD4D84" w:rsidRPr="00BE2E2D" w:rsidTr="00BD43E5">
        <w:tc>
          <w:tcPr>
            <w:tcW w:w="265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3. Сумма собственного оборотного капитала (1-2)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397183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676691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279508</w:t>
            </w:r>
          </w:p>
        </w:tc>
      </w:tr>
      <w:tr w:rsidR="00FD4D84" w:rsidRPr="00BE2E2D" w:rsidTr="00BD43E5">
        <w:tc>
          <w:tcPr>
            <w:tcW w:w="265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4. Доля заемного капитала в формировании оборотных активов, % (2/1*100)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807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3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-5,9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Кроме того, наблюдается положительная тенденция в увеличении доли собственного капитала в формировании оборотных активов на конец 2002г. (диаграмма 3.).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object w:dxaOrig="6165" w:dyaOrig="4800">
          <v:shape id="_x0000_i1027" type="#_x0000_t75" style="width:308.25pt;height:240pt" o:ole="" fillcolor="window">
            <v:imagedata r:id="rId9" o:title=""/>
          </v:shape>
          <o:OLEObject Type="Embed" ProgID="Excel.Sheet.8" ShapeID="_x0000_i1027" DrawAspect="Content" ObjectID="_1454376451" r:id="rId10">
            <o:FieldCodes>\s</o:FieldCodes>
          </o:OLEObject>
        </w:objec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Диаграмма 3. Доля капитала в формировании оборотных активов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В заключение работы произведем комплексный анализ хозяйственной деятельности предприятия.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15 – А.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Исходные показатели деятельности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4530"/>
        <w:gridCol w:w="1522"/>
        <w:gridCol w:w="1522"/>
        <w:gridCol w:w="1420"/>
      </w:tblGrid>
      <w:tr w:rsidR="00FD4D84" w:rsidRPr="00BE2E2D" w:rsidTr="00BD43E5">
        <w:trPr>
          <w:tblHeader/>
        </w:trPr>
        <w:tc>
          <w:tcPr>
            <w:tcW w:w="30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№ п/n</w:t>
            </w:r>
          </w:p>
        </w:tc>
        <w:tc>
          <w:tcPr>
            <w:tcW w:w="2366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 источники для его расчета (метод, норматив)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имущества (ф.1, стр.299)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2795948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4692352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1896404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Внеоборотные активы (ф.1, стр. 190)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2234840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3809291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1574451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Оборотные активы (ф.1, стр.290): из них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561108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883061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321953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3 1.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материально-производственные запасы (ф.1, стр.210)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102494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101037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-1457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(ф.1, стр.230+стр.240)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340575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527872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187297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финансовые вложения (ф.1, стр.250)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(ф.1, стр.260)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41236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49382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8146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Капитал и резервы (ф.1, стр.390)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2310784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3586371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1275587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Долгосрочные обязательства (ф.1, стр.490)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241127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791561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550434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обязательства (ф.1, стр.590)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244037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314420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70383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числе.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фонд потребления (ф.1, стр.550)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21850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25759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3909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резерв предстоящих расходов (ф.1, стр.560)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краткосрочные обязательства без фондов и резервов (ф.1, стр.590-550-560)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222187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288661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66474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Нетто-объем продаж (ф.2, стр.010)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1160170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1959265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799095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Издержки производства и реализации (ф.2, стр.020+стр.030+стр.040)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721396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957479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-236083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 т. ч. пропорциональные расходы (ф.2 стр.020)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Прибыль от реализации (ф.2, стр.050)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438774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1001786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563012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прибыль, или прибыль до вычета налогов (ф.2, стр.130)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490006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1047813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557807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 (ф.2, стр.130-стр.140)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356074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869014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512940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основных средств (ф.5, стр.411, гр.4)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65514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69770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4256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Восстановительная стоимость основных средств (ф.5, стр.320, гр.6)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1964503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2724389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759886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Накопительный износ (амортизации) основных средств (ф.5, стр.392, гp.4)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359664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554418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194754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основных средств (ф.1, стр. 110)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1604839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2169971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565132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(ф.1, стр. 310) 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30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6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Финансовые издержки</w:t>
            </w: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181654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Выполним комплексный расчет и анализ показателей финансового положения предприятия (табл. 15) [8, c.231].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15 - Б.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Анализ финансового положения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5202"/>
        <w:gridCol w:w="1243"/>
        <w:gridCol w:w="1246"/>
        <w:gridCol w:w="1345"/>
      </w:tblGrid>
      <w:tr w:rsidR="00FD4D84" w:rsidRPr="00BE2E2D" w:rsidTr="00BD43E5">
        <w:tc>
          <w:tcPr>
            <w:tcW w:w="29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№ п/n</w:t>
            </w:r>
          </w:p>
        </w:tc>
        <w:tc>
          <w:tcPr>
            <w:tcW w:w="272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 источники для его расчета (метод, норматив)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Чистые активы (1А-5А-6.3А)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2332634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3612130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1279496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Чистые оборотные активы (ЗА-6.3А)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338921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594400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255479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Авансированный капитал (1А-6.3А)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2573761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4403691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1829930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Отношение чистых активов к уставному капиталу (1Б/16А), норматив &gt; или =1,0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Удельный вес собственных оборотных средств в чистых активах (2Б/1Б*100), %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обеспеченности собственными оборотными средствами (2Б/3А), норматив &gt; или =0,3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Общая сумма обязательств предприятия (5А+6.3А)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463314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1080222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616908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банкротства (7А/1А), критический - &gt; или =0,9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отношения дебиторской и кредиторской задолженности (3.2А/6.3А), норматив &lt; или =0,5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деловой активности (7А/1А)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Период оборота авансированного капитала (3Б/7А*90), дней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199,6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202,3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Период оборота всех оборотных активов (3А*/7А*90), дней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Период оборачиваемости материально-производственных запасов (3.1А/8.1А*90), дней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Период расчета с кредиторами (6.3А/8А*90), дней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Период расчета с дебиторами (3.2А/8А*90), дней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Производственно-коммерческий цикл или период оборачиваемости денежных средств (13Б-14Б+15Б), дней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FD4D84" w:rsidRPr="00BE2E2D" w:rsidTr="00BD43E5">
        <w:trPr>
          <w:cantSplit/>
          <w:trHeight w:val="319"/>
        </w:trPr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Сумма средств, высвобожденных из оборота </w:t>
            </w:r>
          </w:p>
        </w:tc>
        <w:tc>
          <w:tcPr>
            <w:tcW w:w="1982" w:type="pct"/>
            <w:gridSpan w:val="3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-65308,8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Стоимость реальных активов (15А+3.1А)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1707333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2271008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563675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Средний процент финансовых издержек (17А/6.3А*100), %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Таким образом, ЗАО «Гродноторгсервис» является финансово устойчивым предприятием. Оно обеспечено собственными оборотными средствами, коэффициент банкротства далек от критического, увеличился удельный вес оборотных средств в чистых активах. Вместе с тем наблюдаются и ряд негативных тенденций, в частности, увеличились периоды оборачиваемости авансированного капитала, дебиторской задолженности, а также производственно-коммерческий цикл. Кроме того, имеющаяся кредиторская задолженность выше дебиторской.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платежеспособности представлены в табл. 16. [26, c.175].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 16 –В.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платежеспособности (ликвидности)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923"/>
        <w:gridCol w:w="1438"/>
        <w:gridCol w:w="1235"/>
        <w:gridCol w:w="1420"/>
      </w:tblGrid>
      <w:tr w:rsidR="00FD4D84" w:rsidRPr="00BE2E2D" w:rsidTr="00BD43E5">
        <w:tc>
          <w:tcPr>
            <w:tcW w:w="29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№ п/n</w:t>
            </w:r>
          </w:p>
        </w:tc>
        <w:tc>
          <w:tcPr>
            <w:tcW w:w="257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 источники для его расчета (метод, норматив)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К-т общей платежеспособности (18Б/7Б) 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-1,58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 т текущей ликвидности (ЗА/6.ЗА), норматив минимальный - 1,0, оптимальный - 1 ,7-2,5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промежуточной ликвидности ((ЗА-3.1А) / 6.ЗА), нормальным признается уровень не менее 0,5 - 0,8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2,06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абсолютной ликвидности ((З.ЗА+3.4А) / 6.ЗА), нормальная величина - 0,1 и более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Ликвидность материально-производственных запасов (2В-ЗВ)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pct"/>
            <w:vAlign w:val="bottom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Ликвидность дебиторской задолженности (ЗВ-4В) 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2" w:type="pct"/>
            <w:vAlign w:val="bottom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К-т накопления денежных средств в нетто-выручке ((11А+12А)/7А) 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предприятия (14А/12А/4), лет, нормальным считается до 10 лет 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2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К-т налогообложения прибыли (1-11А/10А) </w:t>
            </w:r>
          </w:p>
        </w:tc>
        <w:tc>
          <w:tcPr>
            <w:tcW w:w="75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645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42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Можно заметить, что анализируемое предприятие имеет в наличии достаточно ликвидных средств для покрытия возможных возникших задолженностей, об этом свидетельствуют рассчитанные показатели, которые выше нормативных. В то же время к концу 2002г. несколько снизилась платежеспособность предприятия, а также коэффициент абсолютной ликвидности. Однако этот факт пока не оказывает существенного воздействия на развитие предприятия.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рентабельности следующие (табл. 17.).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17-Г.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рентабельности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5202"/>
        <w:gridCol w:w="1243"/>
        <w:gridCol w:w="1246"/>
        <w:gridCol w:w="1345"/>
      </w:tblGrid>
      <w:tr w:rsidR="00FD4D84" w:rsidRPr="00BE2E2D" w:rsidTr="00BD43E5">
        <w:trPr>
          <w:tblHeader/>
        </w:trPr>
        <w:tc>
          <w:tcPr>
            <w:tcW w:w="29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№ п/n</w:t>
            </w:r>
          </w:p>
        </w:tc>
        <w:tc>
          <w:tcPr>
            <w:tcW w:w="272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 источники для его расчета (метод, норматив)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продаж по валовой прибыли ((7А-8.1А)/(7А*100)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Удельный вес пропорциональных затрат в нетто-выручке от реализации (8.1А/7А*100) или (100-1Г)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сверх пропорциональных затрат (7А-8.1А), тыс. руб.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1160170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1959265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799095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pct"/>
            <w:vAlign w:val="bottom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Непропорциональные затраты (8А-8.1A), тыс. руб.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721396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957479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-236083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от реализации (ЗГ-4Г=9А), тыс. руб.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438774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1001786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563012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Порог рентабельности, или "мертвая точка" (4Г/1Г*100), тыс. руб.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продаж по прибыли от реализации (9А/7А)*100)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продукции (9А/8А*100) или (6Г/(100-6Г)*100)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продаж по прибыли до вычета налогов или коммерческая маржа (10А/7А*100)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продаж по чистой прибыли (11А/7А*100)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активов по прибыли до вычета налогов (10А/1А* 100) или (7Г*10Б)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активов по чистой прибыли (11А/1А*100)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авансированного капитала (11А/ЗБ*100)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реального капитала (11А/18Б*100)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собственного капитала (11А/1Б*100) 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Отношение чистой прибыли к уставному капиталу (11А/16А),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Как видно из представленной таблицы, ЗАО «Гродноторгсервис» работает рентабельно, причем показатели к концу 2002г. улучшились.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И, наконец, показатели финансовой устойчивости и гибкости предприятия (табл. 18) [22, c.643].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Таблица 18-Д.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Показатели финансовой устойчивости и гибкости ЗАО «Гродноторгсервис» в 2002г.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5202"/>
        <w:gridCol w:w="1243"/>
        <w:gridCol w:w="1246"/>
        <w:gridCol w:w="1345"/>
      </w:tblGrid>
      <w:tr w:rsidR="00FD4D84" w:rsidRPr="00BE2E2D" w:rsidTr="00BD43E5">
        <w:tc>
          <w:tcPr>
            <w:tcW w:w="29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№ п/n</w:t>
            </w:r>
          </w:p>
        </w:tc>
        <w:tc>
          <w:tcPr>
            <w:tcW w:w="2728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и источники для его расчета (метод, норматив)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начало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На конец 2002г.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финансовой независимости (1Б/1А), нормальная величина - &gt;или = 0,5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-0,06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собственности (1Б/7Б), норматив &gt;или =2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-1,73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финансовой зависимости (1-1Д)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8" w:type="pct"/>
            <w:vAlign w:val="bottom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финансового риска, или плечо финансового рычага (7Б/1Б), норма &lt; или =0,5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Прибыльность собственных средств (4Д+(1-9В)*10Г)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реального капитала в активах (18Б/1А)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-0,13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оборотных активов в реальном капитале (3А/18Б)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собственного капитала на 1 руб. собственных оборотных средств (1Б/2Б)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-0,81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маневренности собственных средств (2Б/(1Б+5А))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К-т накопления амортизации (14А/13А)</w:t>
            </w:r>
          </w:p>
        </w:tc>
        <w:tc>
          <w:tcPr>
            <w:tcW w:w="66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61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D4D84" w:rsidRPr="00BE2E2D" w:rsidTr="00BD43E5">
        <w:tc>
          <w:tcPr>
            <w:tcW w:w="290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8" w:type="pct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Запас финансовой прочности (7А-6Г)/(7А*100), %</w:t>
            </w:r>
          </w:p>
        </w:tc>
        <w:tc>
          <w:tcPr>
            <w:tcW w:w="660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661" w:type="pct"/>
            <w:vAlign w:val="center"/>
          </w:tcPr>
          <w:p w:rsidR="00FD4D84" w:rsidRPr="00BE2E2D" w:rsidRDefault="00FD4D84" w:rsidP="00BD43E5">
            <w:pPr>
              <w:widowControl/>
              <w:snapToGrid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E2E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Таким образом, предприятие является финансово независимым, о чем говорит низкий коэффициент зависимости (0,17-0,23) и высокий автономии (0,83-0,77).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Однако к концу года финансовая независимость немного снизилась. В структуре активов оборотные средства не преобладают, однако они сформированы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из собственных средств. В структуре пассивов ЗАО «Гродноторгсервис» преобладают собственный капитал – более 70%, которые значительно превышают собственный капитал предприятия.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ЗАО «Гродноторгсервис» по рассчитанным показателям является предприятием финансово устойчивым и платежеспособным, далеким от риска банкротства. Анализируемое предприятие имеет достаточно собственных средств для развития и покрытия возможных долгов и задолженностей.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Однако, имеются ряд моментов, которые следовало бы подкорректировать.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 xml:space="preserve">Следовало бы немного улучшить коэффициент абсолютной ликвидности путем повышения удельного веса наличных денег. Этого можно достичь, взыскав дебиторскую задолженность. Отметим, что на данном предприятии не имеется краткосрочной задолженности, но в структуре оборотных активов долгосрочная занимает лидирующее положение. Наличие именно долгосрочной дебиторской задолженности опасно тем, что может привести к возможному ее непокрытию вследствие отдаленного момента оплаты. Поэтому следует пересмотреть и улучшить платежную дисциплину, возможно введя определенные санкции за, например, несвоевременную оплату. Можно практиковать предоплату или аванс и т.д. 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Следует также уделить внимание кредиторской задолженности, она превышает дебиторскую. Несмотря на то, что предприятие имеет достаточно средств для погашения обязательств, не стоит ее увеличивать.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E2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Оборачиваемость капитала служит важнейшим показателем, характеризующим интенсивность использования средств предприятия.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 xml:space="preserve">Оборачиваемость тесно связана с рентабельностью капитала, поэтому при анализе хозяйственной деятельности предприятия особое внимание следует уделять анализу оборачиваемости. В методику анализа оборачиваемости капитала включается расчет и анализ показателей скорости оборота: коэффициента оборачиваемости, продолжительности одного оборота. Затем рассчитывается влияние факторов на изменение показателей. На основе рассчитываемых данных определяются резервы ускорения оборачиваемости капитала.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Не менее важен анализ дебиторской задолженности, как одного из элемента оборотных средств предприятия. Возникающая при отсрочке платежей дебиторская задолженность может привести как к дефициту оборотных средств, так и служить действенным инструментом увеличения товарооборота продавца.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при анализе дебиторской задолженности, прежде всего, рассматривается ее состав и структура, их динамика. После общего ознакомления с составом и структурой необходимо дать оценку ее с точки зрения реальной ее стоимости, влияния на финансовые результат предприятия. Важным является изучение показателей качества и ликвидности дебиторской задолженности.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В результате проведенного экспресс-анализа хозяйственной деятельности ЗАО «Гродноторгсервис» было установлено, что данное предприятие является финансово устойчивым и финансово независимым. В наличии имеется достаточно собственных средств для развития, коэффициенты платежеспособности и ликвидности в норме. Это означает, что ЗАО «Гродноторгсервис» в состоянии без привлечения заемных средств покрывать свои задолженности. 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В 2002г. предприятие работало рентабельно, при чем рентабельность по всем показателям на конец года увеличилась. То есть, можно сказать, что ЗАО «Гродноторгсервис» является успешным предприятием, не имеющим особых проблем в осуществлении соей деятельности.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Но все же есть несколько моментов, на которые предприятию следует обращать внимание.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 xml:space="preserve">Следовало бы немного улучшить коэффициент абсолютной ликвидности путем повышения удельного веса наличных денег. Этого можно достичь, взыскав дебиторскую задолженность. Отметим, что на данном предприятии не имеется краткосрочной задолженности, но в структуре оборотных активов долгосрочная занимает лидирующее положение. Наличие именно долгосрочной дебиторской задолженности опасно тем, что может привести к возможному ее непокрытию вследствие отдаленного момента оплаты. Поэтому следует пересмотреть и улучшить платежную дисциплину, возможно введя определенные санкции за, например, несвоевременную оплату. Можно практиковать предоплату или аванс и т.д. 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Следует также уделить внимание кредиторской задолженности, она превышает дебиторскую. Несмотря на то, что предприятие имеет достаточно средств для погашения обязательств, не стоит ее увеличивать.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2E2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Абалкин Л. Бегство капитала: природа, формы, методы борьбы.// Вопросы экономики. -1998г. -№7. –с.14-23.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Баканов М.И., Шеремет А.Д. Теория экономического анализа. -М.: Финансы и статистика, 1997г. –248с.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Балабанов И. Т. Основы финансового менеджмента. Как управлять капиталом? – М.: Финансы и статистика, 1995. – 384с.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Башин М. Оборотные средства предприятия в условиях рынка. // Финансы. –1994г. -№1. –с.8-10.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Григорьев Л. В поисках пути к экономическому росту. // Вопросы экономики. -1998г. -№8. –с.25-28.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Дранко О. Управление капиталом. // Финансовая газета. -1998г.-№42. –с. 3-4.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Енин Ю., Аносов В. Улучшение использования оборотных средств – фактор повышения эффективности производства. // Финансы, учет, аудит. –2001г. -№9. –с. 22-24.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Ефимова О.В. Финансовый анализ. –М.: Экономика, 1998г. –541с.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Зайцев Н.Л. Экономика промышленного предприятия. - М.: Финансы,1996г. –451с.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Келлерман Б.Г., Осипович Л.Я. Организация и нормирование оборотных средств. // Финансы. –1989г. -№3. –с.19-25.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Ковалев В.В. Финансовый анализ. –М.: Финансы и статистика, 1998г. –345с.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Кравченко Л.И. Анализ финансового положения предприятия. –Мн.: Экаунт, 1994г. -53с.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Крейнина М.Н.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E2D">
        <w:rPr>
          <w:rFonts w:ascii="Times New Roman" w:hAnsi="Times New Roman" w:cs="Times New Roman"/>
          <w:sz w:val="24"/>
          <w:szCs w:val="24"/>
        </w:rPr>
        <w:t>Финансовый менеджмент. -М.: Издательство “Дело и Сервис”, 1998г.- 324с.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Любушин Н.А., Лещева В.Б., Дьякова В. Г. Анализ финансово-экономической деятельности предприятия. –М.: ЮНИТИ-ДАНА, 1999г. –324с.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Малов А., Майн Е. Экономическое положение предприятия. // Экономист. - 1997. - №8. -с.30-41.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Муравьев И., Джаксыбаев С. Как заинтересовать предприятие в снижении себестоимости // Экономист. –1991. -№5. –с.11-15.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Новодворский В.Д., Хорин А.Н. Балансовое обобщение как метод бухгалтерского учета. // Бухгалтерский учет. -1995г. -№3. –с.45-51.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Павлов В.С. Оборотные средства в промышленности. Формирование и использование. –М.: Финансы, 1974г. –143с.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Позняков В. В. Формирование и классификация оборотных средств. // Вестник БГЭУ. –2002г. -№1. –с.43-48.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Родионова В.М., Федотова М.А. Финансовый анализ субъекта хозяйствования. –М.: Финансы и статистика, 1995г. –246с.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Русак Н.А., Русак В.А. Финансовый анализ субъекта хозяйствования. –Мн.: Знание, 1997г. –561с.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Савицкая Г.В. Анализ хозяйственной деятельности предприятия. –Мн.: Новое знание, 2001г. –703с.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Соловьева А.А., Жолтаева Г.Г. Что показывает анализ использования оборотных средств. // Бухгалтерский учет. –1989г. -№3. –с.43-45.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Старков Р.Ф. Оборотные средства: как измерить эффективность их использования? // Вопросы экономики. –1988г. -№7. –с.72-81.</w:t>
      </w:r>
    </w:p>
    <w:p w:rsidR="00FD4D84" w:rsidRPr="00BE2E2D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Фащевский В. Финансы предприятий: особенности и возможности укрепления. // Экономист.- 1997г.- №1. - с.58-61.</w:t>
      </w:r>
    </w:p>
    <w:p w:rsidR="00FD4D84" w:rsidRDefault="00FD4D84" w:rsidP="00FD4D84">
      <w:pPr>
        <w:widowControl/>
        <w:snapToGrid/>
        <w:spacing w:before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2E2D">
        <w:rPr>
          <w:rFonts w:ascii="Times New Roman" w:hAnsi="Times New Roman" w:cs="Times New Roman"/>
          <w:sz w:val="24"/>
          <w:szCs w:val="24"/>
        </w:rPr>
        <w:t>Экономический анализ финансово-хозяйственной деятельности предприятия. / По общ. ред. Л.Л. Ермолович. –Мн.: БГЭУ, 2000г. –580с.</w:t>
      </w:r>
    </w:p>
    <w:p w:rsidR="00FD4D84" w:rsidRDefault="00FD4D84">
      <w:pPr>
        <w:widowControl/>
        <w:snapToGrid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068"/>
    <w:multiLevelType w:val="hybridMultilevel"/>
    <w:tmpl w:val="84AC3B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F6715C"/>
    <w:multiLevelType w:val="multilevel"/>
    <w:tmpl w:val="5FD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33BB7"/>
    <w:multiLevelType w:val="hybridMultilevel"/>
    <w:tmpl w:val="48D23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5191790"/>
    <w:multiLevelType w:val="hybridMultilevel"/>
    <w:tmpl w:val="39EA51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5201D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7F961E0"/>
    <w:multiLevelType w:val="singleLevel"/>
    <w:tmpl w:val="231AEE1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377BAC"/>
    <w:multiLevelType w:val="hybridMultilevel"/>
    <w:tmpl w:val="B75E48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1A032D53"/>
    <w:multiLevelType w:val="hybridMultilevel"/>
    <w:tmpl w:val="F8D82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A270838"/>
    <w:multiLevelType w:val="hybridMultilevel"/>
    <w:tmpl w:val="111CDE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C616888"/>
    <w:multiLevelType w:val="hybridMultilevel"/>
    <w:tmpl w:val="FB7A179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1ECF34DA"/>
    <w:multiLevelType w:val="hybridMultilevel"/>
    <w:tmpl w:val="BFE8B9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B0F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B272C4D"/>
    <w:multiLevelType w:val="hybridMultilevel"/>
    <w:tmpl w:val="8074474A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DCB766F"/>
    <w:multiLevelType w:val="hybridMultilevel"/>
    <w:tmpl w:val="30DA9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B5E21"/>
    <w:multiLevelType w:val="hybridMultilevel"/>
    <w:tmpl w:val="EA3215D2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F796A5C"/>
    <w:multiLevelType w:val="multilevel"/>
    <w:tmpl w:val="399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214C28"/>
    <w:multiLevelType w:val="multilevel"/>
    <w:tmpl w:val="48E2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A115983"/>
    <w:multiLevelType w:val="hybridMultilevel"/>
    <w:tmpl w:val="68BA39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B13018D"/>
    <w:multiLevelType w:val="multilevel"/>
    <w:tmpl w:val="617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3C16CC"/>
    <w:multiLevelType w:val="hybridMultilevel"/>
    <w:tmpl w:val="6C80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44AD6"/>
    <w:multiLevelType w:val="hybridMultilevel"/>
    <w:tmpl w:val="6E204DE8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46FE2F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72C2343"/>
    <w:multiLevelType w:val="hybridMultilevel"/>
    <w:tmpl w:val="F0E069D2"/>
    <w:lvl w:ilvl="0" w:tplc="3AB49908">
      <w:start w:val="1"/>
      <w:numFmt w:val="bullet"/>
      <w:lvlText w:val=""/>
      <w:lvlJc w:val="left"/>
      <w:pPr>
        <w:tabs>
          <w:tab w:val="num" w:pos="1440"/>
        </w:tabs>
        <w:ind w:left="1440" w:hanging="55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>
    <w:nsid w:val="4AA02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E5D79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50D96AD6"/>
    <w:multiLevelType w:val="hybridMultilevel"/>
    <w:tmpl w:val="CB8E8CAC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51324439"/>
    <w:multiLevelType w:val="hybridMultilevel"/>
    <w:tmpl w:val="E9FADD00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53F63C91"/>
    <w:multiLevelType w:val="hybridMultilevel"/>
    <w:tmpl w:val="79ECDFF0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cs="Wingdings" w:hint="default"/>
      </w:rPr>
    </w:lvl>
  </w:abstractNum>
  <w:abstractNum w:abstractNumId="28">
    <w:nsid w:val="6244140A"/>
    <w:multiLevelType w:val="hybridMultilevel"/>
    <w:tmpl w:val="F4F637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7AC05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83C07E6"/>
    <w:multiLevelType w:val="hybridMultilevel"/>
    <w:tmpl w:val="700607B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>
    <w:nsid w:val="73DF0C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4C16536"/>
    <w:multiLevelType w:val="hybridMultilevel"/>
    <w:tmpl w:val="208ACC72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78A10B52"/>
    <w:multiLevelType w:val="hybridMultilevel"/>
    <w:tmpl w:val="0DBC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424B8F"/>
    <w:multiLevelType w:val="hybridMultilevel"/>
    <w:tmpl w:val="EE386AAE"/>
    <w:lvl w:ilvl="0" w:tplc="FDD0C7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32"/>
  </w:num>
  <w:num w:numId="5">
    <w:abstractNumId w:val="6"/>
  </w:num>
  <w:num w:numId="6">
    <w:abstractNumId w:val="27"/>
  </w:num>
  <w:num w:numId="7">
    <w:abstractNumId w:val="33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22"/>
  </w:num>
  <w:num w:numId="13">
    <w:abstractNumId w:val="5"/>
  </w:num>
  <w:num w:numId="14">
    <w:abstractNumId w:val="19"/>
  </w:num>
  <w:num w:numId="15">
    <w:abstractNumId w:val="13"/>
  </w:num>
  <w:num w:numId="16">
    <w:abstractNumId w:val="25"/>
  </w:num>
  <w:num w:numId="17">
    <w:abstractNumId w:val="12"/>
  </w:num>
  <w:num w:numId="18">
    <w:abstractNumId w:val="34"/>
  </w:num>
  <w:num w:numId="19">
    <w:abstractNumId w:val="26"/>
  </w:num>
  <w:num w:numId="20">
    <w:abstractNumId w:val="31"/>
  </w:num>
  <w:num w:numId="21">
    <w:abstractNumId w:val="24"/>
  </w:num>
  <w:num w:numId="22">
    <w:abstractNumId w:val="4"/>
  </w:num>
  <w:num w:numId="23">
    <w:abstractNumId w:val="29"/>
  </w:num>
  <w:num w:numId="24">
    <w:abstractNumId w:val="9"/>
  </w:num>
  <w:num w:numId="25">
    <w:abstractNumId w:val="30"/>
  </w:num>
  <w:num w:numId="26">
    <w:abstractNumId w:val="0"/>
  </w:num>
  <w:num w:numId="27">
    <w:abstractNumId w:val="7"/>
  </w:num>
  <w:num w:numId="28">
    <w:abstractNumId w:val="3"/>
  </w:num>
  <w:num w:numId="29">
    <w:abstractNumId w:val="17"/>
  </w:num>
  <w:num w:numId="30">
    <w:abstractNumId w:val="28"/>
  </w:num>
  <w:num w:numId="31">
    <w:abstractNumId w:val="8"/>
  </w:num>
  <w:num w:numId="32">
    <w:abstractNumId w:val="20"/>
  </w:num>
  <w:num w:numId="33">
    <w:abstractNumId w:val="16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D84"/>
    <w:rsid w:val="00436415"/>
    <w:rsid w:val="00A71239"/>
    <w:rsid w:val="00BD43E5"/>
    <w:rsid w:val="00BE2E2D"/>
    <w:rsid w:val="00C961FB"/>
    <w:rsid w:val="00FD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20D4AFA-49D2-4393-90EF-678C7E6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FD4D84"/>
    <w:pPr>
      <w:widowControl w:val="0"/>
      <w:snapToGrid w:val="0"/>
      <w:spacing w:after="0" w:line="379" w:lineRule="auto"/>
      <w:ind w:firstLine="14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D4D84"/>
    <w:pPr>
      <w:keepNext/>
      <w:widowControl/>
      <w:snapToGrid/>
      <w:spacing w:before="240" w:after="60" w:line="240" w:lineRule="auto"/>
      <w:ind w:firstLine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D4D84"/>
    <w:pPr>
      <w:widowControl/>
      <w:snapToGrid/>
      <w:spacing w:before="64" w:after="64" w:line="240" w:lineRule="auto"/>
      <w:ind w:left="64" w:right="64" w:firstLine="0"/>
      <w:jc w:val="left"/>
      <w:outlineLvl w:val="1"/>
    </w:pPr>
    <w:rPr>
      <w:rFonts w:ascii="Times New Roman" w:hAnsi="Times New Roman" w:cs="Times New Roman"/>
      <w:b/>
      <w:bCs/>
      <w:color w:val="FF66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D4D84"/>
    <w:pPr>
      <w:keepNext/>
      <w:widowControl/>
      <w:snapToGrid/>
      <w:spacing w:before="240" w:after="60" w:line="240" w:lineRule="auto"/>
      <w:ind w:firstLine="0"/>
      <w:jc w:val="left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FD4D84"/>
    <w:pPr>
      <w:widowControl/>
      <w:snapToGrid/>
      <w:spacing w:before="51" w:after="51" w:line="240" w:lineRule="auto"/>
      <w:ind w:left="51" w:right="51" w:firstLine="0"/>
      <w:jc w:val="center"/>
      <w:outlineLvl w:val="3"/>
    </w:pPr>
    <w:rPr>
      <w:rFonts w:ascii="Times New Roman" w:hAnsi="Times New Roman" w:cs="Times New Roman"/>
      <w:b/>
      <w:bCs/>
      <w:color w:val="FF6600"/>
      <w:sz w:val="16"/>
      <w:szCs w:val="16"/>
    </w:rPr>
  </w:style>
  <w:style w:type="paragraph" w:styleId="5">
    <w:name w:val="heading 5"/>
    <w:basedOn w:val="a"/>
    <w:link w:val="50"/>
    <w:uiPriority w:val="99"/>
    <w:qFormat/>
    <w:rsid w:val="00FD4D84"/>
    <w:pPr>
      <w:widowControl/>
      <w:snapToGrid/>
      <w:spacing w:before="129" w:after="51" w:line="240" w:lineRule="auto"/>
      <w:ind w:left="64" w:right="64" w:firstLine="129"/>
      <w:jc w:val="left"/>
      <w:outlineLvl w:val="4"/>
    </w:pPr>
    <w:rPr>
      <w:rFonts w:ascii="Times New Roman" w:hAnsi="Times New Roman" w:cs="Times New Roman"/>
      <w:b/>
      <w:bCs/>
      <w:color w:val="0033CC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FD4D84"/>
    <w:pPr>
      <w:widowControl/>
      <w:snapToGrid/>
      <w:spacing w:before="240" w:after="60" w:line="240" w:lineRule="auto"/>
      <w:ind w:firstLine="0"/>
      <w:jc w:val="left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FD4D84"/>
    <w:rPr>
      <w:color w:val="0000FF"/>
      <w:u w:val="none"/>
      <w:effect w:val="none"/>
    </w:rPr>
  </w:style>
  <w:style w:type="character" w:styleId="a4">
    <w:name w:val="Emphasis"/>
    <w:basedOn w:val="a0"/>
    <w:uiPriority w:val="99"/>
    <w:qFormat/>
    <w:rsid w:val="00FD4D84"/>
    <w:rPr>
      <w:b/>
      <w:bCs/>
    </w:rPr>
  </w:style>
  <w:style w:type="paragraph" w:styleId="a5">
    <w:name w:val="Normal (Web)"/>
    <w:basedOn w:val="a"/>
    <w:uiPriority w:val="99"/>
    <w:rsid w:val="00FD4D84"/>
    <w:pPr>
      <w:widowControl/>
      <w:snapToGrid/>
      <w:spacing w:before="51" w:after="51" w:line="240" w:lineRule="auto"/>
      <w:ind w:left="64" w:right="64" w:firstLine="129"/>
    </w:pPr>
    <w:rPr>
      <w:rFonts w:ascii="Times New Roman" w:hAnsi="Times New Roman" w:cs="Times New Roman"/>
      <w:sz w:val="16"/>
      <w:szCs w:val="16"/>
    </w:rPr>
  </w:style>
  <w:style w:type="paragraph" w:customStyle="1" w:styleId="center">
    <w:name w:val="center"/>
    <w:basedOn w:val="a"/>
    <w:uiPriority w:val="99"/>
    <w:rsid w:val="00FD4D84"/>
    <w:pPr>
      <w:widowControl/>
      <w:snapToGrid/>
      <w:spacing w:before="51" w:after="51" w:line="240" w:lineRule="auto"/>
      <w:ind w:left="64" w:right="64" w:firstLine="0"/>
      <w:jc w:val="center"/>
    </w:pPr>
    <w:rPr>
      <w:rFonts w:ascii="Times New Roman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rsid w:val="00FD4D84"/>
    <w:pPr>
      <w:snapToGrid/>
      <w:spacing w:line="360" w:lineRule="auto"/>
      <w:ind w:firstLine="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FD4D84"/>
    <w:pPr>
      <w:widowControl/>
      <w:snapToGri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FD4D84"/>
    <w:pPr>
      <w:widowControl/>
      <w:snapToGrid/>
      <w:spacing w:after="120" w:line="240" w:lineRule="auto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11">
    <w:name w:val="index 1"/>
    <w:basedOn w:val="a"/>
    <w:next w:val="a"/>
    <w:uiPriority w:val="99"/>
    <w:semiHidden/>
    <w:rsid w:val="00FD4D84"/>
    <w:pPr>
      <w:widowControl/>
      <w:snapToGrid/>
      <w:spacing w:line="400" w:lineRule="exact"/>
      <w:ind w:left="220" w:hanging="220"/>
    </w:pPr>
    <w:rPr>
      <w:sz w:val="22"/>
      <w:szCs w:val="22"/>
    </w:rPr>
  </w:style>
  <w:style w:type="paragraph" w:styleId="a8">
    <w:name w:val="index heading"/>
    <w:basedOn w:val="a"/>
    <w:next w:val="11"/>
    <w:uiPriority w:val="99"/>
    <w:semiHidden/>
    <w:rsid w:val="00FD4D84"/>
    <w:pPr>
      <w:widowControl/>
      <w:snapToGrid/>
      <w:spacing w:line="400" w:lineRule="exact"/>
      <w:ind w:firstLine="720"/>
    </w:pPr>
    <w:rPr>
      <w:sz w:val="22"/>
      <w:szCs w:val="22"/>
    </w:rPr>
  </w:style>
  <w:style w:type="paragraph" w:styleId="a9">
    <w:name w:val="caption"/>
    <w:basedOn w:val="a"/>
    <w:next w:val="a"/>
    <w:uiPriority w:val="99"/>
    <w:qFormat/>
    <w:rsid w:val="00FD4D84"/>
    <w:pPr>
      <w:widowControl/>
      <w:snapToGrid/>
      <w:spacing w:after="60" w:line="480" w:lineRule="exact"/>
      <w:ind w:firstLine="720"/>
    </w:pPr>
    <w:rPr>
      <w:sz w:val="24"/>
      <w:szCs w:val="24"/>
    </w:rPr>
  </w:style>
  <w:style w:type="paragraph" w:customStyle="1" w:styleId="Ioao">
    <w:name w:val="Io?ao"/>
    <w:basedOn w:val="a"/>
    <w:uiPriority w:val="99"/>
    <w:rsid w:val="00FD4D84"/>
    <w:pPr>
      <w:widowControl/>
      <w:snapToGrid/>
      <w:spacing w:line="480" w:lineRule="auto"/>
      <w:ind w:firstLine="680"/>
    </w:pPr>
  </w:style>
  <w:style w:type="paragraph" w:styleId="aa">
    <w:name w:val="header"/>
    <w:basedOn w:val="a"/>
    <w:link w:val="ab"/>
    <w:uiPriority w:val="99"/>
    <w:rsid w:val="00FD4D84"/>
    <w:pPr>
      <w:tabs>
        <w:tab w:val="center" w:pos="4677"/>
        <w:tab w:val="right" w:pos="9355"/>
      </w:tabs>
      <w:snapToGrid/>
      <w:spacing w:line="240" w:lineRule="auto"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Pr>
      <w:sz w:val="24"/>
      <w:szCs w:val="24"/>
    </w:rPr>
  </w:style>
  <w:style w:type="character" w:styleId="ac">
    <w:name w:val="page number"/>
    <w:basedOn w:val="a0"/>
    <w:uiPriority w:val="99"/>
    <w:rsid w:val="00FD4D84"/>
  </w:style>
  <w:style w:type="paragraph" w:styleId="12">
    <w:name w:val="toc 1"/>
    <w:basedOn w:val="a"/>
    <w:next w:val="a"/>
    <w:uiPriority w:val="99"/>
    <w:semiHidden/>
    <w:rsid w:val="00FD4D84"/>
    <w:pPr>
      <w:widowControl/>
      <w:snapToGrid/>
      <w:spacing w:line="400" w:lineRule="exact"/>
      <w:ind w:firstLine="720"/>
    </w:pPr>
    <w:rPr>
      <w:sz w:val="22"/>
      <w:szCs w:val="22"/>
    </w:rPr>
  </w:style>
  <w:style w:type="paragraph" w:styleId="23">
    <w:name w:val="toc 2"/>
    <w:basedOn w:val="a"/>
    <w:next w:val="a"/>
    <w:uiPriority w:val="99"/>
    <w:semiHidden/>
    <w:rsid w:val="00FD4D84"/>
    <w:pPr>
      <w:widowControl/>
      <w:snapToGrid/>
      <w:spacing w:line="400" w:lineRule="exact"/>
      <w:ind w:left="220" w:firstLine="720"/>
    </w:pPr>
    <w:rPr>
      <w:sz w:val="22"/>
      <w:szCs w:val="22"/>
    </w:rPr>
  </w:style>
  <w:style w:type="paragraph" w:styleId="33">
    <w:name w:val="Body Text Indent 3"/>
    <w:basedOn w:val="a"/>
    <w:link w:val="34"/>
    <w:uiPriority w:val="99"/>
    <w:rsid w:val="00FD4D84"/>
    <w:pPr>
      <w:widowControl/>
      <w:snapToGrid/>
      <w:spacing w:after="120" w:line="240" w:lineRule="auto"/>
      <w:ind w:left="283"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sz w:val="16"/>
      <w:szCs w:val="16"/>
    </w:rPr>
  </w:style>
  <w:style w:type="paragraph" w:styleId="24">
    <w:name w:val="Body Text Indent 2"/>
    <w:basedOn w:val="a"/>
    <w:link w:val="25"/>
    <w:uiPriority w:val="99"/>
    <w:rsid w:val="00FD4D84"/>
    <w:pPr>
      <w:widowControl/>
      <w:snapToGri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customStyle="1" w:styleId="ioao0">
    <w:name w:val="io?ao"/>
    <w:basedOn w:val="a"/>
    <w:uiPriority w:val="99"/>
    <w:rsid w:val="00FD4D84"/>
    <w:pPr>
      <w:widowControl/>
      <w:snapToGrid/>
      <w:spacing w:line="380" w:lineRule="exact"/>
      <w:ind w:firstLine="680"/>
    </w:pPr>
    <w:rPr>
      <w:sz w:val="22"/>
      <w:szCs w:val="22"/>
    </w:rPr>
  </w:style>
  <w:style w:type="paragraph" w:styleId="ad">
    <w:name w:val="footer"/>
    <w:basedOn w:val="a"/>
    <w:link w:val="ae"/>
    <w:uiPriority w:val="99"/>
    <w:rsid w:val="00FD4D84"/>
    <w:pPr>
      <w:widowControl/>
      <w:tabs>
        <w:tab w:val="center" w:pos="4153"/>
        <w:tab w:val="right" w:pos="8306"/>
      </w:tabs>
      <w:snapToGrid/>
      <w:spacing w:line="400" w:lineRule="exact"/>
      <w:ind w:firstLine="720"/>
    </w:pPr>
    <w:rPr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4"/>
      <w:szCs w:val="24"/>
    </w:rPr>
  </w:style>
  <w:style w:type="paragraph" w:styleId="af">
    <w:name w:val="footnote text"/>
    <w:basedOn w:val="a"/>
    <w:link w:val="af0"/>
    <w:uiPriority w:val="99"/>
    <w:rsid w:val="00FD4D84"/>
    <w:pPr>
      <w:widowControl/>
      <w:snapToGrid/>
      <w:spacing w:line="240" w:lineRule="auto"/>
      <w:ind w:firstLine="0"/>
      <w:jc w:val="left"/>
    </w:pPr>
    <w:rPr>
      <w:rFonts w:ascii="Times New Roman" w:hAnsi="Times New Roman" w:cs="Times New Roman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FD4D84"/>
    <w:rPr>
      <w:vertAlign w:val="superscript"/>
    </w:rPr>
  </w:style>
  <w:style w:type="paragraph" w:customStyle="1" w:styleId="BodyText21">
    <w:name w:val="Body Text 21"/>
    <w:basedOn w:val="a"/>
    <w:uiPriority w:val="99"/>
    <w:rsid w:val="00FD4D84"/>
    <w:pPr>
      <w:widowControl/>
      <w:snapToGrid/>
      <w:spacing w:line="400" w:lineRule="exact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af2">
    <w:name w:val="табл"/>
    <w:basedOn w:val="a"/>
    <w:uiPriority w:val="99"/>
    <w:rsid w:val="00FD4D84"/>
    <w:pPr>
      <w:widowControl/>
      <w:snapToGrid/>
      <w:spacing w:line="260" w:lineRule="exact"/>
      <w:ind w:firstLine="0"/>
      <w:jc w:val="center"/>
    </w:pPr>
    <w:rPr>
      <w:color w:val="000000"/>
    </w:rPr>
  </w:style>
  <w:style w:type="paragraph" w:customStyle="1" w:styleId="no-dec">
    <w:name w:val="no-dec"/>
    <w:basedOn w:val="a"/>
    <w:uiPriority w:val="99"/>
    <w:rsid w:val="00FD4D8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707070"/>
      <w:sz w:val="24"/>
      <w:szCs w:val="24"/>
    </w:rPr>
  </w:style>
  <w:style w:type="paragraph" w:customStyle="1" w:styleId="arch">
    <w:name w:val="arch"/>
    <w:basedOn w:val="a"/>
    <w:uiPriority w:val="99"/>
    <w:rsid w:val="00FD4D8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color w:val="0EA40E"/>
      <w:sz w:val="24"/>
      <w:szCs w:val="24"/>
    </w:rPr>
  </w:style>
  <w:style w:type="paragraph" w:customStyle="1" w:styleId="par">
    <w:name w:val="par"/>
    <w:basedOn w:val="a"/>
    <w:uiPriority w:val="99"/>
    <w:rsid w:val="00FD4D8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iPriority w:val="99"/>
    <w:rsid w:val="00FD4D84"/>
    <w:pPr>
      <w:widowControl/>
      <w:snapToGrid/>
      <w:spacing w:after="120" w:line="24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Pr>
      <w:sz w:val="24"/>
      <w:szCs w:val="24"/>
    </w:rPr>
  </w:style>
  <w:style w:type="paragraph" w:customStyle="1" w:styleId="FR1">
    <w:name w:val="FR1"/>
    <w:uiPriority w:val="99"/>
    <w:rsid w:val="00FD4D84"/>
    <w:pPr>
      <w:widowControl w:val="0"/>
      <w:snapToGrid w:val="0"/>
      <w:spacing w:after="0" w:line="338" w:lineRule="auto"/>
      <w:ind w:left="40" w:firstLine="600"/>
      <w:jc w:val="both"/>
    </w:pPr>
  </w:style>
  <w:style w:type="paragraph" w:customStyle="1" w:styleId="ConsNormal">
    <w:name w:val="ConsNormal"/>
    <w:uiPriority w:val="99"/>
    <w:rsid w:val="00FD4D8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ARTHUR">
    <w:name w:val="ARTHUR"/>
    <w:basedOn w:val="a"/>
    <w:uiPriority w:val="99"/>
    <w:rsid w:val="00FD4D84"/>
    <w:pPr>
      <w:widowControl/>
      <w:snapToGrid/>
      <w:spacing w:line="240" w:lineRule="auto"/>
      <w:ind w:left="737" w:right="567" w:firstLine="709"/>
    </w:pPr>
    <w:rPr>
      <w:rFonts w:ascii="Pragmatica" w:hAnsi="Pragmatica" w:cs="Pragmatica"/>
    </w:rPr>
  </w:style>
  <w:style w:type="character" w:customStyle="1" w:styleId="small">
    <w:name w:val="small"/>
    <w:basedOn w:val="a0"/>
    <w:uiPriority w:val="99"/>
    <w:rsid w:val="00FD4D84"/>
  </w:style>
  <w:style w:type="paragraph" w:styleId="af5">
    <w:name w:val="Block Text"/>
    <w:basedOn w:val="a"/>
    <w:uiPriority w:val="99"/>
    <w:rsid w:val="00FD4D84"/>
    <w:pPr>
      <w:widowControl/>
      <w:snapToGrid/>
      <w:spacing w:line="240" w:lineRule="auto"/>
      <w:ind w:left="900" w:right="-365" w:firstLine="0"/>
    </w:pPr>
    <w:rPr>
      <w:rFonts w:ascii="Times New Roman" w:hAnsi="Times New Roman" w:cs="Times New Roman"/>
      <w:b/>
      <w:bCs/>
      <w:sz w:val="28"/>
      <w:szCs w:val="28"/>
    </w:rPr>
  </w:style>
  <w:style w:type="character" w:styleId="af6">
    <w:name w:val="Strong"/>
    <w:basedOn w:val="a0"/>
    <w:uiPriority w:val="99"/>
    <w:qFormat/>
    <w:rsid w:val="00FD4D84"/>
    <w:rPr>
      <w:b/>
      <w:bCs/>
    </w:rPr>
  </w:style>
  <w:style w:type="paragraph" w:styleId="af7">
    <w:name w:val="Plain Text"/>
    <w:basedOn w:val="a"/>
    <w:link w:val="af8"/>
    <w:uiPriority w:val="99"/>
    <w:rsid w:val="00FD4D84"/>
    <w:pPr>
      <w:widowControl/>
      <w:snapToGrid/>
      <w:spacing w:line="240" w:lineRule="auto"/>
      <w:ind w:firstLine="0"/>
      <w:jc w:val="left"/>
    </w:pPr>
    <w:rPr>
      <w:rFonts w:ascii="Courier New" w:hAnsi="Courier New" w:cs="Courier New"/>
      <w:lang w:val="be-BY"/>
    </w:rPr>
  </w:style>
  <w:style w:type="character" w:customStyle="1" w:styleId="af8">
    <w:name w:val="Текст Знак"/>
    <w:basedOn w:val="a0"/>
    <w:link w:val="af7"/>
    <w:uiPriority w:val="99"/>
    <w:semiHidden/>
    <w:rPr>
      <w:rFonts w:ascii="Courier New" w:hAnsi="Courier New" w:cs="Courier New"/>
      <w:sz w:val="20"/>
      <w:szCs w:val="20"/>
    </w:rPr>
  </w:style>
  <w:style w:type="table" w:styleId="af9">
    <w:name w:val="Table Grid"/>
    <w:basedOn w:val="a1"/>
    <w:uiPriority w:val="99"/>
    <w:rsid w:val="00FD4D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link w:val="afb"/>
    <w:uiPriority w:val="99"/>
    <w:qFormat/>
    <w:rsid w:val="00FD4D84"/>
    <w:pPr>
      <w:widowControl/>
      <w:autoSpaceDE w:val="0"/>
      <w:autoSpaceDN w:val="0"/>
      <w:adjustRightInd w:val="0"/>
      <w:snapToGrid/>
      <w:spacing w:line="360" w:lineRule="auto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b">
    <w:name w:val="Название Знак"/>
    <w:basedOn w:val="a0"/>
    <w:link w:val="afa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c">
    <w:name w:val="FollowedHyperlink"/>
    <w:basedOn w:val="a0"/>
    <w:uiPriority w:val="99"/>
    <w:rsid w:val="00FD4D8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D4D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uiPriority w:val="99"/>
    <w:rsid w:val="00FD4D84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d">
    <w:name w:val="Subtitle"/>
    <w:basedOn w:val="a"/>
    <w:link w:val="afe"/>
    <w:uiPriority w:val="99"/>
    <w:qFormat/>
    <w:rsid w:val="00FD4D84"/>
    <w:pPr>
      <w:widowControl/>
      <w:snapToGrid/>
      <w:spacing w:line="360" w:lineRule="auto"/>
      <w:ind w:firstLine="0"/>
      <w:jc w:val="lef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e">
    <w:name w:val="Подзаголовок Знак"/>
    <w:basedOn w:val="a0"/>
    <w:link w:val="afd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uiPriority w:val="99"/>
    <w:rsid w:val="00FD4D84"/>
    <w:pPr>
      <w:widowControl w:val="0"/>
      <w:spacing w:after="0" w:line="240" w:lineRule="auto"/>
      <w:ind w:left="40" w:firstLine="300"/>
      <w:jc w:val="both"/>
    </w:pPr>
    <w:rPr>
      <w:sz w:val="20"/>
      <w:szCs w:val="20"/>
    </w:rPr>
  </w:style>
  <w:style w:type="paragraph" w:customStyle="1" w:styleId="120">
    <w:name w:val="Обычный №12"/>
    <w:basedOn w:val="a"/>
    <w:uiPriority w:val="99"/>
    <w:rsid w:val="00FD4D84"/>
    <w:pPr>
      <w:widowControl/>
      <w:snapToGrid/>
      <w:spacing w:line="240" w:lineRule="auto"/>
      <w:ind w:firstLine="284"/>
    </w:pPr>
    <w:rPr>
      <w:rFonts w:ascii="Times New Roman" w:hAnsi="Times New Roman" w:cs="Times New Roman"/>
      <w:sz w:val="24"/>
      <w:szCs w:val="24"/>
    </w:rPr>
  </w:style>
  <w:style w:type="paragraph" w:customStyle="1" w:styleId="aff">
    <w:name w:val="Таблица с од.меж.рас."/>
    <w:basedOn w:val="a"/>
    <w:uiPriority w:val="99"/>
    <w:rsid w:val="00FD4D84"/>
    <w:pPr>
      <w:widowControl/>
      <w:snapToGrid/>
      <w:spacing w:line="240" w:lineRule="auto"/>
      <w:ind w:firstLine="0"/>
    </w:pPr>
    <w:rPr>
      <w:rFonts w:ascii="Times New Roman" w:hAnsi="Times New Roman" w:cs="Times New Roman"/>
      <w:sz w:val="28"/>
      <w:szCs w:val="28"/>
    </w:rPr>
  </w:style>
  <w:style w:type="paragraph" w:customStyle="1" w:styleId="FR2">
    <w:name w:val="FR2"/>
    <w:uiPriority w:val="99"/>
    <w:rsid w:val="00FD4D84"/>
    <w:pPr>
      <w:widowControl w:val="0"/>
      <w:spacing w:after="0" w:line="240" w:lineRule="auto"/>
    </w:pPr>
    <w:rPr>
      <w:rFonts w:ascii="Arial" w:hAnsi="Arial" w:cs="Arial"/>
      <w:b/>
      <w:bCs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Microsoft_Excel_97-20031.xls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_____Microsoft_Excel_97-20033.xls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5707</Words>
  <Characters>32533</Characters>
  <Application>Microsoft Office Word</Application>
  <DocSecurity>0</DocSecurity>
  <Lines>271</Lines>
  <Paragraphs>76</Paragraphs>
  <ScaleCrop>false</ScaleCrop>
  <Company>Home</Company>
  <LinksUpToDate>false</LinksUpToDate>
  <CharactersWithSpaces>38164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Какова методика анализа дебиторской задолженности</dc:title>
  <dc:subject/>
  <dc:creator>Alena</dc:creator>
  <cp:keywords/>
  <dc:description/>
  <cp:lastModifiedBy>admin</cp:lastModifiedBy>
  <cp:revision>2</cp:revision>
  <dcterms:created xsi:type="dcterms:W3CDTF">2014-02-20T02:41:00Z</dcterms:created>
  <dcterms:modified xsi:type="dcterms:W3CDTF">2014-02-20T02:41:00Z</dcterms:modified>
</cp:coreProperties>
</file>