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C03" w:rsidRDefault="00FB0C03" w:rsidP="00FB0C03">
      <w:pPr>
        <w:ind w:firstLine="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ТЕМЫ РЕФЕРАТОВ</w:t>
      </w:r>
    </w:p>
    <w:p w:rsidR="00FB0C03" w:rsidRDefault="00FB0C03" w:rsidP="00FB0C03">
      <w:pPr>
        <w:jc w:val="center"/>
        <w:rPr>
          <w:sz w:val="24"/>
          <w:szCs w:val="24"/>
        </w:rPr>
      </w:pP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Россия в системе СНГ: формы сотрудничества в 2000 – 2010 гг.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1929 год – год «великого перелома». Методы проведения коллективизации.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Аграрный факультет для России.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Великая Отечественная война в судьбе моей семьи.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Взаимодействие хозяйственной жизни, обычаев, традиций, культур разных народов России в условиях многонационального государства.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выпускников аграрного факультета РУДН в российских регионах.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Деятельность выпускников аграрного факультета РУДН в странах СНГ. 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выпускников аграрного факультета РУДН за рубежом.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московской городской думы в 1991 –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Деятельность московской городской думы в 2000 – 2010 гг.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Значение отмены крепостного права для развития сельского хозяйства и промышленности России.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Крестьянство в гражданской войне 1918-1920 гг.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Культура России в контексте мировой цивилизации.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Культурные связи Российской Федерации и СНГ в 1991 – 1999 годы.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Культурные связи Российской Федерации и СНГ в2000 - 2010 годы.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Международное сотрудничество высшей школы России в 2000 - 2010 годы.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Международные связи высшей школы России в 90-е годы ХХ века.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Международные связи РФ со странами ближнего зарубежья в 2001 – 2010 гг.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НЭП: сущность, достижения, внутренние противоречия, итоги.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Основные направления сотрудничества России и Белоруссии на пути создания Союзного государства.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Перестройка в истории России.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Попытки решения крестьянского вопроса в правление Александра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и Николая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(сравнительный анализ).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Попытки фальсификации предпосылок, исхода и роли Великой Отечественной войны в мировой истории.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Постсоветская Россия: трудности становления демократического общества (1991-2010 гг.).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Пути развития христианства в России в … веке. (Проблему формулирует автор).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Развитие агрокомплекса в России на современном этапе: реальности и перспективы.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Развитие системы городского самоуправления в Москве в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веке.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Роль Российской Федерации в системе СНГ, в создании коллективной безопасности в 2000 - 2010 годы.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Российская Федерация и социальное развитие стран СНГ в 1991 - 2010 годы.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Российско-американские отношения на современном этапе.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Российско-английские отношения на современном этапе.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Российско-арабские отношения на современном этапе.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Российско-африканское сотрудничество в 2000 –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Российско-болгарское сотрудничество в 2000 –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Российско-итальянские отношения на современном этапе.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Российско-корейские отношения в 2000 –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Российско-турецкие связи на современном этапе.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Российско-французские отношения на современном этапе.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Российско-японское сотрудничество в 2000 –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Россия в борьбе с международным терроризмом.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Россия в системе СНГ: формы сотрудничества в 1999 – 2000 гг.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Россия и … (взаимосвязь цивилизаций и культур) в … веке. (Конкретную тему формулирует автор).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Россия и Европа в начале 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века: экономические связи, политические противоречия, культурное взаимодействие.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Россия и политическое сотрудничество СНГ в 2000 - 2010 годы.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Россия и политическое сотрудничество СНГ в 90-е годы ХХ века.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Россия как центр модернизационного пространства: возможности и перспективы.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РУДН для России с 1960 по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Совершенствование системы высшей школы РФ на рубеже </w:t>
      </w:r>
      <w:r>
        <w:rPr>
          <w:sz w:val="24"/>
          <w:szCs w:val="24"/>
          <w:lang w:val="en-US"/>
        </w:rPr>
        <w:t>XX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вв.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Советское крестьянство в годы Великой Отечественной войны.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России и Индии на современном этапе.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России и Китайской Народной Республики в политической, экономической, военной, социальной и культурной областях, а также в области коллективной безопасности.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Сотрудничество России и Республики Казахстан в политической, экономической, военной, социальной и культурной областях. 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России и стран СНГ в гуманитарной сфере в 2000 - 2010 годы.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России и стран СНГ в гуманитарной сфере в 90-е годы ХХ века.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Сотрудничество России и Украинской Республики в политической, экономической, военной, социальной и культурной областях. 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РУДН с Белоруссией с 1960 по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РУДН с Грузией с 1960 по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РУДН с Казахстаном с 1960 по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РУДН с Молдавией с 1960 по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РУДН с Таджикистаном с 1960 по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РУДН с Узбекистаном с 1960 по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РУДН с Украинской Республикой с 1960 по 2010 гг.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РФ со странами на современном этапе (Швецией, Норвегией, Нидерландами, Данией)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Сотрудничество РФ со странами Прибалтики (Латвией, Литвой, Эстонией).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Становление и развитие системы местного самоуправления в Москве на современном этапе.</w:t>
      </w:r>
    </w:p>
    <w:p w:rsidR="00FB0C03" w:rsidRDefault="00FB0C03" w:rsidP="00FB0C03">
      <w:pPr>
        <w:pStyle w:val="3"/>
        <w:numPr>
          <w:ilvl w:val="0"/>
          <w:numId w:val="1"/>
        </w:numPr>
        <w:tabs>
          <w:tab w:val="num" w:pos="426"/>
        </w:tabs>
        <w:snapToGrid w:val="0"/>
        <w:spacing w:after="0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Столыпинская аграрная реформа и ее роль в дальнейшем развитии российской экономики.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Экономические связи РФ и стран СНГ в 2000 - 2010 годы.</w:t>
      </w:r>
    </w:p>
    <w:p w:rsidR="00FB0C03" w:rsidRDefault="00FB0C03" w:rsidP="00FB0C03">
      <w:pPr>
        <w:numPr>
          <w:ilvl w:val="0"/>
          <w:numId w:val="1"/>
        </w:numPr>
        <w:tabs>
          <w:tab w:val="num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Экономическое сотрудничество РФ и стран СНГ в 90-е годы ХХ века.</w:t>
      </w:r>
    </w:p>
    <w:p w:rsidR="00FB0C03" w:rsidRDefault="00FB0C03" w:rsidP="00FB0C03">
      <w:pPr>
        <w:pBdr>
          <w:bottom w:val="single" w:sz="12" w:space="1" w:color="auto"/>
        </w:pBdr>
        <w:tabs>
          <w:tab w:val="num" w:pos="426"/>
        </w:tabs>
        <w:ind w:hanging="426"/>
        <w:jc w:val="both"/>
        <w:rPr>
          <w:sz w:val="24"/>
          <w:szCs w:val="24"/>
        </w:rPr>
      </w:pPr>
    </w:p>
    <w:p w:rsidR="00FB0C03" w:rsidRDefault="00FB0C03" w:rsidP="00FB0C03">
      <w:pPr>
        <w:tabs>
          <w:tab w:val="num" w:pos="426"/>
        </w:tabs>
        <w:ind w:hanging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 кафедру необходимо представить текст (оформленный как реферат), </w:t>
      </w:r>
      <w:r>
        <w:rPr>
          <w:sz w:val="24"/>
          <w:szCs w:val="24"/>
          <w:lang w:val="en-US"/>
        </w:rPr>
        <w:t>disk</w:t>
      </w:r>
      <w:r>
        <w:rPr>
          <w:sz w:val="24"/>
          <w:szCs w:val="24"/>
        </w:rPr>
        <w:t xml:space="preserve"> и отправить на почту (</w:t>
      </w:r>
      <w:r>
        <w:rPr>
          <w:sz w:val="24"/>
          <w:szCs w:val="24"/>
          <w:lang w:val="en-US"/>
        </w:rPr>
        <w:t>ubelka</w:t>
      </w:r>
      <w:r>
        <w:rPr>
          <w:sz w:val="24"/>
          <w:szCs w:val="24"/>
        </w:rPr>
        <w:t>69@</w:t>
      </w:r>
      <w:r>
        <w:rPr>
          <w:sz w:val="24"/>
          <w:szCs w:val="24"/>
          <w:lang w:val="en-US"/>
        </w:rPr>
        <w:t>jmail</w:t>
      </w:r>
      <w:r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com</w:t>
      </w:r>
      <w:r>
        <w:rPr>
          <w:sz w:val="24"/>
          <w:szCs w:val="24"/>
        </w:rPr>
        <w:t>).</w:t>
      </w:r>
    </w:p>
    <w:p w:rsidR="00FB0C03" w:rsidRDefault="00FB0C03" w:rsidP="00FB0C03">
      <w:pPr>
        <w:jc w:val="both"/>
        <w:rPr>
          <w:sz w:val="24"/>
          <w:szCs w:val="24"/>
        </w:rPr>
      </w:pPr>
    </w:p>
    <w:p w:rsidR="00FB0C03" w:rsidRDefault="00FB0C03" w:rsidP="00FB0C03">
      <w:pPr>
        <w:pStyle w:val="a3"/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Правила написания реферата</w:t>
      </w:r>
    </w:p>
    <w:p w:rsidR="00FB0C03" w:rsidRDefault="00FB0C03" w:rsidP="00FB0C03">
      <w:pPr>
        <w:ind w:firstLine="48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Общие сведения о реферате.</w:t>
      </w:r>
      <w:r>
        <w:rPr>
          <w:snapToGrid w:val="0"/>
          <w:sz w:val="24"/>
          <w:szCs w:val="24"/>
        </w:rPr>
        <w:t xml:space="preserve"> При очной форме обучения реферат является одной из форм межсессионного контроля студенческих знаний. В реферате в письменной форме должны быть раскрыты основные положения темы.</w:t>
      </w:r>
    </w:p>
    <w:p w:rsidR="00FB0C03" w:rsidRDefault="00FB0C03" w:rsidP="00FB0C03">
      <w:pPr>
        <w:ind w:firstLine="48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Структура работы. Реферат состоит из плана, введения, основной части, заключения и списка литературы.</w:t>
      </w:r>
    </w:p>
    <w:p w:rsidR="00FB0C03" w:rsidRDefault="00FB0C03" w:rsidP="00FB0C03">
      <w:pPr>
        <w:ind w:firstLine="48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План раскрывает структуру и содержание работы. Во введении необходимо сделать обоснование выбора темы и сделать краткий обзор использованной литературы. Основная часть должна состоять из 2-3 глав, которые в свою очередь подразделяются на параграфы. Каждая глава или параграф выделяется в тексте основной части: ставиться номер пункта и повторяется название этого раздела. Заключение содержит основные выводы автора по изученной теме. Список использованной литературы составляется в алфавитном порядке по правилам библиографического описания.</w:t>
      </w:r>
    </w:p>
    <w:p w:rsidR="00FB0C03" w:rsidRDefault="00FB0C03" w:rsidP="00FB0C03">
      <w:pPr>
        <w:ind w:firstLine="48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Подбор литературы.</w:t>
      </w:r>
      <w:r>
        <w:rPr>
          <w:snapToGrid w:val="0"/>
          <w:sz w:val="24"/>
          <w:szCs w:val="24"/>
        </w:rPr>
        <w:t xml:space="preserve"> Работу над рефератом необходимо начать с изучения общей литературы по истории России. Здесь необходимо сказать о выборе учебника. Лучше пользоваться учебными пособиями ведущих ву</w:t>
      </w:r>
      <w:r>
        <w:rPr>
          <w:snapToGrid w:val="0"/>
          <w:sz w:val="24"/>
          <w:szCs w:val="24"/>
        </w:rPr>
        <w:softHyphen/>
        <w:t xml:space="preserve">зов – МГУ, РУДН или МГПУ. </w:t>
      </w:r>
    </w:p>
    <w:p w:rsidR="00FB0C03" w:rsidRDefault="00FB0C03" w:rsidP="00FB0C03">
      <w:pPr>
        <w:ind w:firstLine="48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Вторым этапом является изучение специальной литературы по выбранной теме. Студенты могут использовать любые учебные пособия и исследования. Автор реферата должен составить список использованной литературы, с привлечением статей из научно-исторических и научно-педагогических журналов. Раскрытие темы на должном уровне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не возможно без использования современной литературы. Вообще студент должен тщательно проанализировать любой текст, а не бездумно его переписывать. При этом в раздел «Использованная литература» вноситься только та литература, которая была </w:t>
      </w:r>
      <w:r>
        <w:rPr>
          <w:i/>
          <w:snapToGrid w:val="0"/>
          <w:sz w:val="24"/>
          <w:szCs w:val="24"/>
        </w:rPr>
        <w:t>действительно использована студентом.</w:t>
      </w:r>
      <w:r>
        <w:rPr>
          <w:snapToGrid w:val="0"/>
          <w:sz w:val="24"/>
          <w:szCs w:val="24"/>
        </w:rPr>
        <w:t xml:space="preserve"> Ошибку допускают студенты, которые просто переписывают в список используемой литературы наименования книг и статей. Как правило, из текста реферата видно насколько тщательно была проанализирована указанная литература.</w:t>
      </w:r>
    </w:p>
    <w:p w:rsidR="00FB0C03" w:rsidRDefault="00FB0C03" w:rsidP="00FB0C03">
      <w:pPr>
        <w:ind w:firstLine="48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Объем</w:t>
      </w:r>
      <w:r>
        <w:rPr>
          <w:snapToGrid w:val="0"/>
          <w:sz w:val="24"/>
          <w:szCs w:val="24"/>
        </w:rPr>
        <w:t xml:space="preserve"> работы. Объем работы не должен превышать 25 страниц. Каждая страница должна быть пронумерована и иметь поля. Оформляется работа на компьютере, согласно общепринятым стандартам (через полтора интервала текстового редактора </w:t>
      </w:r>
      <w:r>
        <w:rPr>
          <w:snapToGrid w:val="0"/>
          <w:sz w:val="24"/>
          <w:szCs w:val="24"/>
          <w:lang w:val="en-US"/>
        </w:rPr>
        <w:t>Microsoft</w:t>
      </w:r>
      <w:r w:rsidRPr="00FB0C03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  <w:lang w:val="en-US"/>
        </w:rPr>
        <w:t>Word</w:t>
      </w:r>
      <w:r>
        <w:rPr>
          <w:snapToGrid w:val="0"/>
          <w:sz w:val="24"/>
          <w:szCs w:val="24"/>
        </w:rPr>
        <w:t xml:space="preserve">). Однако, выполнение работы на компьютере не означает, что можно взять готовую работу из </w:t>
      </w:r>
      <w:r>
        <w:rPr>
          <w:snapToGrid w:val="0"/>
          <w:sz w:val="24"/>
          <w:szCs w:val="24"/>
          <w:lang w:val="en-US"/>
        </w:rPr>
        <w:t>Internet</w:t>
      </w:r>
      <w:r>
        <w:rPr>
          <w:snapToGrid w:val="0"/>
          <w:sz w:val="24"/>
          <w:szCs w:val="24"/>
        </w:rPr>
        <w:t xml:space="preserve"> или со специального диска. Как правило, преподаватели такие работы выделяют с первого взгляда. «Компьютерное» творчество может быть основанием для возвращения работы на доработку.</w:t>
      </w:r>
    </w:p>
    <w:p w:rsidR="00FB0C03" w:rsidRDefault="00FB0C03" w:rsidP="00FB0C03">
      <w:pPr>
        <w:ind w:firstLine="54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Оформление реферата.</w:t>
      </w:r>
      <w:r>
        <w:rPr>
          <w:snapToGrid w:val="0"/>
          <w:sz w:val="24"/>
          <w:szCs w:val="24"/>
        </w:rPr>
        <w:t xml:space="preserve"> Текст работы должен быть написан четко, разборчиво и ясно. Важно правильно оформить сноски к цитатам, цифрам и фактам, взятым из источников и литературы. Цитаты в тексте реферата заключаются в кавычки и нумеруются. Сноски помещают или в конце работы (обычно они называются "примечания") или внизу страницы. В первом случае сноски называют концевые, во - втором</w:t>
      </w:r>
      <w:r>
        <w:rPr>
          <w:smallCap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- постраничные. Рекомендуется делать подстрочные сноски внизу страницы. </w:t>
      </w:r>
    </w:p>
    <w:p w:rsidR="00FB0C03" w:rsidRDefault="00FB0C03" w:rsidP="00FB0C03">
      <w:pPr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Важно правильно оформить список литературы и источников. Здесь студенты допускают наибольшее количество ошибок. Список литературы оформляется по правилам </w:t>
      </w:r>
      <w:r>
        <w:rPr>
          <w:i/>
          <w:snapToGrid w:val="0"/>
          <w:sz w:val="24"/>
          <w:szCs w:val="24"/>
        </w:rPr>
        <w:t>библиографического описания в алфавитном порядке.</w:t>
      </w:r>
      <w:r>
        <w:rPr>
          <w:snapToGrid w:val="0"/>
          <w:sz w:val="24"/>
          <w:szCs w:val="24"/>
        </w:rPr>
        <w:t xml:space="preserve"> Правильное выполнение этого вида работы есть выражение научной этики и культуры научного труда. </w:t>
      </w:r>
    </w:p>
    <w:p w:rsidR="00FB0C03" w:rsidRDefault="00FB0C03" w:rsidP="00FB0C03">
      <w:pPr>
        <w:ind w:firstLine="50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Необходимо правильно оформить титульный лист, где указывается дисциплина, по которой сдается работы, название темы. Студент также указывает курс, номер своей группы (иначе работа может попасть в работы студентов другой группы) и свою фамилию и инициалы. Также указывается фамилия преподавателя, его инициалы, ученое звание или ученая степень.</w:t>
      </w:r>
    </w:p>
    <w:p w:rsidR="00FB0C03" w:rsidRDefault="00FB0C03" w:rsidP="00FB0C03">
      <w:pPr>
        <w:ind w:firstLine="500"/>
        <w:jc w:val="both"/>
        <w:rPr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Порядок представления и защиты работы.</w:t>
      </w:r>
      <w:r>
        <w:rPr>
          <w:snapToGrid w:val="0"/>
          <w:sz w:val="24"/>
          <w:szCs w:val="24"/>
        </w:rPr>
        <w:t xml:space="preserve"> Выполненная работа сдается студентом преподавателю не позднее, чем за месяц до итоговой аттестации. Условием положительной оценки является отсутствие грубых ошибок и приемлемая степень раскрытия вопросов. Работа не может быть зачтена, если присутствует факт дословного списывания учебника, источника, неверно оформлены сноски и список литературы. </w:t>
      </w:r>
    </w:p>
    <w:p w:rsidR="00FB0C03" w:rsidRDefault="00FB0C03" w:rsidP="00FB0C03">
      <w:pPr>
        <w:pStyle w:val="1"/>
        <w:rPr>
          <w:szCs w:val="24"/>
        </w:rPr>
      </w:pPr>
      <w:r>
        <w:rPr>
          <w:szCs w:val="24"/>
        </w:rPr>
        <w:t>Типичные ошибки авторов рефератов</w:t>
      </w:r>
    </w:p>
    <w:p w:rsidR="00FB0C03" w:rsidRDefault="00FB0C03" w:rsidP="00FB0C03">
      <w:pPr>
        <w:ind w:hanging="2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1. План работы не соответствует теме работы.</w:t>
      </w:r>
    </w:p>
    <w:p w:rsidR="00FB0C03" w:rsidRDefault="00FB0C03" w:rsidP="00FB0C03">
      <w:pPr>
        <w:ind w:hanging="2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2. Текст работы не соответствует плану.</w:t>
      </w:r>
    </w:p>
    <w:p w:rsidR="00FB0C03" w:rsidRDefault="00FB0C03" w:rsidP="00FB0C03">
      <w:pPr>
        <w:ind w:hanging="2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3. При написании использована литература, которая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не позволяет</w:t>
      </w:r>
      <w:r>
        <w:rPr>
          <w:b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>достаточно глубоко раскрыть тему.</w:t>
      </w:r>
    </w:p>
    <w:p w:rsidR="00FB0C03" w:rsidRDefault="00FB0C03" w:rsidP="00FB0C03">
      <w:pPr>
        <w:ind w:hanging="2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4. Неправильно оформлены сноски и список литературы.</w:t>
      </w:r>
    </w:p>
    <w:p w:rsidR="00FB0C03" w:rsidRDefault="00FB0C03" w:rsidP="00FB0C03">
      <w:pPr>
        <w:ind w:hanging="2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5. Автор ограничился механическим переписыванием текста одной из рекомендованных работ вместо того, чтобы самостоятельно подготовить текст на основе изучения источников и литературы.</w:t>
      </w:r>
    </w:p>
    <w:p w:rsidR="00FB0C03" w:rsidRDefault="00FB0C03" w:rsidP="00FB0C03">
      <w:pPr>
        <w:ind w:hanging="240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6. Цитаты и цифровые данные приводятся без указания источников.</w:t>
      </w:r>
    </w:p>
    <w:p w:rsidR="00FB0C03" w:rsidRDefault="00FB0C03">
      <w:bookmarkStart w:id="0" w:name="_GoBack"/>
      <w:bookmarkEnd w:id="0"/>
    </w:p>
    <w:sectPr w:rsidR="00FB0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E74AC"/>
    <w:multiLevelType w:val="hybridMultilevel"/>
    <w:tmpl w:val="575CCC8C"/>
    <w:lvl w:ilvl="0" w:tplc="242AAA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C03"/>
    <w:rsid w:val="00126FCA"/>
    <w:rsid w:val="00133BAA"/>
    <w:rsid w:val="005E3445"/>
    <w:rsid w:val="00FB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9833DB-69EA-4AA1-B61B-076A9B81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C03"/>
  </w:style>
  <w:style w:type="paragraph" w:styleId="1">
    <w:name w:val="heading 1"/>
    <w:basedOn w:val="a"/>
    <w:next w:val="a"/>
    <w:qFormat/>
    <w:rsid w:val="00FB0C03"/>
    <w:pPr>
      <w:keepNext/>
      <w:spacing w:line="360" w:lineRule="auto"/>
      <w:jc w:val="center"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B0C03"/>
    <w:pPr>
      <w:ind w:firstLine="284"/>
      <w:jc w:val="both"/>
    </w:pPr>
    <w:rPr>
      <w:kern w:val="2"/>
      <w:sz w:val="24"/>
    </w:rPr>
  </w:style>
  <w:style w:type="paragraph" w:styleId="3">
    <w:name w:val="Body Text Indent 3"/>
    <w:basedOn w:val="a"/>
    <w:rsid w:val="00FB0C03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3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1379</Words>
  <Characters>7864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ТЕМЫ РЕФЕРАТОВ</vt:lpstr>
    </vt:vector>
  </TitlesOfParts>
  <Company>MoBIL GROUP</Company>
  <LinksUpToDate>false</LinksUpToDate>
  <CharactersWithSpaces>9225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ТЕМЫ РЕФЕРАТОВ</dc:title>
  <dc:subject/>
  <dc:creator>Юля</dc:creator>
  <cp:keywords/>
  <dc:description/>
  <cp:lastModifiedBy>Irina</cp:lastModifiedBy>
  <cp:revision>2</cp:revision>
  <dcterms:created xsi:type="dcterms:W3CDTF">2014-09-18T13:54:00Z</dcterms:created>
  <dcterms:modified xsi:type="dcterms:W3CDTF">2014-09-18T13:54:00Z</dcterms:modified>
</cp:coreProperties>
</file>