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11" w:rsidRDefault="00725F33">
      <w:pPr>
        <w:pStyle w:val="a3"/>
        <w:jc w:val="center"/>
      </w:pPr>
      <w:r>
        <w:rPr>
          <w:b/>
          <w:bCs/>
        </w:rPr>
        <w:t>МІНІСТЕРСТВО ФІНАНСІВ УКРАЇНИ </w:t>
      </w:r>
    </w:p>
    <w:p w:rsidR="003F6411" w:rsidRDefault="00725F33">
      <w:pPr>
        <w:pStyle w:val="2"/>
        <w:jc w:val="center"/>
      </w:pPr>
      <w:r>
        <w:t xml:space="preserve">ЛИСТ </w:t>
      </w:r>
      <w:r>
        <w:rPr>
          <w:lang w:val="uk-UA"/>
        </w:rPr>
        <w:t xml:space="preserve"> </w:t>
      </w:r>
      <w:r>
        <w:rPr>
          <w:sz w:val="24"/>
        </w:rPr>
        <w:t>від 23.02.2000 р. N 18-432</w:t>
      </w:r>
      <w:r>
        <w:t xml:space="preserve"> </w:t>
      </w:r>
    </w:p>
    <w:p w:rsidR="003F6411" w:rsidRDefault="00725F33">
      <w:pPr>
        <w:pStyle w:val="a3"/>
        <w:ind w:firstLine="708"/>
      </w:pPr>
      <w:r>
        <w:t xml:space="preserve">На виконання Програми реформування системи бухгалтерського обліку із застосуванням міжнародних стандартів, затвердженої постановою Кабінету Міністрів України від 28 жовтня 1998 року N 1706, надсилаються для використання та забезпечення підвідомчих підприємств та організацій Методичні рекомендації щодо визначення підприємствами й організаціями показників вступного сальдо Балансу (графа 3) у 2000 році.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2"/>
        <w:gridCol w:w="5163"/>
      </w:tblGrid>
      <w:tr w:rsidR="003F6411">
        <w:trPr>
          <w:tblCellSpacing w:w="15" w:type="dxa"/>
        </w:trPr>
        <w:tc>
          <w:tcPr>
            <w:tcW w:w="2478" w:type="pct"/>
            <w:vAlign w:val="center"/>
          </w:tcPr>
          <w:p w:rsidR="003F6411" w:rsidRDefault="00725F33">
            <w:pPr>
              <w:pStyle w:val="a3"/>
              <w:jc w:val="center"/>
            </w:pPr>
            <w:r>
              <w:t xml:space="preserve">  </w:t>
            </w:r>
            <w:r>
              <w:rPr>
                <w:b/>
                <w:bCs/>
              </w:rPr>
              <w:t>Заступник Міністра</w:t>
            </w:r>
            <w:r>
              <w:t> </w:t>
            </w:r>
          </w:p>
        </w:tc>
        <w:tc>
          <w:tcPr>
            <w:tcW w:w="2478" w:type="pct"/>
            <w:vAlign w:val="center"/>
          </w:tcPr>
          <w:p w:rsidR="003F6411" w:rsidRDefault="00725F33">
            <w:pPr>
              <w:pStyle w:val="a3"/>
              <w:jc w:val="center"/>
            </w:pPr>
            <w:r>
              <w:rPr>
                <w:b/>
                <w:bCs/>
              </w:rPr>
              <w:t>А. Литвин</w:t>
            </w:r>
            <w:r>
              <w:t> </w:t>
            </w:r>
          </w:p>
        </w:tc>
      </w:tr>
    </w:tbl>
    <w:tbl>
      <w:tblPr>
        <w:tblpPr w:vertAnchor="text" w:tblpXSpec="right" w:tblpYSpec="center"/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6"/>
      </w:tblGrid>
      <w:tr w:rsidR="003F6411">
        <w:trPr>
          <w:tblCellSpacing w:w="15" w:type="dxa"/>
        </w:trPr>
        <w:tc>
          <w:tcPr>
            <w:tcW w:w="0" w:type="auto"/>
            <w:vAlign w:val="center"/>
          </w:tcPr>
          <w:p w:rsidR="003F6411" w:rsidRDefault="00725F33">
            <w:pPr>
              <w:pStyle w:val="a3"/>
            </w:pPr>
            <w:r>
              <w:t>  Додаток</w:t>
            </w:r>
            <w:r>
              <w:br/>
              <w:t xml:space="preserve">до листа Міністерства фінансів України </w:t>
            </w:r>
            <w:r>
              <w:br/>
              <w:t>від 23.02.2000 р. N 18-432 </w:t>
            </w:r>
          </w:p>
        </w:tc>
      </w:tr>
    </w:tbl>
    <w:p w:rsidR="003F6411" w:rsidRDefault="00725F33">
      <w:pPr>
        <w:pStyle w:val="3"/>
        <w:jc w:val="center"/>
      </w:pPr>
      <w:r>
        <w:t xml:space="preserve">Методичні рекомендації щодо визначення підприємствами й організаціями показників вступного сальдо Балансу (графа 3) у 2000 році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"/>
        <w:gridCol w:w="657"/>
        <w:gridCol w:w="2577"/>
        <w:gridCol w:w="1631"/>
        <w:gridCol w:w="322"/>
        <w:gridCol w:w="1154"/>
        <w:gridCol w:w="173"/>
        <w:gridCol w:w="3791"/>
        <w:gridCol w:w="83"/>
      </w:tblGrid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 xml:space="preserve">N </w:t>
            </w:r>
            <w:r>
              <w:br/>
              <w:t>з/п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Сальдо на кінець 1999 року (графа 4) Балансу, затвердженого наказом Міністерства фінансів України від 17.11.99 р. N 282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Сальдо на початок 2000 року (графа 3) Балансу, затвердженого наказом Міністерства фінансів України від 31.03.99 р. N 87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Назва статті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 xml:space="preserve">Код </w:t>
            </w:r>
            <w:r>
              <w:br/>
              <w:t>рядка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 xml:space="preserve">Код </w:t>
            </w:r>
            <w:r>
              <w:br/>
              <w:t>рядка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Назва статті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1 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2 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3 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4 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5 </w:t>
            </w:r>
          </w:p>
        </w:tc>
      </w:tr>
      <w:tr w:rsidR="003F6411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rPr>
                <w:b/>
                <w:bCs/>
              </w:rPr>
              <w:t>АКТИВ</w:t>
            </w:r>
            <w:r>
              <w:t>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rPr>
                <w:b/>
                <w:bCs/>
              </w:rPr>
              <w:t>Основні засоби:</w:t>
            </w:r>
            <w:r>
              <w:t>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rPr>
                <w:b/>
                <w:bCs/>
              </w:rPr>
              <w:t>Основні засоби:</w:t>
            </w:r>
            <w:r>
              <w:t>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залишкова вартість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010 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залишкова вартість (визначається як різниця між значеннями рядків 031 і 032)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знос (02)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011 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032 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знос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первісна вартість (01)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012 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031 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первісна вартість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rPr>
                <w:b/>
                <w:bCs/>
              </w:rPr>
              <w:t>Нематеріальні активи:</w:t>
            </w:r>
            <w:r>
              <w:t>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rPr>
                <w:b/>
                <w:bCs/>
              </w:rPr>
              <w:t>Нематеріальні активи:</w:t>
            </w:r>
            <w:r>
              <w:t>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залишкова вартість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020 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залишкова вартість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знос (02)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021 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012 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знос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первісна вартість (04)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022 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011 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первісна вартість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Незавершені капітальні вкладення (інвестиції) (33, 35, 61)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030 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020 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Незавершене будівництво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8. 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Устаткування (07)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035 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020 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Незавершене будівництво (у частині вартості обладнання до встановлення)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100 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виробничі запаси (у частині вартості матеріалів, конструкцій та деталей, які обліковувалися на рахунку 07 "Будівельні матеріали й обладнання до встановлення")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9. 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Довгострокові фінансові вкладення (інвестиції) (58)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040 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045 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фінансові інвестиції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10. 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Майно в оренді (11)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050 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Довгострокова дебіторська заборгованість (крім сальдо субрахунка 4 "Орендний кредит" -у частині поточної заборгованості і сальдо субрахунка 3 "Оборотні фонди до викупу" рахунка 11 "Майно в оренді")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Інша поточна дебіторська заборгованість (у частині, що не включена до рядка 050)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11. 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необоротні активи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060 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Довгострокова дебіторська заборгованість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12. 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Виробничі запаси (05, 06, 08, 10)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080 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100 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виробничі запаси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13. 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Тварини на вирощуванні та відгодівлі (09)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090 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тварини на вирощуванні та відгодівлі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>Малоцінні та швидкозношувані предмети:</w:t>
            </w:r>
            <w:r>
              <w:t>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  </w:t>
            </w:r>
            <w:r>
              <w:br/>
              <w:t> 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14. 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залишкова вартість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100 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Х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 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15. 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знос (13)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101 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032 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знос основних засобів (у частині зносу, що відноситься до спеціальних інструментів і спеціальних пристосувань, інвентарної тари, тимчасових (нетитульних) споруд, предметів прокату)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16. 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первісна вартість (12)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102 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031 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первісна вартість основних засобів (у частині вартості спеціальних інструментів і спеціальних пристосувань, інвентарної тари і тимчасових (нетитульних) споруд)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100 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виробничі запаси (у частині вартості інших малоцінних та швидкозношуваних предметів на складі, що не включена до рядка 031)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350 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Нерозподілений прибуток (непокритий збиток) (у частині залишкової вартості, як різниці між первісною вартістю і сумою зносу малоцінних та швидкозношуваних предметів в експлуатації, що не включені до рядків 031 і 100 - із знаком "-")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17. 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Незавершене виробництво (03, 20, 21, 23, 29, 30, 36, 43, 44)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110 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120 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незавершене виробництво (крім сальдо рахунка обліку розрахунків за виконані етапи за незвершеними роботами, сальдо рахунків обліку позавиробничих витрат та витрат обігу)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210 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Інша поточна дебіторська заборгованість (у частині сальдо рахунка обліку розрахунків за виконані етапи за незавершеними роботами)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350 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Нерозподілений прибуток (непокритий збиток) (у частині сальдо рахунків позавиробничих витрат та витрат обігу - із знаком "-")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18. 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Транспортні послуги за неоформленими реєстрами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111 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120 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незавершене виробництво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19. 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Витрати майбутніх періодів (31)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120 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270 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Витрати майбутніх періодів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20. 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Готова продукція (40)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130 </w:t>
            </w:r>
          </w:p>
        </w:tc>
        <w:tc>
          <w:tcPr>
            <w:tcW w:w="6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130 </w:t>
            </w:r>
          </w:p>
        </w:tc>
        <w:tc>
          <w:tcPr>
            <w:tcW w:w="19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готова продукція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>Товари:</w:t>
            </w:r>
            <w:r>
              <w:t>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 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21. 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купівельна вартість (41)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140 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140 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товари (без вартості предметів прокату)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031 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первісна вартість основних засобів (у частині вартості предметів прокату)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22. 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товарні надбавки (42)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141 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Нерозподілений прибуток (непокритий збиток) (у частині сальдо субрахунка 4 "Валютна маржа" рахунка 42 "Товарні надбавки" - із знаком "+" або "-" відповідно)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23. 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продажна вартість (41)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142 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Х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 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24. 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Товари відвантажені, не сплачені у строк (45)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160 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оборотні активи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 xml:space="preserve">Дебіторська </w:t>
            </w:r>
            <w:r>
              <w:br/>
            </w:r>
            <w:r>
              <w:rPr>
                <w:b/>
                <w:bCs/>
              </w:rPr>
              <w:t>заборгованість:</w:t>
            </w:r>
            <w:r>
              <w:t>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>Дебіторська</w:t>
            </w:r>
            <w:r>
              <w:br/>
            </w:r>
            <w:r>
              <w:rPr>
                <w:b/>
                <w:bCs/>
              </w:rPr>
              <w:t>заборгованість:</w:t>
            </w:r>
            <w:r>
              <w:t>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25. 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 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Х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160 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чиста реалізаційна вартість (визначається як різниця між значеннями рядків 161 і 162)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26. 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 товари, роботи і послуги, строк сплати яких не настав (62,76)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170 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161 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первісна вартість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27. 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 товари, роботи і послуги, не сплачені у строк (62,76)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180 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161 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первісна вартість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28. 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резерв сумнівних боргів (88)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185 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162 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резерв сумнівних боргів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29. 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векселів одержаних (59)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190 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Векселі одержані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30. 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податкових розрахунків (67)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195 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оборотні активи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31. 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бюджетом (68)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200 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бюджетом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32. 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персоналом за іншими операціями (73)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210 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Довгострокова дебіторська заборгованість (у частині довгострокової дебіторської заборгованості персоналу)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Інша поточна дебіторська заборгованість (у частині поточної дебіторської заборгованості персоналу)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33. 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авансів виданих (61)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220 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180 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 виданими авансами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34. 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дочірніми підприємствами (78)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230 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200 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із внутрішніх розрахунків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3 іншими дебіторами (63, 70, 71, 72, 73, 74, 76, 84)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240 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Інша поточна дебіторська заборгованість (крім сальдо рахунка 84 "Нестачі та втрати від псування цінностей")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Витрати майбутніх періодів (у частині сальдо рахунка 84 "Нестачі і втрати від псування цінностей")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36. 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Короткострокові фінансові вкладення (інвестиції) (58)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250 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220 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Поточні фінансові інвестиції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>Грошові кошти:</w:t>
            </w:r>
            <w:r>
              <w:t>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 xml:space="preserve">Грошові кошти </w:t>
            </w:r>
            <w:r>
              <w:br/>
            </w:r>
            <w:r>
              <w:rPr>
                <w:b/>
                <w:bCs/>
              </w:rPr>
              <w:t>та їх еквіваленти:</w:t>
            </w:r>
            <w:r>
              <w:t>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37. 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каса (50)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260 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у національній валюті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240 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 іноземній валюті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38. 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розрахункові рахунки (51)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270 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необоротні активи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у національній валюті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240 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 іноземній валюті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39. 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валютні рахунки (52)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280 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070 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необоротні активи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у національній валюті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240 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 іноземній валюті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40. 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грошові кошти (54, 55, 56)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290 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у національній валюті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240 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 іноземній валюті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41. 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Використання позикових коштів (82)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300 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Нерозподілений прибуток (непокритий збиток) (із знаком "-")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42. 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оборотні активи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310 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250 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оборотні активи </w:t>
            </w:r>
          </w:p>
        </w:tc>
      </w:tr>
      <w:tr w:rsidR="003F6411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rPr>
                <w:b/>
                <w:bCs/>
              </w:rPr>
              <w:t>ПАСИВ</w:t>
            </w:r>
            <w:r>
              <w:t>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43. 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Статутний фонд (капітал) (85)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400 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300 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Статутний капітал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44. 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Додатковий капітал (88)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405 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320 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Додатковий вкладений капітал (у частині емісійного доходу)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Інший додатковий капітал (у частині сум, що за листом Міністерства фінансів України від 04.02.2000 р. N 18-424 переносяться на субрахунки 422 "Інший вкладений капітал", 423 "Дооцінка активів", 424 "Безоплатно одержані необоротні активи")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45. 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Резервний фонд (88)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410 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340 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Резервний капітал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46. 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Фінансування капітальних вкладень (93, 94)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420 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Інший додатковий капітал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у тому числі фінансування геологорозвідувальних робіт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421 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Х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 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48. 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Спеціальні фонди і цільове фінансування (87, 88, 96)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425 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420 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Цільове фінансування (у частині сум цільового фінансування)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Нерозподілений прибуток (непокритий збиток) (у частині фондів економічного стимулювання, спеціальних фондів страховика та вільних резервів страховика)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Інший додатковий капітал (у частині сум, що за листом Міністерства фінансів України від 04.02.2000 р. N 18-424 переносяться на субрахунок 425 "Інший додатковий капітал")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Пайовий капітал (у частині пайового фонду (пайових внесків)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49. 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Страхові резерви страховиків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430 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забезпечення (визначається як різниця між рядками 430 і 435)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50. 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Страхові резерви перестраховиків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435 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Х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 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51. 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Амортизаційний фонд (86)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440 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Інший додатковий капітал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52. 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Доходи майбутніх періодів (83)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450 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Доходи майбутніх періодів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53. 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Резерви наступних витрат і платежів (89)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460 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400 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Забезпечення виплат персоналу (у частині резерву на оплату наступних відпусток)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забезпечення (у частині резерву на покриття інших наступних витрат)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54. 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Неоплачений капітал (75)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465 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360 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Неоплачений капітал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55. 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Вилучений капітал (56)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Вилучений капітал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 xml:space="preserve">Нерозподілений </w:t>
            </w:r>
            <w:r>
              <w:br/>
            </w:r>
            <w:r>
              <w:rPr>
                <w:b/>
                <w:bCs/>
              </w:rPr>
              <w:t>прибуток:</w:t>
            </w:r>
            <w:r>
              <w:t>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 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56. 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минулих років (98)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Нерозподілений прибуток (непокритий збиток)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57. 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звітного року (80)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480 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Нерозподілений прибуток (непокритий збиток)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>Збитки:</w:t>
            </w:r>
            <w:r>
              <w:t>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 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58. 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минулих років (98)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485 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Нерозподілений прибуток (непокритий збиток) (із знаком "-")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59. 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звітного року (80)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490 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350 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Нерозподілений прибуток (непокритий збиток) (із знаком "-")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60. 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Кредити банків (92)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500 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440 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Довгострокові кредити банків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61. 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Позикові кошти (95)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510 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фінансові зобов'язання (у частині зобов'язань за облігаціями)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зобов'язання (у частині, що не включена до рядка 450)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62. 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Заборгованість за майно в оренді (99)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515 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зобов'язання (крім заборгованості за орендний кредит - у частині поточної заборгованості і заборгованості щодо викупу оборотних матеріальних засобів)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поточні зобов'язання (у частині, що не включена до рядка 470)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63. 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Реструктуризований борг (60)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520 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зобов'язання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64. 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Розрахунки за майно (76)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525 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зобов'язання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65. 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Відстрочена податкова заборгованість (95)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530 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зобов'язання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66. 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Розрахунки з учасниками інвестиційного фонду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535 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зобов'язання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67. 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зобов'язання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540 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470 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довгострокові зобов'язання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68. 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Кредити банків (90)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600 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500 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Короткострокові кредити банків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69. 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Позикові кошти (95)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610 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поточні зобов'язання </w:t>
            </w:r>
          </w:p>
        </w:tc>
      </w:tr>
      <w:tr w:rsidR="003F6411">
        <w:trPr>
          <w:cantSplit/>
          <w:tblCellSpacing w:w="15" w:type="dxa"/>
        </w:trPr>
        <w:tc>
          <w:tcPr>
            <w:tcW w:w="31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70. </w:t>
            </w:r>
          </w:p>
        </w:tc>
        <w:tc>
          <w:tcPr>
            <w:tcW w:w="1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Кредити та позики, що не погашені у строк </w:t>
            </w:r>
          </w:p>
        </w:tc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620 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500 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Короткострокові кредити банків (у частині кредитів банків, що не погашені у строк) </w:t>
            </w:r>
          </w:p>
        </w:tc>
      </w:tr>
      <w:tr w:rsidR="003F6411">
        <w:trPr>
          <w:cantSplit/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3F6411"/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поточні зобов'язання (у частині позик, що не  погашені у строк)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  </w:t>
            </w:r>
          </w:p>
        </w:tc>
        <w:tc>
          <w:tcPr>
            <w:tcW w:w="2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 xml:space="preserve">Кредиторська </w:t>
            </w:r>
            <w:r>
              <w:br/>
            </w:r>
            <w:r>
              <w:rPr>
                <w:b/>
                <w:bCs/>
              </w:rPr>
              <w:t>заборгованість:</w:t>
            </w:r>
            <w:r>
              <w:t> </w:t>
            </w:r>
          </w:p>
        </w:tc>
        <w:tc>
          <w:tcPr>
            <w:tcW w:w="262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rPr>
                <w:b/>
                <w:bCs/>
              </w:rPr>
              <w:t xml:space="preserve">Кредиторська </w:t>
            </w:r>
            <w:r>
              <w:br/>
            </w:r>
            <w:r>
              <w:rPr>
                <w:b/>
                <w:bCs/>
              </w:rPr>
              <w:t>заборгованість:</w:t>
            </w:r>
            <w:r>
              <w:t>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71. 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 товари, роботи і послуги, строк сплати яких не настав (60, 76)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630 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 товари, роботи, послуги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72. 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 товари, роботи і послуги, не сплачені у строк (60, 76)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640 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530 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за товари, роботи, послуги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73. 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векселів виданих (66)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650 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520 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Векселі видані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74. 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авансів одержаних (61)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660 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540 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одержаних авансів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75. 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податкових розрахунків (67)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665 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поточні зобов'язання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76. 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бюджетом (68)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670 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550 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бюджетом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77. 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позабюджетних платежів (65)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680 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560 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позабюджетних платежів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78. 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зі страхування (69)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690 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570 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зі страхування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79. 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оплати праці (70)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700 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580 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оплати праці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80. 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дочірніми підприємствами (78)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710 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600 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із внутрішніх розрахунків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81. 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учасниками (75)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715 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590 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учасниками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82. 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з іншими кредиторами (71, 76)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720 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поточні зобов'язання </w:t>
            </w:r>
          </w:p>
        </w:tc>
      </w:tr>
      <w:tr w:rsidR="003F6411">
        <w:trPr>
          <w:tblCellSpacing w:w="15" w:type="dxa"/>
        </w:trPr>
        <w:tc>
          <w:tcPr>
            <w:tcW w:w="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83. 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короткострокові зобов'язання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740 </w:t>
            </w:r>
          </w:p>
        </w:tc>
        <w:tc>
          <w:tcPr>
            <w:tcW w:w="7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  <w:jc w:val="center"/>
            </w:pPr>
            <w:r>
              <w:t>610 </w:t>
            </w:r>
          </w:p>
        </w:tc>
        <w:tc>
          <w:tcPr>
            <w:tcW w:w="18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411" w:rsidRDefault="00725F33">
            <w:pPr>
              <w:pStyle w:val="a3"/>
            </w:pPr>
            <w:r>
              <w:t>Інші поточні зобов'язання </w:t>
            </w:r>
          </w:p>
        </w:tc>
      </w:tr>
      <w:tr w:rsidR="003F64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7" w:type="pct"/>
          <w:wAfter w:w="7" w:type="pct"/>
          <w:tblCellSpacing w:w="15" w:type="dxa"/>
        </w:trPr>
        <w:tc>
          <w:tcPr>
            <w:tcW w:w="2457" w:type="pct"/>
            <w:gridSpan w:val="4"/>
            <w:vAlign w:val="center"/>
          </w:tcPr>
          <w:p w:rsidR="003F6411" w:rsidRDefault="00725F33">
            <w:pPr>
              <w:pStyle w:val="a3"/>
              <w:jc w:val="center"/>
            </w:pPr>
            <w:r>
              <w:t xml:space="preserve">  </w:t>
            </w:r>
            <w:r>
              <w:rPr>
                <w:b/>
                <w:bCs/>
              </w:rPr>
              <w:t>Начальник Управління методології</w:t>
            </w:r>
            <w:r>
              <w:br/>
            </w:r>
            <w:r>
              <w:rPr>
                <w:b/>
                <w:bCs/>
              </w:rPr>
              <w:t>бухгалтерського обліку</w:t>
            </w:r>
            <w:r>
              <w:t> </w:t>
            </w:r>
          </w:p>
        </w:tc>
        <w:tc>
          <w:tcPr>
            <w:tcW w:w="2457" w:type="pct"/>
            <w:gridSpan w:val="3"/>
            <w:vAlign w:val="center"/>
          </w:tcPr>
          <w:p w:rsidR="003F6411" w:rsidRDefault="00725F33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В. Пархоменко</w:t>
            </w:r>
            <w:r>
              <w:t> </w:t>
            </w:r>
          </w:p>
        </w:tc>
      </w:tr>
    </w:tbl>
    <w:p w:rsidR="003F6411" w:rsidRDefault="00725F33">
      <w:pPr>
        <w:pStyle w:val="a3"/>
      </w:pPr>
      <w:r>
        <w:t xml:space="preserve">  </w:t>
      </w:r>
      <w:bookmarkStart w:id="0" w:name="_GoBack"/>
      <w:bookmarkEnd w:id="0"/>
    </w:p>
    <w:sectPr w:rsidR="003F6411">
      <w:pgSz w:w="11906" w:h="16838"/>
      <w:pgMar w:top="907" w:right="680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F33"/>
    <w:rsid w:val="003F6411"/>
    <w:rsid w:val="00725F33"/>
    <w:rsid w:val="00C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03EAD-6B37-4B13-A6AE-B3C58D43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11349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2014-08-15T09:35:00Z</dcterms:created>
  <dcterms:modified xsi:type="dcterms:W3CDTF">2014-08-15T09:35:00Z</dcterms:modified>
  <cp:category>Економіка. Банківська справа</cp:category>
</cp:coreProperties>
</file>