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26C" w:rsidRDefault="00C008A0">
      <w:pPr>
        <w:pStyle w:val="1"/>
        <w:jc w:val="center"/>
      </w:pPr>
      <w:r>
        <w:t>Денежные детекторы, картотеки, коллекции и учеты поддельных денежных билетов с современной точки зрения</w:t>
      </w:r>
    </w:p>
    <w:p w:rsidR="0067726C" w:rsidRPr="00C008A0" w:rsidRDefault="00C008A0">
      <w:pPr>
        <w:pStyle w:val="a3"/>
      </w:pPr>
      <w:r>
        <w:t> Саркисян Е.С.</w:t>
      </w:r>
    </w:p>
    <w:p w:rsidR="0067726C" w:rsidRDefault="00C008A0">
      <w:pPr>
        <w:pStyle w:val="a3"/>
      </w:pPr>
      <w:r>
        <w:t>Детекторы валют являются первичным способом обнаружения сомнительных банкнот. Необходимость использования таких детекторов обуславливается общественной значимостью и эффективностью пресечения фальшивомонетничества [1].</w:t>
      </w:r>
    </w:p>
    <w:p w:rsidR="0067726C" w:rsidRDefault="00C008A0">
      <w:pPr>
        <w:pStyle w:val="a3"/>
      </w:pPr>
      <w:r>
        <w:t>В результате мониторинга розничной торговли нами было установлено, что на территории г. Белгорода большое распространение имеют следующие виды детекторов банкнот:</w:t>
      </w:r>
    </w:p>
    <w:p w:rsidR="0067726C" w:rsidRDefault="00C008A0">
      <w:pPr>
        <w:pStyle w:val="a3"/>
      </w:pPr>
      <w:r>
        <w:t>инфракрасный просмотровый детектор Dors1000 – используется в гипермаркетах «Наш», «Карусель», «Линия», предназначен для визуального контроля подлинности банкнот различных валют и другой защищенной полиграфической продукции по наличию, расположению и качеству исполнения защитных инфракрасных меток</w:t>
      </w:r>
    </w:p>
    <w:p w:rsidR="0067726C" w:rsidRDefault="00C008A0">
      <w:pPr>
        <w:pStyle w:val="a3"/>
      </w:pPr>
      <w:r>
        <w:t>универсальный просмотровый детектор Dors1200 – используется в сети магазинов одежды «MODIS», банках «Сбербанк», который обладает инфракрасным контролем; ультрафиолетовым контролем; контролем «спецэлемента М»; контролем по размеру; магнитным контролем.</w:t>
      </w:r>
    </w:p>
    <w:p w:rsidR="0067726C" w:rsidRDefault="00C008A0">
      <w:pPr>
        <w:pStyle w:val="a3"/>
      </w:pPr>
      <w:r>
        <w:t>инфракрасный детектор ProCobra1500 – сеть магазинов «Связной», магазинов одежды «INCITI», поликлиники, гипермаркет «Карусель», проверяет банкноты любой страны, обеспечивает высокую четкость изображения и достаточно прост в использовании.</w:t>
      </w:r>
    </w:p>
    <w:p w:rsidR="0067726C" w:rsidRDefault="00C008A0">
      <w:pPr>
        <w:pStyle w:val="a3"/>
      </w:pPr>
      <w:r>
        <w:t>инфракрасный просмотровый детектор DoCashDVMA– сеть аптек «Аптека», обладающий такими видами контроля, как ИК контроль, контроль спецэлемента «М».</w:t>
      </w:r>
    </w:p>
    <w:p w:rsidR="0067726C" w:rsidRDefault="00C008A0">
      <w:pPr>
        <w:pStyle w:val="a3"/>
      </w:pPr>
      <w:r>
        <w:t>Выбор того или иного детектора обусловлен простотой, удобством использования, высоким качеством проверки подлинности банкнот, и что немало важно – быстротой. Экспрессные инфракрасные детекторы актуальны до тех пор, пока злоумышленники не стали подделывать ИК–защиту банкнот. Экспертно–криминалистическим центрам, отделам и подразделениям, конечно, целесообразно использовать более сложные детекторы, обладающие большими функциональными возможностями, позволяющие проводить полноценное комплексное исследование банкнот разных государств.</w:t>
      </w:r>
    </w:p>
    <w:p w:rsidR="0067726C" w:rsidRDefault="00C008A0">
      <w:pPr>
        <w:pStyle w:val="a3"/>
      </w:pPr>
      <w:r>
        <w:t>После обнаружения сомнительной банкноты лицо, ее обнаружившее, должно сообщить в органы внутренних дел информацию об обнаружении. С целью дальнейшего изучения и установления способа изготовления назначается профессиональная технико–криминалистическая экспертиза. С целью классификации и систематизации данных о поддельных банкнотах были разработаны картотеки, коллекции и учеты [2].</w:t>
      </w:r>
    </w:p>
    <w:p w:rsidR="0067726C" w:rsidRDefault="00C008A0">
      <w:pPr>
        <w:pStyle w:val="a3"/>
      </w:pPr>
      <w:r>
        <w:t>В настоящее время картотека состоит из информационных карт следов и объектов, изъятых с мест происшествия образца «Форма ИК–1» [3]. Нами составлен примерный образец такой карточки, представленный на рис. 1 и рис.2.</w:t>
      </w:r>
    </w:p>
    <w:p w:rsidR="0067726C" w:rsidRDefault="001B2D4B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35.5pt;height:264pt"/>
        </w:pict>
      </w:r>
    </w:p>
    <w:p w:rsidR="0067726C" w:rsidRDefault="00C008A0">
      <w:pPr>
        <w:pStyle w:val="a3"/>
      </w:pPr>
      <w:r>
        <w:t>Рис. 1. Информационная карта формы ИК–1 с лицевой стороны.</w:t>
      </w:r>
    </w:p>
    <w:p w:rsidR="0067726C" w:rsidRDefault="001B2D4B">
      <w:pPr>
        <w:pStyle w:val="a3"/>
      </w:pPr>
      <w:r>
        <w:rPr>
          <w:noProof/>
        </w:rPr>
        <w:pict>
          <v:shape id="_x0000_i1032" type="#_x0000_t75" style="width:366pt;height:501pt"/>
        </w:pict>
      </w:r>
    </w:p>
    <w:p w:rsidR="0067726C" w:rsidRDefault="00C008A0">
      <w:pPr>
        <w:pStyle w:val="a3"/>
      </w:pPr>
      <w:r>
        <w:t>Рис.2. Информационная карта формы ИК–1 с оборотной стороны.</w:t>
      </w:r>
    </w:p>
    <w:p w:rsidR="0067726C" w:rsidRDefault="00C008A0">
      <w:pPr>
        <w:pStyle w:val="a3"/>
      </w:pPr>
      <w:r>
        <w:t>На наш взгляд, существующая информационная карта не достаточно информативна. Для упрощения производства повторных или дополнительных экспертиз мы рекомендуем добавить двенадцатую графу под названием «Выявленные признаки подделки технологической и полиграфической защиты денежного билета».</w:t>
      </w:r>
    </w:p>
    <w:p w:rsidR="0067726C" w:rsidRDefault="00C008A0">
      <w:pPr>
        <w:pStyle w:val="a3"/>
      </w:pPr>
      <w:r>
        <w:t>С целью систематизации данных, полученных после производства экспертизы, данные об объектах исследования вносятся в систему «Учета фальшивых денежных знаков». Данный учет предназначен для автоматизированного учета денежных билетов, поступивших на проверку по картотеке поддельных денежных знаков, но и он на наш взгляд также не достаточно совершенен. Для того чтобы расширить поисковые функции и информационную значимость учета предлагаем вместо граф: «Способ нанесения реквизитов» и «Примечания по способу», отмеченных на рис.3 внести изменение в виде графы «Способ изготовления денежного билета». При этом каждый пункт будет проиллюстрирован фотоснимком реквизита.</w:t>
      </w:r>
    </w:p>
    <w:p w:rsidR="0067726C" w:rsidRDefault="00C008A0">
      <w:pPr>
        <w:pStyle w:val="a3"/>
      </w:pPr>
      <w:r>
        <w:t> </w:t>
      </w:r>
      <w:r w:rsidR="001B2D4B">
        <w:rPr>
          <w:noProof/>
        </w:rPr>
        <w:pict>
          <v:shape id="_x0000_i1035" type="#_x0000_t75" style="width:479.25pt;height:359.25pt"/>
        </w:pict>
      </w:r>
    </w:p>
    <w:p w:rsidR="0067726C" w:rsidRDefault="00C008A0">
      <w:pPr>
        <w:pStyle w:val="a3"/>
      </w:pPr>
      <w:r>
        <w:t>Рис. 3. Учет фальшивых денежных знаков.</w:t>
      </w:r>
    </w:p>
    <w:p w:rsidR="0067726C" w:rsidRDefault="00C008A0">
      <w:pPr>
        <w:pStyle w:val="a3"/>
      </w:pPr>
      <w:r>
        <w:t>Графа «Способ изготовления денежного билета» будет включать следующие пункты:</w:t>
      </w:r>
    </w:p>
    <w:p w:rsidR="0067726C" w:rsidRDefault="00C008A0">
      <w:pPr>
        <w:pStyle w:val="a3"/>
      </w:pPr>
      <w:r>
        <w:t>1. Водяной знак (способ нанесения и изготовления);</w:t>
      </w:r>
    </w:p>
    <w:p w:rsidR="0067726C" w:rsidRDefault="00C008A0">
      <w:pPr>
        <w:pStyle w:val="a3"/>
      </w:pPr>
      <w:r>
        <w:t>2. Защитная нить (вид, способ нанесения и изготовления);</w:t>
      </w:r>
    </w:p>
    <w:p w:rsidR="0067726C" w:rsidRDefault="00C008A0">
      <w:pPr>
        <w:pStyle w:val="a3"/>
      </w:pPr>
      <w:r>
        <w:t>3. Защитные волокна (способ нанесения и изготовления);</w:t>
      </w:r>
    </w:p>
    <w:p w:rsidR="0067726C" w:rsidRDefault="00C008A0">
      <w:pPr>
        <w:pStyle w:val="a3"/>
      </w:pPr>
      <w:r>
        <w:t>4. Микроперфорация;</w:t>
      </w:r>
    </w:p>
    <w:p w:rsidR="0067726C" w:rsidRDefault="00C008A0">
      <w:pPr>
        <w:pStyle w:val="a3"/>
      </w:pPr>
      <w:r>
        <w:t>5. Серийный номер;</w:t>
      </w:r>
    </w:p>
    <w:p w:rsidR="0067726C" w:rsidRDefault="00C008A0">
      <w:pPr>
        <w:pStyle w:val="a3"/>
      </w:pPr>
      <w:r>
        <w:t>8. Основные тематические рисунки лицевой и оборотной стороны;</w:t>
      </w:r>
    </w:p>
    <w:p w:rsidR="0067726C" w:rsidRDefault="00C008A0">
      <w:pPr>
        <w:pStyle w:val="a3"/>
      </w:pPr>
      <w:r>
        <w:t>9. MVC – эффект;</w:t>
      </w:r>
    </w:p>
    <w:p w:rsidR="0067726C" w:rsidRDefault="00C008A0">
      <w:pPr>
        <w:pStyle w:val="a3"/>
      </w:pPr>
      <w:r>
        <w:t>10. Банкнота в ИК зоне спектра.</w:t>
      </w:r>
    </w:p>
    <w:p w:rsidR="0067726C" w:rsidRDefault="00C008A0">
      <w:pPr>
        <w:pStyle w:val="a3"/>
      </w:pPr>
      <w:r>
        <w:t>Такое нововведение позволит ускорить производство идентификационной экспертизы, если усовершенствовать систему по принципу действия АДИС «Папилон».</w:t>
      </w:r>
    </w:p>
    <w:p w:rsidR="0067726C" w:rsidRDefault="00C008A0">
      <w:pPr>
        <w:pStyle w:val="a3"/>
      </w:pPr>
      <w:r>
        <w:t>Для сравнительного исследования вводим изображение фрагмента исследуемой банкноты с описанием способа изготовления введенного реквизита, и система в результате сравнения с уже имеющимися в учете изображениями и описаниями реквизитов выдает совпадения.</w:t>
      </w:r>
    </w:p>
    <w:p w:rsidR="0067726C" w:rsidRDefault="00C008A0">
      <w:pPr>
        <w:pStyle w:val="a3"/>
      </w:pPr>
      <w:r>
        <w:t>Данные совпадения эксперт–криминалист будет использовать в процессе установления единого источника происхождения банкнот. Например, в результате сравнительного исследования с использованием СУФДЗ (система учета фальшивых денежных знаков) было установлено, что микроперфорация денежного билета достоинством 5000 рублей г/н 503</w:t>
      </w:r>
    </w:p>
    <w:p w:rsidR="0067726C" w:rsidRDefault="00C008A0">
      <w:pPr>
        <w:pStyle w:val="a3"/>
      </w:pPr>
      <w:r>
        <w:t>№ГГ5987340, предоставленная на исследование и микроперфорация денежного билета достоинством 5000рублей г/н №ГГ5759672, денежного билета достоинством 5000рублей г/н №ГГ6869672, изготовлена с использованием одного оборудования.</w:t>
      </w:r>
    </w:p>
    <w:p w:rsidR="0067726C" w:rsidRDefault="00C008A0">
      <w:pPr>
        <w:pStyle w:val="a3"/>
      </w:pPr>
      <w:r>
        <w:t>Для установления единого источника происхождения банкнот можно использовать изображение банкноты лицевой и оборотной стороны в ИК зоне спектра, с помощью сравнительного исследования с имеющимися в картотеках или учетах изображениями денег (ИК–защиты) можно выявить серии банкнот, полученных с использованием какого–либо репрографического устройства, а при дополнительной компьютерно–технической экспертизе, установить файл, с которого были распечатаны исследуемые банкноты. Помимо этого станет проще устанавливать общность происхождения фальшивых банкнот, отпечатанных с одного типографского клише, или одной печатной формы.</w:t>
      </w:r>
    </w:p>
    <w:p w:rsidR="0067726C" w:rsidRDefault="00C008A0">
      <w:pPr>
        <w:pStyle w:val="a3"/>
      </w:pPr>
      <w:r>
        <w:t>Необходимость совершенствования существующих учетов, картотек, коллекций обуславливается современным развитием компьютерно–технических средств (т.к. во время разработки систем учета большое распространение имел процесс мокрой печати, а современное состояние цифровых средств позволит вносить изображения поддельных реквизитов непосредственно в учет), большое значение имеет состояние преступности в экономической сфере.</w:t>
      </w:r>
    </w:p>
    <w:p w:rsidR="0067726C" w:rsidRDefault="00C008A0">
      <w:pPr>
        <w:pStyle w:val="a3"/>
      </w:pPr>
      <w:r>
        <w:t>Система АФИПС «Девиза–М», разработанная в 1989 году, АИС «Абрис», которая функционирует с 1979 года, также требуют современных доработок.</w:t>
      </w:r>
    </w:p>
    <w:p w:rsidR="0067726C" w:rsidRDefault="00C008A0">
      <w:pPr>
        <w:pStyle w:val="a3"/>
      </w:pPr>
      <w:r>
        <w:t>Использование учетов ОВД, как часть деятельности по раскрытию и расследованию преступлений, несмотря на криминалистическую значимость, остается, на наш взгляд, на невысоком техническом и методическом уровнях [4].</w:t>
      </w:r>
    </w:p>
    <w:p w:rsidR="0067726C" w:rsidRDefault="00C008A0">
      <w:pPr>
        <w:pStyle w:val="a3"/>
      </w:pPr>
      <w:r>
        <w:t>Уделив достаточное внимание данной проблеме, можно существенно расширить объем ориентирующей информации, выявить серии преступлений и расширить круг проверяемых лиц, и, что немало важно, ускорить процесс расследования и раскрытия преступлений, повысить его эффективность.</w:t>
      </w:r>
    </w:p>
    <w:p w:rsidR="0067726C" w:rsidRDefault="00C008A0">
      <w:pPr>
        <w:pStyle w:val="a3"/>
      </w:pPr>
      <w:r>
        <w:t>Список литературы</w:t>
      </w:r>
    </w:p>
    <w:p w:rsidR="0067726C" w:rsidRDefault="00C008A0">
      <w:pPr>
        <w:pStyle w:val="a3"/>
      </w:pPr>
      <w:r>
        <w:t>1. Детекторы валют [Электронный ресурс] // Банковское и офисное оборудование [сайт]. – Режим доступа: URL: http://www.pro–intell.com</w:t>
      </w:r>
    </w:p>
    <w:p w:rsidR="0067726C" w:rsidRDefault="00C008A0">
      <w:pPr>
        <w:pStyle w:val="a3"/>
      </w:pPr>
      <w:r>
        <w:t>2. Приказ МВД России № 752дсп от 12.07.00 г. «Об утверждении Наставления по формированию и ведению централизованных оперативно–справочных, криминалистических, розыскных учетов, экспертно–криминалистических коллекций и картотек органов внутренних дел Российской Федерации» (изменения: 676дсп–2002).</w:t>
      </w:r>
    </w:p>
    <w:p w:rsidR="0067726C" w:rsidRDefault="00C008A0">
      <w:pPr>
        <w:pStyle w:val="a3"/>
      </w:pPr>
      <w:r>
        <w:t>3. Приказ МВД России №70 от 10 февраля 2006 г. «Об организации использования экспертно–криминалистических учетов органов внутренних дел Российской Федерации» (вместе с «Инструкцией по организации формирования, ведения и использования экспертно–криминалистических учетов органов внутренних дел Российской Федерации», «Правилами ведения экспертно–криминалистических учетов в органах внутренних дел Российской Федерации»). // СПС «Консультант Плюс». – Режим доступа: URL: www.consultant.ru</w:t>
      </w:r>
    </w:p>
    <w:p w:rsidR="0067726C" w:rsidRDefault="00C008A0">
      <w:pPr>
        <w:pStyle w:val="a3"/>
      </w:pPr>
      <w:r>
        <w:t>4. Балашов, Д.Н. Криминалистика: Учебник / Д.Н. Балашов, Н.М. Балашов, С.В. Маликов. – М.: ИНФРА–М, 2005. – 503 с.</w:t>
      </w:r>
      <w:bookmarkStart w:id="0" w:name="_GoBack"/>
      <w:bookmarkEnd w:id="0"/>
    </w:p>
    <w:sectPr w:rsidR="006772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8A0"/>
    <w:rsid w:val="001B2D4B"/>
    <w:rsid w:val="0067726C"/>
    <w:rsid w:val="00C0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DF076D79-99EF-4B3E-B1C3-36360B31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1157</Words>
  <Characters>6598</Characters>
  <Application>Microsoft Office Word</Application>
  <DocSecurity>0</DocSecurity>
  <Lines>54</Lines>
  <Paragraphs>15</Paragraphs>
  <ScaleCrop>false</ScaleCrop>
  <Company>diakov.net</Company>
  <LinksUpToDate>false</LinksUpToDate>
  <CharactersWithSpaces>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Денежные детекторы, картотеки, коллекции и учеты поддельных денежных билетов с современной точки зрения</dc:title>
  <dc:subject/>
  <dc:creator>Irina</dc:creator>
  <cp:keywords/>
  <dc:description/>
  <cp:lastModifiedBy>Irina</cp:lastModifiedBy>
  <cp:revision>2</cp:revision>
  <dcterms:created xsi:type="dcterms:W3CDTF">2014-07-19T03:59:00Z</dcterms:created>
  <dcterms:modified xsi:type="dcterms:W3CDTF">2014-07-19T03:59:00Z</dcterms:modified>
</cp:coreProperties>
</file>