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4"/>
        <w:gridCol w:w="496"/>
      </w:tblGrid>
      <w:tr w:rsidR="005670C6" w:rsidTr="00F01E32">
        <w:tc>
          <w:tcPr>
            <w:tcW w:w="9190" w:type="dxa"/>
          </w:tcPr>
          <w:p w:rsidR="009F16DF" w:rsidRDefault="009F16DF" w:rsidP="00567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670C6" w:rsidRPr="005670C6" w:rsidRDefault="005670C6" w:rsidP="00567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80" w:type="dxa"/>
          </w:tcPr>
          <w:p w:rsidR="005670C6" w:rsidRDefault="005670C6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70C6" w:rsidTr="00F01E32">
        <w:tc>
          <w:tcPr>
            <w:tcW w:w="9190" w:type="dxa"/>
          </w:tcPr>
          <w:p w:rsidR="005670C6" w:rsidRDefault="005670C6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5670C6" w:rsidRDefault="005670C6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70C6" w:rsidRPr="005670C6" w:rsidTr="00F01E32">
        <w:tc>
          <w:tcPr>
            <w:tcW w:w="9190" w:type="dxa"/>
          </w:tcPr>
          <w:p w:rsidR="005670C6" w:rsidRPr="005670C6" w:rsidRDefault="005670C6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70C6">
              <w:rPr>
                <w:bCs/>
                <w:sz w:val="28"/>
                <w:szCs w:val="28"/>
              </w:rPr>
              <w:t xml:space="preserve">1.  </w:t>
            </w:r>
            <w:r w:rsidR="00F01E32">
              <w:rPr>
                <w:bCs/>
                <w:sz w:val="28"/>
                <w:szCs w:val="28"/>
              </w:rPr>
              <w:t>Внедоговорные обязательства в международном частном праве</w:t>
            </w:r>
          </w:p>
        </w:tc>
        <w:tc>
          <w:tcPr>
            <w:tcW w:w="380" w:type="dxa"/>
          </w:tcPr>
          <w:p w:rsidR="005670C6" w:rsidRPr="005670C6" w:rsidRDefault="008006C3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670C6" w:rsidRPr="005670C6" w:rsidTr="00F01E32">
        <w:tc>
          <w:tcPr>
            <w:tcW w:w="9190" w:type="dxa"/>
          </w:tcPr>
          <w:p w:rsidR="005670C6" w:rsidRPr="005670C6" w:rsidRDefault="005670C6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70C6">
              <w:rPr>
                <w:bCs/>
                <w:sz w:val="28"/>
                <w:szCs w:val="28"/>
              </w:rPr>
              <w:t>2. Задача</w:t>
            </w:r>
          </w:p>
        </w:tc>
        <w:tc>
          <w:tcPr>
            <w:tcW w:w="380" w:type="dxa"/>
          </w:tcPr>
          <w:p w:rsidR="005670C6" w:rsidRPr="005670C6" w:rsidRDefault="008006C3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5670C6" w:rsidRPr="00F01E32" w:rsidTr="00F01E32">
        <w:tc>
          <w:tcPr>
            <w:tcW w:w="9190" w:type="dxa"/>
          </w:tcPr>
          <w:p w:rsidR="005670C6" w:rsidRPr="00F01E32" w:rsidRDefault="00F01E32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01E32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80" w:type="dxa"/>
          </w:tcPr>
          <w:p w:rsidR="005670C6" w:rsidRPr="00F01E32" w:rsidRDefault="008006C3" w:rsidP="00EB6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</w:tbl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F01E32" w:rsidRDefault="00F01E32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F01E32" w:rsidRDefault="00F01E32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F01E32" w:rsidRDefault="00F01E32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D25015" w:rsidRPr="00EB6B43" w:rsidRDefault="00DA5C5E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B6B43">
        <w:rPr>
          <w:b/>
          <w:bCs/>
          <w:sz w:val="28"/>
          <w:szCs w:val="28"/>
        </w:rPr>
        <w:t xml:space="preserve">1. </w:t>
      </w:r>
      <w:r w:rsidR="00D25015" w:rsidRPr="00EB6B43">
        <w:rPr>
          <w:b/>
          <w:bCs/>
          <w:sz w:val="28"/>
          <w:szCs w:val="28"/>
        </w:rPr>
        <w:t xml:space="preserve"> </w:t>
      </w:r>
      <w:r w:rsidR="00F01E32">
        <w:rPr>
          <w:b/>
          <w:bCs/>
          <w:sz w:val="28"/>
          <w:szCs w:val="28"/>
        </w:rPr>
        <w:t>Внедоговорные обязательства в международном частном праве</w:t>
      </w:r>
    </w:p>
    <w:p w:rsidR="00055E99" w:rsidRDefault="00055E99" w:rsidP="00055E99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593653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Научно-технический прогресс, с одной стороны, способствует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расширению материальной и физической сферы деятельности человека (изобретение новых средств транспорта и коммуникаций,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коммерческое освоение космоса, морского дна и т. п.), с другой</w:t>
      </w:r>
      <w:r w:rsidR="001E06E6">
        <w:rPr>
          <w:rFonts w:eastAsia="Times-Roman"/>
          <w:sz w:val="28"/>
          <w:szCs w:val="28"/>
        </w:rPr>
        <w:t xml:space="preserve"> - </w:t>
      </w:r>
      <w:r w:rsidRPr="001E06E6">
        <w:rPr>
          <w:rFonts w:eastAsia="Times-Roman"/>
          <w:sz w:val="28"/>
          <w:szCs w:val="28"/>
        </w:rPr>
        <w:t>придает современной трансграничной практике небывалый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размах, обусловливает интенсивность миграции населения и связанных с этим процессов, порождает в связи с этим разнообразные деликтные отношения. При этом часто последствия деликта,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совершенного на территории одного государства, проявляются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в пределах другой юрисдикции (так называемые </w:t>
      </w:r>
      <w:r w:rsidR="001E06E6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трансграничные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правонарушения</w:t>
      </w:r>
      <w:r w:rsidR="001E06E6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). 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данной области международного частного права действует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основной и весьма устойчивый принцип </w:t>
      </w:r>
      <w:r w:rsidR="001E06E6">
        <w:rPr>
          <w:rFonts w:eastAsia="Times-Roman"/>
          <w:sz w:val="28"/>
          <w:szCs w:val="28"/>
        </w:rPr>
        <w:t>-</w:t>
      </w:r>
      <w:r w:rsidRPr="001E06E6">
        <w:rPr>
          <w:rFonts w:eastAsia="Times-Roman"/>
          <w:sz w:val="28"/>
          <w:szCs w:val="28"/>
        </w:rPr>
        <w:t xml:space="preserve"> коллизии рассматриваются по месту причинения вреда, т.е. по закону государства, на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территории которого совершено действие, послужившее основанием для предъявления требования. Иными словами, речь идет</w:t>
      </w:r>
      <w:r w:rsidR="001E06E6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о законе места совершения деликта </w:t>
      </w:r>
      <w:r w:rsidR="001E06E6">
        <w:rPr>
          <w:rFonts w:eastAsia="Times-Roman"/>
          <w:sz w:val="28"/>
          <w:szCs w:val="28"/>
        </w:rPr>
        <w:t xml:space="preserve">- </w:t>
      </w:r>
      <w:r w:rsidRPr="001E06E6">
        <w:rPr>
          <w:rFonts w:eastAsia="Times-Roman"/>
          <w:sz w:val="28"/>
          <w:szCs w:val="28"/>
        </w:rPr>
        <w:t>lex loci delicti commissii.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Одним из первых значительных многосторонних международных договоров, разрешивших наряду с прочими коллизионные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вопросы деликтных отношений, был Кодекс Бустаманте. Правда,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будучи порождением своего времени, этот акт еще не мог предвидеть процессов столь бурного развития техники, науки, технологии, которые обусловили актуальность проблем разграничения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категорий </w:t>
      </w:r>
      <w:r w:rsidR="00593653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места действия</w:t>
      </w:r>
      <w:r w:rsidR="00593653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 и </w:t>
      </w:r>
      <w:r w:rsidR="00593653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места вредоносного эффекта</w:t>
      </w:r>
      <w:r w:rsidR="00593653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>. Соответственно подходы, закрепленные в нем, основывались на традиционных и типичных коллизионных привязках, которые исходили из принципа lex loci actus.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 xml:space="preserve">Так, ст. 167 Кодекса гласит: </w:t>
      </w:r>
      <w:r w:rsidR="00593653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Обязательства, возникающие из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преступлений или правонарушений, регулируются тем же законом, что и преступление или правонарушение, из которых они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возникли</w:t>
      </w:r>
      <w:r w:rsidR="00593653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. </w:t>
      </w:r>
      <w:r w:rsidR="00593653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Обязательства, возникшие из действий или упущений, совершенных виновно или по небрежности, которые не наказуемы по закону, регулируются законом места происхождения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небрежности или вины, которые привели к возникновению обязательств</w:t>
      </w:r>
      <w:r w:rsidR="00593653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 (ст. 168). Следует отметить развернутый характер регулирования, содержащегося в Кодексе, применительно к различным аспектам обязательств из причинения вреда. В частности,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оно предусматривает основы разрешения коллизий в том, что касается природы и последствий разнообразных видов обязательств,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равно как и их прекращения, определяя, что все это подчиняется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закону, который регулирует само обязательство; доказательства по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обязательствам в части их признания и размера также определяются законом самого обязательства; в изъятие из общих правил о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подчинении деликтного обязательства правопорядку места его совершения ст. 170 Кодекса Бустаманте устанавливает, что в случаях, если обязательство из причинения вреда должно быть погашено платежом денежных сумм, к условиям, а также валюте платежа применяется закон места производства платежа. Тот же закон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регулирует судебные расходы по принудительному осуществлению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платежа.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современной практике определенные аспекты отношений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по причинению вреда все больше регулируются международными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договорами.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Между Россией и другими государствами заключено немало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двусторонних договоров о правовой помощи, в которых отражена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коллизионно-правовая регламентация внедоговорных отношений.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большинстве современных договоров содержатся нормы, определяющие, какое законодательство должно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применяться к соответствующему отношению в случае причинения</w:t>
      </w:r>
      <w:r w:rsidR="0059365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вреда. Они отражают современные тенденции регулирования деликтных отношений. </w:t>
      </w:r>
    </w:p>
    <w:p w:rsidR="004B356E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числе международных договоров, в которых решаются вопросы гражданско-правовой ответственности вследствие причинения вреда, большой удельный вес составляют конвенции, посвященные различным видам перевозок. При этом следует упомянуть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Гаагскую конвенцию от 4 мая </w:t>
      </w:r>
      <w:smartTag w:uri="urn:schemas-microsoft-com:office:smarttags" w:element="metricconverter">
        <w:smartTagPr>
          <w:attr w:name="ProductID" w:val="1971 г"/>
        </w:smartTagPr>
        <w:r w:rsidRPr="001E06E6">
          <w:rPr>
            <w:rFonts w:eastAsia="Times-Roman"/>
            <w:sz w:val="28"/>
            <w:szCs w:val="28"/>
          </w:rPr>
          <w:t>1971 г</w:t>
        </w:r>
      </w:smartTag>
      <w:r w:rsidRPr="001E06E6">
        <w:rPr>
          <w:rFonts w:eastAsia="Times-Roman"/>
          <w:sz w:val="28"/>
          <w:szCs w:val="28"/>
        </w:rPr>
        <w:t>. (вступила в силу с 3 июня</w:t>
      </w:r>
      <w:r w:rsidR="004B356E">
        <w:rPr>
          <w:rFonts w:eastAsia="Times-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1E06E6">
          <w:rPr>
            <w:rFonts w:eastAsia="Times-Roman"/>
            <w:sz w:val="28"/>
            <w:szCs w:val="28"/>
          </w:rPr>
          <w:t>1975 г</w:t>
        </w:r>
      </w:smartTag>
      <w:r w:rsidRPr="001E06E6">
        <w:rPr>
          <w:rFonts w:eastAsia="Times-Roman"/>
          <w:sz w:val="28"/>
          <w:szCs w:val="28"/>
        </w:rPr>
        <w:t xml:space="preserve">.) о праве, применимом к дорожно-транспортным происшествиям (ДТП), в которой участвуют 13 европейских государств. Основной ее принцип </w:t>
      </w:r>
      <w:r w:rsidR="004B356E">
        <w:rPr>
          <w:rFonts w:eastAsia="Times-Roman"/>
          <w:sz w:val="28"/>
          <w:szCs w:val="28"/>
        </w:rPr>
        <w:t xml:space="preserve">- </w:t>
      </w:r>
      <w:r w:rsidRPr="001E06E6">
        <w:rPr>
          <w:rFonts w:eastAsia="Times-Roman"/>
          <w:sz w:val="28"/>
          <w:szCs w:val="28"/>
        </w:rPr>
        <w:t>lex loci delicti commissii (ст. 3). Конвенция применяется к внедоговорной ответственности в связи с дорожными происшествиями, имевшими место на территории договаривающихся государств, а также в случаях, когда применимым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правом признается закон государства, которое участвует в Конвенции (ст. 11). В определенных Конвенцией ситуациях принцип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отсылки к закону места совершения деликта заменяется иным,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что, в частности, должно обеспечить его более тесную связь с соответствующим правопорядком. 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Вопросы гражданской ответственности решаются иногда и с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помощью специальных многосторонних международных договоров, заключаемых в отдельных областях, благодаря содержащимся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них материально-правовым нормам.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Среди таких договоров в настоящих условиях особенно важны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соглашения, призванные регламентировать ответственность субъектов международного хозяйственного оборота, возникающего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связи с ядерной деятельностью. В их числе Венская конвенция</w:t>
      </w:r>
      <w:r w:rsidR="004B356E">
        <w:rPr>
          <w:rFonts w:eastAsia="Times-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1E06E6">
          <w:rPr>
            <w:rFonts w:eastAsia="Times-Roman"/>
            <w:sz w:val="28"/>
            <w:szCs w:val="28"/>
          </w:rPr>
          <w:t>1963 г</w:t>
        </w:r>
      </w:smartTag>
      <w:r w:rsidRPr="001E06E6">
        <w:rPr>
          <w:rFonts w:eastAsia="Times-Roman"/>
          <w:sz w:val="28"/>
          <w:szCs w:val="28"/>
        </w:rPr>
        <w:t xml:space="preserve">. о гражданской ответственности за ядерный ущерб, Конвенция </w:t>
      </w:r>
      <w:smartTag w:uri="urn:schemas-microsoft-com:office:smarttags" w:element="metricconverter">
        <w:smartTagPr>
          <w:attr w:name="ProductID" w:val="1971 г"/>
        </w:smartTagPr>
        <w:r w:rsidRPr="001E06E6">
          <w:rPr>
            <w:rFonts w:eastAsia="Times-Roman"/>
            <w:sz w:val="28"/>
            <w:szCs w:val="28"/>
          </w:rPr>
          <w:t>1971 г</w:t>
        </w:r>
      </w:smartTag>
      <w:r w:rsidRPr="001E06E6">
        <w:rPr>
          <w:rFonts w:eastAsia="Times-Roman"/>
          <w:sz w:val="28"/>
          <w:szCs w:val="28"/>
        </w:rPr>
        <w:t>. о гражданской ответственности в области морских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перевозок ядерных материалов, а также Конвенция </w:t>
      </w:r>
      <w:smartTag w:uri="urn:schemas-microsoft-com:office:smarttags" w:element="metricconverter">
        <w:smartTagPr>
          <w:attr w:name="ProductID" w:val="1962 г"/>
        </w:smartTagPr>
        <w:r w:rsidRPr="001E06E6">
          <w:rPr>
            <w:rFonts w:eastAsia="Times-Roman"/>
            <w:sz w:val="28"/>
            <w:szCs w:val="28"/>
          </w:rPr>
          <w:t>1962 г</w:t>
        </w:r>
      </w:smartTag>
      <w:r w:rsidRPr="001E06E6">
        <w:rPr>
          <w:rFonts w:eastAsia="Times-Roman"/>
          <w:sz w:val="28"/>
          <w:szCs w:val="28"/>
        </w:rPr>
        <w:t>. об ответственности операторов ядерных судов. Содержащиеся в названных документах нормы устанавливают в интересах потерпевших (как правило, физических лиц) безвиновную ответственность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причинителей вреда (большей частью владельцев источников повышенной опасности). Однако в них содержатся также и основания, исключающие ответственность (форс-мажорные обстоятельства, в том числе военные действия, стихийные бедствия и т. п.).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ряде случаев ответственность причинителя вреда по некоторым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из специальных международных соглашений возникает даже и</w:t>
      </w:r>
      <w:r w:rsidR="003263A3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при наличии обстоятельств непреодолимой силы. Таково, в частности, содержание норм Римской конвенции </w:t>
      </w:r>
      <w:smartTag w:uri="urn:schemas-microsoft-com:office:smarttags" w:element="metricconverter">
        <w:smartTagPr>
          <w:attr w:name="ProductID" w:val="1952 г"/>
        </w:smartTagPr>
        <w:r w:rsidRPr="001E06E6">
          <w:rPr>
            <w:rFonts w:eastAsia="Times-Roman"/>
            <w:sz w:val="28"/>
            <w:szCs w:val="28"/>
          </w:rPr>
          <w:t>1952 г</w:t>
        </w:r>
      </w:smartTag>
      <w:r w:rsidRPr="001E06E6">
        <w:rPr>
          <w:rFonts w:eastAsia="Times-Roman"/>
          <w:sz w:val="28"/>
          <w:szCs w:val="28"/>
        </w:rPr>
        <w:t>. об ущербе,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причиненном иностранными воздушными судами третьим лицам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на поверхности (Россия как правопреемница СССР участвует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в ней с </w:t>
      </w:r>
      <w:smartTag w:uri="urn:schemas-microsoft-com:office:smarttags" w:element="metricconverter">
        <w:smartTagPr>
          <w:attr w:name="ProductID" w:val="1982 г"/>
        </w:smartTagPr>
        <w:r w:rsidRPr="001E06E6">
          <w:rPr>
            <w:rFonts w:eastAsia="Times-Roman"/>
            <w:sz w:val="28"/>
            <w:szCs w:val="28"/>
          </w:rPr>
          <w:t>1982 г</w:t>
        </w:r>
      </w:smartTag>
      <w:r w:rsidRPr="001E06E6">
        <w:rPr>
          <w:rFonts w:eastAsia="Times-Roman"/>
          <w:sz w:val="28"/>
          <w:szCs w:val="28"/>
        </w:rPr>
        <w:t>.). Вина же потерпевшего, в случае если она будет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доказана причинителем вреда, уменьшает размер возмещения.</w:t>
      </w:r>
    </w:p>
    <w:p w:rsidR="004B356E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Пределы ответственности во многих конвенциях определяются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путем установления фиксированных сумм, на которые имеет право лицо в случае причинения вреда. Кроме того, предусматриваются и так называемые обеспечительные меры. 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Значительное место среди подобных международных договоров занимают так называемые морские конвенции. Известна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Брюссельская конвенция от 23 сентября </w:t>
      </w:r>
      <w:smartTag w:uri="urn:schemas-microsoft-com:office:smarttags" w:element="metricconverter">
        <w:smartTagPr>
          <w:attr w:name="ProductID" w:val="1910 г"/>
        </w:smartTagPr>
        <w:r w:rsidRPr="001E06E6">
          <w:rPr>
            <w:rFonts w:eastAsia="Times-Roman"/>
            <w:sz w:val="28"/>
            <w:szCs w:val="28"/>
          </w:rPr>
          <w:t>1910 г</w:t>
        </w:r>
      </w:smartTag>
      <w:r w:rsidRPr="001E06E6">
        <w:rPr>
          <w:rFonts w:eastAsia="Times-Roman"/>
          <w:sz w:val="28"/>
          <w:szCs w:val="28"/>
        </w:rPr>
        <w:t>., унифицировавшая некоторые правила, касающиеся столкновения судов в открытом море. Однако она не применяется к деликтному отношению, если оба столкнувшиеся судна плавают под общим флагом.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данном случае спор будет разрешаться на основе закона суда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или правопорядка, имеющего более тесную связь с рассматриваемым отношением, каковым является право государства флага.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 xml:space="preserve">Нельзя не упомянуть и Брюссельскую конвенцию о гражданской ответственности за ущерб от загрязнения моря нефтью </w:t>
      </w:r>
      <w:smartTag w:uri="urn:schemas-microsoft-com:office:smarttags" w:element="metricconverter">
        <w:smartTagPr>
          <w:attr w:name="ProductID" w:val="1969 г"/>
        </w:smartTagPr>
        <w:r w:rsidRPr="001E06E6">
          <w:rPr>
            <w:rFonts w:eastAsia="Times-Roman"/>
            <w:sz w:val="28"/>
            <w:szCs w:val="28"/>
          </w:rPr>
          <w:t>1969 г</w:t>
        </w:r>
      </w:smartTag>
      <w:r w:rsidRPr="001E06E6">
        <w:rPr>
          <w:rFonts w:eastAsia="Times-Roman"/>
          <w:sz w:val="28"/>
          <w:szCs w:val="28"/>
        </w:rPr>
        <w:t>.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(СССР участвует в ней с </w:t>
      </w:r>
      <w:smartTag w:uri="urn:schemas-microsoft-com:office:smarttags" w:element="metricconverter">
        <w:smartTagPr>
          <w:attr w:name="ProductID" w:val="1975 г"/>
        </w:smartTagPr>
        <w:r w:rsidRPr="001E06E6">
          <w:rPr>
            <w:rFonts w:eastAsia="Times-Roman"/>
            <w:sz w:val="28"/>
            <w:szCs w:val="28"/>
          </w:rPr>
          <w:t>1975 г</w:t>
        </w:r>
      </w:smartTag>
      <w:r w:rsidRPr="001E06E6">
        <w:rPr>
          <w:rFonts w:eastAsia="Times-Roman"/>
          <w:sz w:val="28"/>
          <w:szCs w:val="28"/>
        </w:rPr>
        <w:t>.), которая унифицировала материально-правовые нормы в специальных областях деликтных отношений. Эта Конвенция обеспечивает возмещение физическим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юридическим лицами убытков, возникших из-за утечки или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слива нефти из судов. Пределы ответственности собственника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судна за загрязнение довольно высоки. Ответственность более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строгая, чем основанная на принципах вины, наступает, если собственник не докажет, что убытки обусловлены военными и тому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подобными действиями или стихийным бедствием исключительного, неизбежного и непредотвратимого характера; поведением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третьих лиц, имевших намерение причинить убытки; небрежностью или иными неправомерными действиями государства (властей), а также виной потерпевшего.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последние годы международное сообщество стремится раздвинуть привычные рамки конвенционного регулирования деликтных отношений путем заключения многосторонних соглашений в нетрадиционных отраслях (Конвенция ООН об ответственности операторов транспортных терминалов в международной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торговле </w:t>
      </w:r>
      <w:smartTag w:uri="urn:schemas-microsoft-com:office:smarttags" w:element="metricconverter">
        <w:smartTagPr>
          <w:attr w:name="ProductID" w:val="1991 г"/>
        </w:smartTagPr>
        <w:r w:rsidRPr="001E06E6">
          <w:rPr>
            <w:rFonts w:eastAsia="Times-Roman"/>
            <w:sz w:val="28"/>
            <w:szCs w:val="28"/>
          </w:rPr>
          <w:t>1991 г</w:t>
        </w:r>
      </w:smartTag>
      <w:r w:rsidRPr="001E06E6">
        <w:rPr>
          <w:rFonts w:eastAsia="Times-Roman"/>
          <w:sz w:val="28"/>
          <w:szCs w:val="28"/>
        </w:rPr>
        <w:t xml:space="preserve">., Конвенция, подписанная 1 февраля </w:t>
      </w:r>
      <w:smartTag w:uri="urn:schemas-microsoft-com:office:smarttags" w:element="metricconverter">
        <w:smartTagPr>
          <w:attr w:name="ProductID" w:val="1990 г"/>
        </w:smartTagPr>
        <w:r w:rsidRPr="001E06E6">
          <w:rPr>
            <w:rFonts w:eastAsia="Times-Roman"/>
            <w:sz w:val="28"/>
            <w:szCs w:val="28"/>
          </w:rPr>
          <w:t>1990 г</w:t>
        </w:r>
      </w:smartTag>
      <w:r w:rsidRPr="001E06E6">
        <w:rPr>
          <w:rFonts w:eastAsia="Times-Roman"/>
          <w:sz w:val="28"/>
          <w:szCs w:val="28"/>
        </w:rPr>
        <w:t>.,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 гражданской ответственности за ущерб, причиненный при перевозке опасных грузов автомобильным, железнодорожным и внутренним водным транспортом (КГПОГ), Базельская конвенция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 контроле за трансграничной перевозкой опасных отходов и их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удалением от 20</w:t>
      </w:r>
      <w:r w:rsidR="004B356E">
        <w:rPr>
          <w:rFonts w:eastAsia="Times-Roman"/>
          <w:sz w:val="28"/>
          <w:szCs w:val="28"/>
        </w:rPr>
        <w:t>-2</w:t>
      </w:r>
      <w:r w:rsidRPr="001E06E6">
        <w:rPr>
          <w:rFonts w:eastAsia="Times-Roman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1989 г"/>
        </w:smartTagPr>
        <w:r w:rsidRPr="001E06E6">
          <w:rPr>
            <w:rFonts w:eastAsia="Times-Roman"/>
            <w:sz w:val="28"/>
            <w:szCs w:val="28"/>
          </w:rPr>
          <w:t>1989 г</w:t>
        </w:r>
      </w:smartTag>
      <w:r w:rsidRPr="001E06E6">
        <w:rPr>
          <w:rFonts w:eastAsia="Times-Roman"/>
          <w:sz w:val="28"/>
          <w:szCs w:val="28"/>
        </w:rPr>
        <w:t>., к которой присоединилась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Российская Федерация).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До принятия третьей части ГК РФ коллизионно-правовое регулирование деликтных и некоторых иных внедоговорных отношений международного характера осуществлялось нормами Основ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гражданского законодательства </w:t>
      </w:r>
      <w:smartTag w:uri="urn:schemas-microsoft-com:office:smarttags" w:element="metricconverter">
        <w:smartTagPr>
          <w:attr w:name="ProductID" w:val="1991 г"/>
        </w:smartTagPr>
        <w:r w:rsidRPr="001E06E6">
          <w:rPr>
            <w:rFonts w:eastAsia="Times-Roman"/>
            <w:sz w:val="28"/>
            <w:szCs w:val="28"/>
          </w:rPr>
          <w:t>1991 г</w:t>
        </w:r>
      </w:smartTag>
      <w:r w:rsidRPr="001E06E6">
        <w:rPr>
          <w:rFonts w:eastAsia="Times-Roman"/>
          <w:sz w:val="28"/>
          <w:szCs w:val="28"/>
        </w:rPr>
        <w:t>. При этом в качестве основного применялся коллизионный принцип lex loci delicti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commissii: </w:t>
      </w:r>
      <w:r w:rsidR="004B356E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права и обязанности сторон по обязательствам, возникающим вследствие причинения вреда, определяются по праву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страны, где имело место действие или иное обстоятельство, послужившее основанием для требования о возмещении вреда</w:t>
      </w:r>
      <w:r w:rsidR="004B356E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 (ч. 1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ст. 167 Основ). Вместе с тем Основы </w:t>
      </w:r>
      <w:smartTag w:uri="urn:schemas-microsoft-com:office:smarttags" w:element="metricconverter">
        <w:smartTagPr>
          <w:attr w:name="ProductID" w:val="1991 г"/>
        </w:smartTagPr>
        <w:r w:rsidRPr="001E06E6">
          <w:rPr>
            <w:rFonts w:eastAsia="Times-Roman"/>
            <w:sz w:val="28"/>
            <w:szCs w:val="28"/>
          </w:rPr>
          <w:t>1991 г</w:t>
        </w:r>
      </w:smartTag>
      <w:r w:rsidRPr="001E06E6">
        <w:rPr>
          <w:rFonts w:eastAsia="Times-Roman"/>
          <w:sz w:val="28"/>
          <w:szCs w:val="28"/>
        </w:rPr>
        <w:t>. допускали исключение из действия формулы lex loci delicti, заключающееся в том,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что закон места причинения вреда не применяется, если действие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или иное обстоятельство, послужившее основанием для предъявления требования о возмещении вреда, не является противоправным по советскому (российскому) законодательству. Положения,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включенные в действующее российское коллизионное право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разд. VI ГК РФ, подобного института не содержат </w:t>
      </w:r>
      <w:r w:rsidR="004B356E">
        <w:rPr>
          <w:rFonts w:eastAsia="Times-Roman"/>
          <w:sz w:val="28"/>
          <w:szCs w:val="28"/>
        </w:rPr>
        <w:t>-</w:t>
      </w:r>
      <w:r w:rsidRPr="001E06E6">
        <w:rPr>
          <w:rFonts w:eastAsia="Times-Roman"/>
          <w:sz w:val="28"/>
          <w:szCs w:val="28"/>
        </w:rPr>
        <w:t xml:space="preserve"> отныне отказ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от применения иностранного закона не может быть обусловлен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расхождениями в квалификации деяния, совершенного за границей, со стороны соответственно закона суда и правопорядка места причинения вреда. Конструкция </w:t>
      </w:r>
      <w:r w:rsidR="004B356E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сравнения</w:t>
      </w:r>
      <w:r w:rsidR="004B356E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 материально-правовых норм правопорядка места совершения действия и закона места рассмотрения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спора использовалась ранее преимущественно для оправдания отказа в удовлетворении требований, основания которых были неизвестны отечественному праву (в частности, о возмещении морального вреда, отсутствовавшего в советском праве), что перестало быть актуальным после того, как данный институт вошел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российскую правовую действительность, обеспечив в этой части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согласование нашей правовой системы с принципами, выступающими в качестве общих для значительного числа стран мирового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сообщества.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настоящее время российское право разграничивает деликтные отношения и некоторые иные действия, имеющие внедоговорный характер, как, например, ведение чужих дел без поручения, неосновательное обогащение.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третьей части ГК РФ вопросам деликтных отношений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других обязательств внедоговорного характера посвящено несколько статей, представляющих собой целостную систему коллизионно-правового регулирования: ст. 1219</w:t>
      </w:r>
      <w:r w:rsidR="004B356E">
        <w:rPr>
          <w:rFonts w:eastAsia="Times-Roman"/>
          <w:sz w:val="28"/>
          <w:szCs w:val="28"/>
        </w:rPr>
        <w:t>-</w:t>
      </w:r>
      <w:r w:rsidRPr="001E06E6">
        <w:rPr>
          <w:rFonts w:eastAsia="Times-Roman"/>
          <w:sz w:val="28"/>
          <w:szCs w:val="28"/>
        </w:rPr>
        <w:t xml:space="preserve">1221, затрагивающие собственно обязательства из причинения вреда, включая </w:t>
      </w:r>
      <w:r w:rsidR="004B356E" w:rsidRPr="001E06E6">
        <w:rPr>
          <w:rFonts w:eastAsia="Times-Roman"/>
          <w:sz w:val="28"/>
          <w:szCs w:val="28"/>
        </w:rPr>
        <w:t>ответственность</w:t>
      </w:r>
      <w:r w:rsidRPr="001E06E6">
        <w:rPr>
          <w:rFonts w:eastAsia="Times-Roman"/>
          <w:sz w:val="28"/>
          <w:szCs w:val="28"/>
        </w:rPr>
        <w:t xml:space="preserve"> за вред, причиненный товаром, работой или услугой,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а также ст. 1222 и 1223, регламентирующие соответственно обязательства, возникающие вследствие недобросовестной конкуренции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неосновательного обогащения.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Раздел VI ГК отчасти сохраняет направления, свойственные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предшествующему регулированию. Отличительные его особенности состоят, с одной стороны, в дифференциации регламентации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внедоговорных отношений, с другой </w:t>
      </w:r>
      <w:r w:rsidR="004B356E">
        <w:rPr>
          <w:rFonts w:eastAsia="Times-Roman"/>
          <w:sz w:val="28"/>
          <w:szCs w:val="28"/>
        </w:rPr>
        <w:t xml:space="preserve">- </w:t>
      </w:r>
      <w:r w:rsidRPr="001E06E6">
        <w:rPr>
          <w:rFonts w:eastAsia="Times-Roman"/>
          <w:sz w:val="28"/>
          <w:szCs w:val="28"/>
        </w:rPr>
        <w:t>в генерализации коллизионных формул для соответствующих их групп; использовании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различных комбинаций видов коллизионных привязок: в одних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случаях </w:t>
      </w:r>
      <w:r w:rsidR="004B356E">
        <w:rPr>
          <w:rFonts w:eastAsia="Times-Roman"/>
          <w:sz w:val="28"/>
          <w:szCs w:val="28"/>
        </w:rPr>
        <w:t>-</w:t>
      </w:r>
      <w:r w:rsidRPr="001E06E6">
        <w:rPr>
          <w:rFonts w:eastAsia="Times-Roman"/>
          <w:sz w:val="28"/>
          <w:szCs w:val="28"/>
        </w:rPr>
        <w:t xml:space="preserve"> прикрепление к праву определенного государства на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базе жесткого коллизионного принципа lex loci delicti commissii,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повсеместно применяемого в практике государств мира, в прочих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ситуациях допускаются альтернативные решения. Так, в качестве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общего принципа привязки для деликтных отношений закрепляется применение права страны, где имело место действие или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иное обстоятельство, послужившие основанием для требования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 возмещении вреда (п. 1 ст. 1219).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то же время в данном пункте предусматривается и иное: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случае, когда в результате неправомерного действия или иного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обстоятельства вред наступил в другой стране, может быть применено право этой страны, если причинитель вреда предвидел или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должен был предвидеть наступление вреда в этой стране. Хотя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требования приведенных предписаний, предусмотренных для подобных ситуаций, не вполне конкретны (порой весьма затруднительно доказать, можно либо должно было в соответствующем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случае предвидеть вред или нет), что в конечном итоге обусловливает проблематичность использования такой коллизионной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привязки, сам факт их наличия в действующем праве достаточно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симптоматичен, так как, безусловно, означает отход от системы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правового регулирования, основанной на единичности коллизионного правила.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 xml:space="preserve">Существовавшая в Основах </w:t>
      </w:r>
      <w:smartTag w:uri="urn:schemas-microsoft-com:office:smarttags" w:element="metricconverter">
        <w:smartTagPr>
          <w:attr w:name="ProductID" w:val="1991 г"/>
        </w:smartTagPr>
        <w:r w:rsidRPr="001E06E6">
          <w:rPr>
            <w:rFonts w:eastAsia="Times-Roman"/>
            <w:sz w:val="28"/>
            <w:szCs w:val="28"/>
          </w:rPr>
          <w:t>1991 г</w:t>
        </w:r>
      </w:smartTag>
      <w:r w:rsidRPr="001E06E6">
        <w:rPr>
          <w:rFonts w:eastAsia="Times-Roman"/>
          <w:sz w:val="28"/>
          <w:szCs w:val="28"/>
        </w:rPr>
        <w:t>. норма о рассмотрении деликтных отношений с участием советских (российских) граждан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юридических лиц в соответствии с отечественным правом только в случае, если обе стороны принадлежат к российскому государству, распространена также и на физических и юридических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лиц других государств применительно к случаям, когда действия,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причинившие вред, произошли за границей. Короче говоря, если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действие, причинившее вред, произошло за рубежом и обе стороны (потерпевший и делинквент) имеют общее гражданство, либо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если они не являются гражданами одного и того же государства,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но имеют место жительства в одной и той же стране, или представляют собой юридические лица, принадлежащие одному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тому же государству, применяется право последнего (п. 2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ст. 1219). Этот подход широко распространен в международной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практике.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Вместе с тем в нем нет логической последовательности и полноты. Дело в том, что ключевой категорией в контексте выбора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применимого права в таких случаях выступает понятие </w:t>
      </w:r>
      <w:r w:rsidR="004B356E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совершение действия, наступления события за границей</w:t>
      </w:r>
      <w:r w:rsidR="004B356E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>. Следовательно,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если деликт имел место в России, даже при наличии условия, что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потерпевший и делинквент являются гражданами одного государства или они имеют место жительство в одной и той же стране,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российский суд для целей определения прав и обязанностей сторон и в целом для разрешения дела применит российское право.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Нетрудно заметить, что в этой части фактически произведен возврат к старым специальным коллизионным формулам, когда в целях регулирования обязательств из причинения вреда, возникших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из действий, которые имели место на территории России, при выборе права преобладал территориальный подход. Более оправданным было бы генерализировать регулирование посредством устранения из текста нормативного акта оговорки об </w:t>
      </w:r>
      <w:r w:rsidR="004B356E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обязательствах,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возникающих вследствие причинения вреда за границей</w:t>
      </w:r>
      <w:r w:rsidR="004B356E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>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 xml:space="preserve">С другой стороны, нельзя не отметить и то, что действие рассматриваемых правил не носит всеобъемлющего характера. Противовес им составляют положения п. 3 ст. 1219, допускающие выбор применимого права самими сторонами </w:t>
      </w:r>
      <w:r w:rsidR="004B356E">
        <w:rPr>
          <w:rFonts w:eastAsia="Times-Roman"/>
          <w:sz w:val="28"/>
          <w:szCs w:val="28"/>
        </w:rPr>
        <w:t>–</w:t>
      </w:r>
      <w:r w:rsidRPr="001E06E6">
        <w:rPr>
          <w:rFonts w:eastAsia="Times-Roman"/>
          <w:sz w:val="28"/>
          <w:szCs w:val="28"/>
        </w:rPr>
        <w:t xml:space="preserve"> делинквентом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потерпевшим, хотя и в ограниченных пределах (только после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совершения действия или наступления иного обстоятельства, повлекших причинение вреда, и с единственной альтернативой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виде закона страны суда).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Впервые в отечественном правопорядке нормативно указан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ряд вопросов, на которые распространяется деликтный статут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(ст. 1220). Нелишне подчеркнуть в данном случае, что речь идет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только об определении сферы действия права, применимого к деликтным обязательствам. В результате на основании права, подлежащего применению к обязательствам, возникающим вследствие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причинения вреда, определяются, в частности: 1) способность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лица нести ответственность за причиненный вред; 2) возложение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ответственности за вред на лицо, не являющееся причинителем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вреда; 3) основания ответственности; 4) основания ограничения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ответственности и освобождения от нее; 5) способы возмещения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вреда; 6) объем и размер возмещения вреда. Хотя данный перечень не носит исчерпывающего характера, правоприменительные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органы не вправе проигнорировать непосредственно присутствующие нем позиции при установлении, какие отношения охватываются найденным правопорядком как деликтным статутом.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Важное значение имеет включение в систему правового регулирования деликтных и иных внедоговорных отношений ст. 1221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ГК, посвященной определению права, подлежащего применению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к ответственности за вред, причиненный вследствие недостатков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товара, работы или услуги. В этой части законодатель предоставил потребителю возможность выбора применимого права: к требованию о возмещении вреда, причиненного вследствие недостатков товара, работы или услуги, по выбору потерпевшего применяется: 1) право страны, в которой имеет место жительства или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основное место деятельности продавец или изготовитель товара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либо иной причинитель вреда; 2) право страны, в которой имеет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место жительства или основное место деятельности потерпевший;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3) право страны, где была выполнена работа, оказана услуга, или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право страны, где был приобретен товар. Предусмотренный в статье выбор потерпевшим применимого к отношениям между сторонами права </w:t>
      </w:r>
      <w:r w:rsidR="004B356E" w:rsidRPr="001E06E6">
        <w:rPr>
          <w:rFonts w:eastAsia="Times-Roman"/>
          <w:sz w:val="28"/>
          <w:szCs w:val="28"/>
        </w:rPr>
        <w:t>ограничивается</w:t>
      </w:r>
      <w:r w:rsidRPr="001E06E6">
        <w:rPr>
          <w:rFonts w:eastAsia="Times-Roman"/>
          <w:sz w:val="28"/>
          <w:szCs w:val="28"/>
        </w:rPr>
        <w:t xml:space="preserve"> только возможностью доказывания,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предоставляемой причинителю вреда, что товар поступил в соответствующую страну без его согласия.</w:t>
      </w:r>
      <w:r w:rsidR="004B356E">
        <w:rPr>
          <w:rFonts w:eastAsia="Times-Roman"/>
          <w:sz w:val="28"/>
          <w:szCs w:val="28"/>
        </w:rPr>
        <w:t xml:space="preserve"> 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Сходным образом известная доля усмотрения сторон в выборе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применимого к их взаимоотношениям права зафиксирована и в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случае неосновательного обогащения: </w:t>
      </w:r>
      <w:r w:rsidR="004B356E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К обязательствам, возникающим вследствие неосновательного обогащения, применяется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право страны, где обогащение имело место. Стороны могут договориться о применении к таким обязательствам права страны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суда</w:t>
      </w:r>
      <w:r w:rsidR="004B356E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 (ст. 1223).</w:t>
      </w:r>
    </w:p>
    <w:p w:rsidR="008D3444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Еще одна новелла российского права в области коллизионных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норм внедоговорных отношений </w:t>
      </w:r>
      <w:r w:rsidR="004B356E">
        <w:rPr>
          <w:rFonts w:eastAsia="Times-Roman"/>
          <w:sz w:val="28"/>
          <w:szCs w:val="28"/>
        </w:rPr>
        <w:t xml:space="preserve">- </w:t>
      </w:r>
      <w:r w:rsidRPr="001E06E6">
        <w:rPr>
          <w:rFonts w:eastAsia="Times-Roman"/>
          <w:sz w:val="28"/>
          <w:szCs w:val="28"/>
        </w:rPr>
        <w:t>это регулирование, относящееся к недобросовестной конкуренции, которое отмечено тем, что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оно оперирует никогда ранее не использовавшейся разновидностью коллизионной привязки lex loci actus: к обязательствам, возникающим вследствие недобросовестной конкуренции, применяется право страны, рынок которой затронут такой конкуренцией,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если иное не вытекает из закона или существа обязательства</w:t>
      </w:r>
      <w:r w:rsidR="004B356E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(ст. 1222). Характерной деталью формулировок данной статьи выступает их диспозитивность</w:t>
      </w:r>
      <w:r w:rsidR="008D3444">
        <w:rPr>
          <w:rFonts w:eastAsia="Times-Roman"/>
          <w:sz w:val="28"/>
          <w:szCs w:val="28"/>
        </w:rPr>
        <w:t>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данном отношении российское законодательство восприняло международный опыт. Хотя в современной западной доктрине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практике право недобросовестной конкуренции рассматривается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подавляющем большинстве случаев как часть права деликтных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отношений, одновременно считается признанным, что принцип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закона места причинения вреда должен иметь свою конкурентную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специфику, поскольку теория </w:t>
      </w:r>
      <w:r w:rsidR="008D3444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повсеместной ответственности</w:t>
      </w:r>
      <w:r w:rsidR="008D3444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 общего коллизионного права деликтных обязательств была бы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слишком расплывчатой</w:t>
      </w:r>
      <w:r w:rsidR="008D3444">
        <w:rPr>
          <w:rFonts w:eastAsia="Times-Roman"/>
          <w:sz w:val="28"/>
          <w:szCs w:val="28"/>
        </w:rPr>
        <w:t>.</w:t>
      </w:r>
      <w:r w:rsidRPr="001E06E6">
        <w:rPr>
          <w:rFonts w:eastAsia="Times-Roman"/>
          <w:sz w:val="28"/>
          <w:szCs w:val="28"/>
        </w:rPr>
        <w:t xml:space="preserve"> В силу этого в случае регулирования отношений по ограничению конкуренции или какого-либо иного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нарушения предоставляемых юридическими нормами благ местом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совершения правонарушения, как пишут немецкие авторы, будет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место конфликта интересов конкурентов (местонахождение рынка). Решающую роль в определении права конкуренции территориального рынка играет место конфликта интересов конкурентов.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Это означает в первую очередь, что компетентным для оценки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ситуации с точки зрения права конкуренции является правопорядок страны местонахождения этого рынка независимо от государственной принадлежности конкурентов, а также других участников рынка </w:t>
      </w:r>
      <w:r w:rsidR="008D3444">
        <w:rPr>
          <w:rFonts w:eastAsia="Times-Roman"/>
          <w:sz w:val="28"/>
          <w:szCs w:val="28"/>
        </w:rPr>
        <w:t>-</w:t>
      </w:r>
      <w:r w:rsidRPr="001E06E6">
        <w:rPr>
          <w:rFonts w:eastAsia="Times-Roman"/>
          <w:sz w:val="28"/>
          <w:szCs w:val="28"/>
        </w:rPr>
        <w:t xml:space="preserve"> поставщиков, заказчиков, потребителей, всего общества и государства.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Принцип регулирования деликтных отношений lex loci delicti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commissii как общая коллизионная норма содержится и в отраслевых актах, регулирующих отношения международного характера.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Так, речь идет прежде всего о торговом мореплавании. Нормы,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регламентирующие вопросы деликтных отношений в этой сфере,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имеются в КТМ РФ </w:t>
      </w:r>
      <w:smartTag w:uri="urn:schemas-microsoft-com:office:smarttags" w:element="metricconverter">
        <w:smartTagPr>
          <w:attr w:name="ProductID" w:val="1999 г"/>
        </w:smartTagPr>
        <w:r w:rsidRPr="001E06E6">
          <w:rPr>
            <w:rFonts w:eastAsia="Times-Roman"/>
            <w:sz w:val="28"/>
            <w:szCs w:val="28"/>
          </w:rPr>
          <w:t>1999 г</w:t>
        </w:r>
      </w:smartTag>
      <w:r w:rsidRPr="001E06E6">
        <w:rPr>
          <w:rFonts w:eastAsia="Times-Roman"/>
          <w:sz w:val="28"/>
          <w:szCs w:val="28"/>
        </w:rPr>
        <w:t>. Согласно этому акту отношения, возникающие из столкновения судов во внутренних морских водах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в территориальном море, подчиняются закону государства, на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территории которого произошло столкновение (п. 1 ст. 420).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 xml:space="preserve">В случаях столкновения судов в открытом море спор, во-первых, рассматривается в Российской Федерации на основе российского права (применяются правила гл. XVII КТМ </w:t>
      </w:r>
      <w:r w:rsidR="008D3444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Возмещение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убытков от столкновения судов</w:t>
      </w:r>
      <w:r w:rsidR="008D3444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>). Во-вторых, к отношениям, возникающим из столкновения судов, плавающих под флагом одного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государства, применяется закон этого государства независимо от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места их столкновения (п. 3 ст. 420 КТМ РФ). В этой связи необходимо констатировать изменение подхода отечественного законодателя к коллизионному регулированию в современном праве.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области регулирования отношений по причинению ущерба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связи с морской перевозкой опасных и вредных веществ или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загрязнением с судов нефтью действующий правопорядок исходит из принципа </w:t>
      </w:r>
      <w:r w:rsidR="008D3444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территориальности</w:t>
      </w:r>
      <w:r w:rsidR="008D3444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 xml:space="preserve"> совершенного действия.</w:t>
      </w:r>
    </w:p>
    <w:p w:rsidR="003F6B19" w:rsidRPr="001E06E6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В частности, по нормам российского права определяется ущерб,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причиненный на российской территории, в том числе в территориальном море и исключительной экономической зоне, загрязнением с судов нефтью, а также предупредительными мерами по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его предотвращению (уменьшению), где бы они ни принимались. Это означает, что к отношениям по нанесению ущерба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результате действий иностранных судов по загрязнению нефтью с судов в территориальном море или исключительной экономической зоне России будет применяться российское право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(ст. 421 КТМ РФ).</w:t>
      </w:r>
    </w:p>
    <w:p w:rsidR="008D3444" w:rsidRDefault="003F6B19" w:rsidP="001E06E6">
      <w:pPr>
        <w:widowControl w:val="0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1E06E6">
        <w:rPr>
          <w:rFonts w:eastAsia="Times-Roman"/>
          <w:sz w:val="28"/>
          <w:szCs w:val="28"/>
        </w:rPr>
        <w:t>Материально-правовое, регулирование деликтных отношений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Российской Федерации в современных условиях все чаще базируется (или обусловливается) ее участием в соответствующих международных договорах, в результате чего ее внутреннее право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либо непосредственно воспроизводит нормы международных соглашений, либо пользуется разработанными международно-правовым путем конструкциями и решениями. Так, прямым последствием присоединения России к Базельской конвенции о контроле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за трансграничной перевозкой опасных отходов и их удалением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от 20</w:t>
      </w:r>
      <w:r w:rsidR="008D3444">
        <w:rPr>
          <w:rFonts w:eastAsia="Times-Roman"/>
          <w:sz w:val="28"/>
          <w:szCs w:val="28"/>
        </w:rPr>
        <w:t>-</w:t>
      </w:r>
      <w:r w:rsidRPr="001E06E6">
        <w:rPr>
          <w:rFonts w:eastAsia="Times-Roman"/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1989 г"/>
        </w:smartTagPr>
        <w:r w:rsidRPr="001E06E6">
          <w:rPr>
            <w:rFonts w:eastAsia="Times-Roman"/>
            <w:sz w:val="28"/>
            <w:szCs w:val="28"/>
          </w:rPr>
          <w:t>1989 г</w:t>
        </w:r>
      </w:smartTag>
      <w:r w:rsidRPr="001E06E6">
        <w:rPr>
          <w:rFonts w:eastAsia="Times-Roman"/>
          <w:sz w:val="28"/>
          <w:szCs w:val="28"/>
        </w:rPr>
        <w:t>. явилась разработка соответствующих внутригосударственных правовых норм, посвященных регламентации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некоторых аспектов определенного рода обязательств, связанных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 деликтными отношениями.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В частности, согласно постановлению Правительства РФ от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1996 г"/>
        </w:smartTagPr>
        <w:r w:rsidRPr="001E06E6">
          <w:rPr>
            <w:rFonts w:eastAsia="Times-Roman"/>
            <w:sz w:val="28"/>
            <w:szCs w:val="28"/>
          </w:rPr>
          <w:t>1996 г</w:t>
        </w:r>
      </w:smartTag>
      <w:r w:rsidRPr="001E06E6">
        <w:rPr>
          <w:rFonts w:eastAsia="Times-Roman"/>
          <w:sz w:val="28"/>
          <w:szCs w:val="28"/>
        </w:rPr>
        <w:t xml:space="preserve">., утвердившему Положение </w:t>
      </w:r>
      <w:r w:rsidR="008D3444">
        <w:rPr>
          <w:rFonts w:eastAsia="Times-Roman"/>
          <w:sz w:val="28"/>
          <w:szCs w:val="28"/>
        </w:rPr>
        <w:t>«</w:t>
      </w:r>
      <w:r w:rsidRPr="001E06E6">
        <w:rPr>
          <w:rFonts w:eastAsia="Times-Roman"/>
          <w:sz w:val="28"/>
          <w:szCs w:val="28"/>
        </w:rPr>
        <w:t>О государственном регулировании трансграничных перевозок опасных отходов</w:t>
      </w:r>
      <w:r w:rsidR="008D3444">
        <w:rPr>
          <w:rFonts w:eastAsia="Times-Roman"/>
          <w:sz w:val="28"/>
          <w:szCs w:val="28"/>
        </w:rPr>
        <w:t>»</w:t>
      </w:r>
      <w:r w:rsidRPr="001E06E6">
        <w:rPr>
          <w:rFonts w:eastAsia="Times-Roman"/>
          <w:sz w:val="28"/>
          <w:szCs w:val="28"/>
        </w:rPr>
        <w:t>, его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действие распространяется на все организации, осуществляющие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экспорт, импорт, транзит, перевозки отходов, а также обращение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 отходами (включая бытовые отходы и остатки их сжигания),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представляющими угрозу для окружающей природной среды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и здоровья людей и признанными опасными в соответствии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с критериями, установленными Базельской конвенцией и законодательством РФ. При решении вопросов ответственности за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трансграничные перевозки отходов в документе устанавливается,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что организация, нарушившая порядок, установленный Положением, и тем самым допустившая незаконную трансграничную перевозку отходов, несет ответственность в соответствии с законодательством РФ и с законодательством других заинтересованных</w:t>
      </w:r>
      <w:r w:rsidR="008D3444">
        <w:rPr>
          <w:rFonts w:eastAsia="Times-Roman"/>
          <w:sz w:val="28"/>
          <w:szCs w:val="28"/>
        </w:rPr>
        <w:t xml:space="preserve"> </w:t>
      </w:r>
      <w:r w:rsidRPr="001E06E6">
        <w:rPr>
          <w:rFonts w:eastAsia="Times-Roman"/>
          <w:sz w:val="28"/>
          <w:szCs w:val="28"/>
        </w:rPr>
        <w:t>государств</w:t>
      </w:r>
      <w:r w:rsidR="008D3444">
        <w:rPr>
          <w:rFonts w:eastAsia="Times-Roman"/>
          <w:sz w:val="28"/>
          <w:szCs w:val="28"/>
        </w:rPr>
        <w:t>.</w:t>
      </w:r>
    </w:p>
    <w:p w:rsidR="008D3444" w:rsidRDefault="008D3444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</w:p>
    <w:p w:rsidR="005670C6" w:rsidRDefault="005670C6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1B1DA0">
        <w:rPr>
          <w:b/>
          <w:sz w:val="28"/>
          <w:szCs w:val="28"/>
        </w:rPr>
        <w:t>2. Задача</w:t>
      </w:r>
    </w:p>
    <w:p w:rsidR="007D344F" w:rsidRDefault="007D344F" w:rsidP="007D344F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>Фирма, зарегистрированная в иностранном государстве, обратилась в арбитражный суд с иском к российскому акционерному обществу.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>Российским торговым предприятием (покупателем) в июле 1996г. был заключен внешнеторговый контракт с этой фирмой (продавцом) на поставку товара.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>Стороны при заключении сделки в письменной форме договорились, что поставка товара будет осуществляться на условиях СИФ (морская пере</w:t>
      </w:r>
      <w:r w:rsidRPr="00C13AA1">
        <w:rPr>
          <w:sz w:val="28"/>
          <w:szCs w:val="28"/>
        </w:rPr>
        <w:softHyphen/>
        <w:t>возка) в редакции ИНКОТЕРМС-90. При этом обязанность по оплате фрахта до пункта назначения и по страхованию сделки возлагалась на продавца -иностранную фирму.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>Фактически перевозка осуществлена на условиях ФОБ - продавец по</w:t>
      </w:r>
      <w:r w:rsidRPr="00C13AA1">
        <w:rPr>
          <w:sz w:val="28"/>
          <w:szCs w:val="28"/>
        </w:rPr>
        <w:softHyphen/>
        <w:t>ставку не страховал.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>В пути товар был испорчен попаданием морской воды во время шторма. Покупатель, получив товар в негодном состоянии, счел это виной продавца, который односторонне изменил базисные условия поставки с СИФ на ФОБ, что, в свою очередь, привело к ненадлежащему исполнению обязательств по сделке.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>Иностранная фирма настаивала, что двустороннее изменение договора имело место. В качестве доказательства приводились следующие обстоятель</w:t>
      </w:r>
      <w:r>
        <w:rPr>
          <w:sz w:val="28"/>
          <w:szCs w:val="28"/>
        </w:rPr>
        <w:t>ства</w:t>
      </w:r>
      <w:r w:rsidRPr="00C13AA1">
        <w:rPr>
          <w:sz w:val="28"/>
          <w:szCs w:val="28"/>
        </w:rPr>
        <w:t>: продавец отправил по факсу оферту с предложением снизить цену кон</w:t>
      </w:r>
      <w:r>
        <w:rPr>
          <w:sz w:val="28"/>
          <w:szCs w:val="28"/>
        </w:rPr>
        <w:t>тракта</w:t>
      </w:r>
      <w:r w:rsidRPr="00C13AA1">
        <w:rPr>
          <w:sz w:val="28"/>
          <w:szCs w:val="28"/>
        </w:rPr>
        <w:t>; покупатель в телефонных переговорах согласился с этим предложени</w:t>
      </w:r>
      <w:r w:rsidRPr="00C13AA1">
        <w:rPr>
          <w:sz w:val="28"/>
          <w:szCs w:val="28"/>
        </w:rPr>
        <w:softHyphen/>
        <w:t xml:space="preserve">ем. В результате телефонных переговоров продавец счел возможным </w:t>
      </w:r>
      <w:r>
        <w:rPr>
          <w:sz w:val="28"/>
          <w:szCs w:val="28"/>
        </w:rPr>
        <w:t>зафрактовать</w:t>
      </w:r>
      <w:r w:rsidRPr="00C13AA1">
        <w:rPr>
          <w:sz w:val="28"/>
          <w:szCs w:val="28"/>
        </w:rPr>
        <w:t xml:space="preserve"> судно на условиях ФОБ и не страховать сделку.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>Российское предприятие отрицало факт устного согласия на изменение условий контракта.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sz w:val="28"/>
          <w:szCs w:val="28"/>
        </w:rPr>
        <w:t xml:space="preserve">Арбитражному суду, разрешающему спор, не были представлены </w:t>
      </w:r>
      <w:r>
        <w:rPr>
          <w:sz w:val="28"/>
          <w:szCs w:val="28"/>
        </w:rPr>
        <w:t>доказательства</w:t>
      </w:r>
      <w:r w:rsidRPr="00C13AA1">
        <w:rPr>
          <w:sz w:val="28"/>
          <w:szCs w:val="28"/>
        </w:rPr>
        <w:t xml:space="preserve"> письменного волеизъявления сторон на изменение условий кон</w:t>
      </w:r>
      <w:r>
        <w:rPr>
          <w:sz w:val="28"/>
          <w:szCs w:val="28"/>
        </w:rPr>
        <w:t>т</w:t>
      </w:r>
      <w:r w:rsidRPr="00C13AA1">
        <w:rPr>
          <w:sz w:val="28"/>
          <w:szCs w:val="28"/>
        </w:rPr>
        <w:t>ракта.</w:t>
      </w:r>
    </w:p>
    <w:p w:rsidR="00C13AA1" w:rsidRPr="00C13AA1" w:rsidRDefault="00C13AA1" w:rsidP="00C13AA1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13AA1">
        <w:rPr>
          <w:iCs/>
          <w:sz w:val="28"/>
          <w:szCs w:val="28"/>
        </w:rPr>
        <w:t>Разрешите спор.</w:t>
      </w:r>
    </w:p>
    <w:p w:rsidR="007D344F" w:rsidRPr="00C13AA1" w:rsidRDefault="007D344F" w:rsidP="00C13AA1">
      <w:pPr>
        <w:widowControl w:val="0"/>
        <w:shd w:val="clear" w:color="auto" w:fill="FFFFFF"/>
        <w:spacing w:line="360" w:lineRule="auto"/>
        <w:ind w:firstLine="851"/>
        <w:jc w:val="both"/>
        <w:rPr>
          <w:iCs/>
          <w:sz w:val="28"/>
          <w:szCs w:val="28"/>
        </w:rPr>
      </w:pPr>
    </w:p>
    <w:p w:rsidR="007D344F" w:rsidRDefault="007D344F" w:rsidP="007D344F">
      <w:pPr>
        <w:widowControl w:val="0"/>
        <w:shd w:val="clear" w:color="auto" w:fill="FFFFFF"/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Выполнение:</w:t>
      </w:r>
    </w:p>
    <w:p w:rsidR="00CD27F6" w:rsidRPr="00D35C15" w:rsidRDefault="00CD27F6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D35C15">
        <w:rPr>
          <w:sz w:val="28"/>
          <w:szCs w:val="28"/>
        </w:rPr>
        <w:t>Действующее законодательство исходит из правила, согласно которому форма внешнеэкономических сделок, в которых участвуют наши организации и предприниматели, должна всегда определяться только по российскому праву.</w:t>
      </w:r>
      <w:r w:rsidR="00D35C15">
        <w:rPr>
          <w:sz w:val="28"/>
          <w:szCs w:val="28"/>
        </w:rPr>
        <w:t xml:space="preserve"> </w:t>
      </w:r>
      <w:r w:rsidRPr="00D35C15">
        <w:rPr>
          <w:sz w:val="28"/>
          <w:szCs w:val="28"/>
        </w:rPr>
        <w:t>Согласно п. 2 ст. 1209</w:t>
      </w:r>
      <w:r w:rsidR="00D35C15">
        <w:rPr>
          <w:sz w:val="28"/>
          <w:szCs w:val="28"/>
        </w:rPr>
        <w:t xml:space="preserve"> ГК РФ «</w:t>
      </w:r>
      <w:r w:rsidRPr="00D35C15">
        <w:rPr>
          <w:sz w:val="28"/>
          <w:szCs w:val="28"/>
        </w:rPr>
        <w:t>форма внешнеэкономической сделки, хотя бы одной из сторон которой является российское юридическое лицо, подчиняется, независимо от места совершения этой сделки, российскому праву. Это правило применяется и в случаях, когда хотя бы одной из сторон такой сделки выступает осуществляющее предпринимательскую деятельность физическое лицо, личным законом которого в соответствии со статьей 1195 настоящего Кодекса является российское право</w:t>
      </w:r>
      <w:r w:rsidR="00D35C15">
        <w:rPr>
          <w:sz w:val="28"/>
          <w:szCs w:val="28"/>
        </w:rPr>
        <w:t>»</w:t>
      </w:r>
      <w:r w:rsidRPr="00D35C15">
        <w:rPr>
          <w:sz w:val="28"/>
          <w:szCs w:val="28"/>
        </w:rPr>
        <w:t>.</w:t>
      </w:r>
    </w:p>
    <w:p w:rsidR="00CD27F6" w:rsidRPr="00D35C15" w:rsidRDefault="00CD27F6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D35C15">
        <w:rPr>
          <w:sz w:val="28"/>
          <w:szCs w:val="28"/>
        </w:rPr>
        <w:t>Приведенное правило носит строго императивный характер. Внешнеэкономические договоры должны заключаться в письменной форме. Обязательность письменной формы и их недействительность при несоблюдении такой формы была установлена ранее и Основами 1991г. (ст. ст. 30, 165), и ГК РФ (ст. 162). Это правило действует в отношении изменения, продления или расторжения договора. Согласно действующему гражданскому законодательству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 (п. 2 ст. 434 ГК).</w:t>
      </w:r>
    </w:p>
    <w:p w:rsidR="00CD27F6" w:rsidRPr="00D35C15" w:rsidRDefault="00CD27F6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D35C15">
        <w:rPr>
          <w:sz w:val="28"/>
          <w:szCs w:val="28"/>
        </w:rPr>
        <w:t>Венская конвенция исходит из того, что не требуется, чтобы договор заключался или подтверждался в письменной форме или подчинялся этому требованию в отношении формы. Наличие договора может доказываться любыми средствами, включая свидетельские показания (ст. 11). Однако в соответствии со ст. 96 Конвенции государство, законодательство которого требует, чтобы договоры купли-продажи заключались или подтверждались в письменной форме, может сделать заявление о неприменимости положения Конвенции, допускающего использование иной формы для тех случаев, когда одна из сторон договора имеет свое коммерческое предприятие в этом государстве.</w:t>
      </w:r>
    </w:p>
    <w:p w:rsidR="00CD27F6" w:rsidRPr="00D35C15" w:rsidRDefault="00CD27F6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D35C15">
        <w:rPr>
          <w:sz w:val="28"/>
          <w:szCs w:val="28"/>
        </w:rPr>
        <w:t xml:space="preserve">СССР при присоединении к Конвенции заявил о неприменимости ее положений, допускающих совершение договора не в письменной форме, если хотя бы один из контрагентов имеет свое коммерческое предприятие на его территории (Постановление Верховного Совета СССР от 23 мая </w:t>
      </w:r>
      <w:smartTag w:uri="urn:schemas-microsoft-com:office:smarttags" w:element="metricconverter">
        <w:smartTagPr>
          <w:attr w:name="ProductID" w:val="1990 г"/>
        </w:smartTagPr>
        <w:r w:rsidRPr="00D35C15">
          <w:rPr>
            <w:sz w:val="28"/>
            <w:szCs w:val="28"/>
          </w:rPr>
          <w:t>1990 г</w:t>
        </w:r>
      </w:smartTag>
      <w:r w:rsidRPr="00D35C15">
        <w:rPr>
          <w:sz w:val="28"/>
          <w:szCs w:val="28"/>
        </w:rPr>
        <w:t>.). Это заявление действует и для России.</w:t>
      </w:r>
    </w:p>
    <w:p w:rsidR="00CD27F6" w:rsidRDefault="00CD27F6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D35C15">
        <w:rPr>
          <w:sz w:val="28"/>
          <w:szCs w:val="28"/>
        </w:rPr>
        <w:t>Особо следует остановиться на вопросе о порядке подписания внешнеторговых сделок. Действовавшее в Советском Союзе законодательство предусматривало, что все внешнеторговые сделки должны были подписываться двумя лицами. С 3 августа 1992г. эта императивная (обязательная) норма не действует. Порядок подписания внешнеторговых сделок подлежит применению в России лишь в случаях, предусмотренных учредительными документами (уставами, положениями) соответствующих российских участников внешнеторговых сделок.</w:t>
      </w:r>
    </w:p>
    <w:p w:rsidR="00ED5265" w:rsidRDefault="00ED526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Арбитражного суда должно быть выражено в отказе удовлетворения исковых требований к российскому акционерному обществу.</w:t>
      </w:r>
    </w:p>
    <w:p w:rsidR="00D35C15" w:rsidRP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C13AA1" w:rsidRDefault="00C13AA1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35C15" w:rsidRDefault="00D35C15" w:rsidP="00D35C15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1B1DA0" w:rsidRPr="001B1DA0" w:rsidRDefault="001B1DA0" w:rsidP="001B1DA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:rsidR="001B1DA0" w:rsidRDefault="001B1DA0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1B1DA0" w:rsidRDefault="001B1DA0" w:rsidP="00EB6B4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</w:t>
      </w:r>
    </w:p>
    <w:p w:rsid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Семейных Кодек РФ</w:t>
      </w:r>
    </w:p>
    <w:p w:rsid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Ануфриев Л.П. Международное частное право в 3 т. – М.: БЕК, 2002.</w:t>
      </w:r>
    </w:p>
    <w:p w:rsid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1B1DA0">
        <w:rPr>
          <w:sz w:val="28"/>
          <w:szCs w:val="28"/>
        </w:rPr>
        <w:t>Богуславский М.М.</w:t>
      </w:r>
      <w:r>
        <w:rPr>
          <w:sz w:val="28"/>
          <w:szCs w:val="28"/>
        </w:rPr>
        <w:t xml:space="preserve"> </w:t>
      </w:r>
      <w:r w:rsidRPr="001B1DA0">
        <w:rPr>
          <w:sz w:val="28"/>
          <w:szCs w:val="28"/>
        </w:rPr>
        <w:t>Международное частное право: Учебник.</w:t>
      </w:r>
      <w:r>
        <w:rPr>
          <w:sz w:val="28"/>
          <w:szCs w:val="28"/>
        </w:rPr>
        <w:t xml:space="preserve"> -</w:t>
      </w:r>
      <w:r w:rsidRPr="001B1DA0">
        <w:rPr>
          <w:sz w:val="28"/>
          <w:szCs w:val="28"/>
        </w:rPr>
        <w:t xml:space="preserve"> М.: Междунар</w:t>
      </w:r>
      <w:r>
        <w:rPr>
          <w:sz w:val="28"/>
          <w:szCs w:val="28"/>
        </w:rPr>
        <w:t>одные</w:t>
      </w:r>
      <w:r w:rsidRPr="001B1DA0">
        <w:rPr>
          <w:sz w:val="28"/>
          <w:szCs w:val="28"/>
        </w:rPr>
        <w:t xml:space="preserve"> отноше</w:t>
      </w:r>
      <w:r w:rsidRPr="001B1DA0">
        <w:rPr>
          <w:sz w:val="28"/>
          <w:szCs w:val="28"/>
        </w:rPr>
        <w:softHyphen/>
        <w:t>ния, 1994</w:t>
      </w:r>
      <w:r>
        <w:rPr>
          <w:sz w:val="28"/>
          <w:szCs w:val="28"/>
        </w:rPr>
        <w:t>.</w:t>
      </w:r>
    </w:p>
    <w:p w:rsid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1B1DA0">
        <w:rPr>
          <w:sz w:val="28"/>
          <w:szCs w:val="28"/>
        </w:rPr>
        <w:t>Богуславский М.М.</w:t>
      </w:r>
      <w:r>
        <w:rPr>
          <w:sz w:val="28"/>
          <w:szCs w:val="28"/>
        </w:rPr>
        <w:t xml:space="preserve"> </w:t>
      </w:r>
      <w:r w:rsidRPr="001B1DA0">
        <w:rPr>
          <w:sz w:val="28"/>
          <w:szCs w:val="28"/>
        </w:rPr>
        <w:t>Международное частное право: Учебник.</w:t>
      </w:r>
      <w:r>
        <w:rPr>
          <w:sz w:val="28"/>
          <w:szCs w:val="28"/>
        </w:rPr>
        <w:t xml:space="preserve"> -</w:t>
      </w:r>
      <w:r w:rsidRPr="001B1DA0">
        <w:rPr>
          <w:sz w:val="28"/>
          <w:szCs w:val="28"/>
        </w:rPr>
        <w:t xml:space="preserve"> М.: </w:t>
      </w:r>
      <w:r>
        <w:rPr>
          <w:sz w:val="28"/>
          <w:szCs w:val="28"/>
        </w:rPr>
        <w:t>Юристъ</w:t>
      </w:r>
      <w:r w:rsidRPr="001B1DA0">
        <w:rPr>
          <w:sz w:val="28"/>
          <w:szCs w:val="28"/>
        </w:rPr>
        <w:t xml:space="preserve">, </w:t>
      </w:r>
      <w:r>
        <w:rPr>
          <w:sz w:val="28"/>
          <w:szCs w:val="28"/>
        </w:rPr>
        <w:t>2005</w:t>
      </w:r>
      <w:r w:rsidRPr="001B1D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1B1DA0">
        <w:rPr>
          <w:sz w:val="28"/>
          <w:szCs w:val="28"/>
        </w:rPr>
        <w:t>Богуславский М.М.</w:t>
      </w:r>
      <w:r>
        <w:rPr>
          <w:sz w:val="28"/>
          <w:szCs w:val="28"/>
        </w:rPr>
        <w:t xml:space="preserve"> </w:t>
      </w:r>
      <w:r w:rsidRPr="001B1DA0">
        <w:rPr>
          <w:sz w:val="28"/>
          <w:szCs w:val="28"/>
        </w:rPr>
        <w:t>Международное частное право: Учебник.</w:t>
      </w:r>
      <w:r>
        <w:rPr>
          <w:sz w:val="28"/>
          <w:szCs w:val="28"/>
        </w:rPr>
        <w:t xml:space="preserve"> -</w:t>
      </w:r>
      <w:r w:rsidRPr="001B1DA0">
        <w:rPr>
          <w:sz w:val="28"/>
          <w:szCs w:val="28"/>
        </w:rPr>
        <w:t xml:space="preserve"> М.: </w:t>
      </w:r>
      <w:r>
        <w:rPr>
          <w:sz w:val="28"/>
          <w:szCs w:val="28"/>
        </w:rPr>
        <w:t>Юристъ</w:t>
      </w:r>
      <w:r w:rsidRPr="001B1DA0">
        <w:rPr>
          <w:sz w:val="28"/>
          <w:szCs w:val="28"/>
        </w:rPr>
        <w:t xml:space="preserve">, </w:t>
      </w:r>
      <w:r>
        <w:rPr>
          <w:sz w:val="28"/>
          <w:szCs w:val="28"/>
        </w:rPr>
        <w:t>2007</w:t>
      </w:r>
      <w:r w:rsidRPr="001B1D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частное право. Действующие нормативные акты: Учебное пособие / Г.К. Дмитриева, М.В. Филимонова. – М., 2006.</w:t>
      </w:r>
    </w:p>
    <w:p w:rsidR="001B1DA0" w:rsidRPr="001B1DA0" w:rsidRDefault="001B1DA0" w:rsidP="001B1DA0">
      <w:pPr>
        <w:widowControl w:val="0"/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частное право: Учебник / Г.К. Дмитриева. – М.: Проспект, 2004.</w:t>
      </w:r>
    </w:p>
    <w:p w:rsidR="001B1DA0" w:rsidRPr="001B1DA0" w:rsidRDefault="001B1DA0" w:rsidP="001B1DA0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1B1DA0" w:rsidRPr="001B1DA0" w:rsidRDefault="001B1DA0" w:rsidP="001B1DA0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1B1DA0" w:rsidRPr="001B1DA0" w:rsidRDefault="001B1DA0" w:rsidP="001B1DA0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5670C6" w:rsidRPr="001B1DA0" w:rsidRDefault="005670C6" w:rsidP="001B1DA0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055E99" w:rsidRPr="001B1DA0" w:rsidRDefault="00055E99" w:rsidP="001B1DA0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055E99" w:rsidRPr="001B1DA0" w:rsidSect="005670C6">
      <w:headerReference w:type="even" r:id="rId7"/>
      <w:headerReference w:type="default" r:id="rId8"/>
      <w:pgSz w:w="11906" w:h="16838" w:code="9"/>
      <w:pgMar w:top="1418" w:right="851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FC" w:rsidRDefault="00D40CFC">
      <w:r>
        <w:separator/>
      </w:r>
    </w:p>
  </w:endnote>
  <w:endnote w:type="continuationSeparator" w:id="0">
    <w:p w:rsidR="00D40CFC" w:rsidRDefault="00D4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FC" w:rsidRDefault="00D40CFC">
      <w:r>
        <w:separator/>
      </w:r>
    </w:p>
  </w:footnote>
  <w:footnote w:type="continuationSeparator" w:id="0">
    <w:p w:rsidR="00D40CFC" w:rsidRDefault="00D4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65" w:rsidRDefault="00ED5265" w:rsidP="003F6B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265" w:rsidRDefault="00ED5265" w:rsidP="005670C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65" w:rsidRDefault="00ED5265" w:rsidP="003F6B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6DF">
      <w:rPr>
        <w:rStyle w:val="a5"/>
        <w:noProof/>
      </w:rPr>
      <w:t>2</w:t>
    </w:r>
    <w:r>
      <w:rPr>
        <w:rStyle w:val="a5"/>
      </w:rPr>
      <w:fldChar w:fldCharType="end"/>
    </w:r>
  </w:p>
  <w:p w:rsidR="00ED5265" w:rsidRDefault="00ED5265" w:rsidP="005670C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175F4"/>
    <w:multiLevelType w:val="hybridMultilevel"/>
    <w:tmpl w:val="B2F287D0"/>
    <w:lvl w:ilvl="0" w:tplc="97287C0E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015"/>
    <w:rsid w:val="00055E99"/>
    <w:rsid w:val="001B1DA0"/>
    <w:rsid w:val="001B7DF9"/>
    <w:rsid w:val="001E06E6"/>
    <w:rsid w:val="002A348D"/>
    <w:rsid w:val="002D62F3"/>
    <w:rsid w:val="003263A3"/>
    <w:rsid w:val="00376175"/>
    <w:rsid w:val="003F6B19"/>
    <w:rsid w:val="004B356E"/>
    <w:rsid w:val="0051531C"/>
    <w:rsid w:val="005670C6"/>
    <w:rsid w:val="00573000"/>
    <w:rsid w:val="00593653"/>
    <w:rsid w:val="007D344F"/>
    <w:rsid w:val="008006C3"/>
    <w:rsid w:val="008527C5"/>
    <w:rsid w:val="008D3444"/>
    <w:rsid w:val="00903793"/>
    <w:rsid w:val="009B430B"/>
    <w:rsid w:val="009F16DF"/>
    <w:rsid w:val="00AB65D2"/>
    <w:rsid w:val="00C13AA1"/>
    <w:rsid w:val="00C929DE"/>
    <w:rsid w:val="00CA0843"/>
    <w:rsid w:val="00CD27F6"/>
    <w:rsid w:val="00D25015"/>
    <w:rsid w:val="00D35C15"/>
    <w:rsid w:val="00D40CFC"/>
    <w:rsid w:val="00DA5C5E"/>
    <w:rsid w:val="00EA0EC1"/>
    <w:rsid w:val="00EB6B43"/>
    <w:rsid w:val="00ED5265"/>
    <w:rsid w:val="00F01E32"/>
    <w:rsid w:val="00F11765"/>
    <w:rsid w:val="00F36238"/>
    <w:rsid w:val="00F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8E77C-6054-496B-B6AF-7E6EDD09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E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6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70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1</vt:lpstr>
    </vt:vector>
  </TitlesOfParts>
  <Company>Home</Company>
  <LinksUpToDate>false</LinksUpToDate>
  <CharactersWithSpaces>27609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User</dc:creator>
  <cp:keywords/>
  <dc:description/>
  <cp:lastModifiedBy>Irina</cp:lastModifiedBy>
  <cp:revision>2</cp:revision>
  <cp:lastPrinted>2009-05-01T18:46:00Z</cp:lastPrinted>
  <dcterms:created xsi:type="dcterms:W3CDTF">2014-10-31T05:39:00Z</dcterms:created>
  <dcterms:modified xsi:type="dcterms:W3CDTF">2014-10-31T05:39:00Z</dcterms:modified>
</cp:coreProperties>
</file>