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7B" w:rsidRPr="00A77054" w:rsidRDefault="00D1607B" w:rsidP="00A77054">
      <w:pPr>
        <w:spacing w:line="360" w:lineRule="auto"/>
        <w:ind w:firstLine="709"/>
        <w:jc w:val="center"/>
        <w:rPr>
          <w:sz w:val="28"/>
          <w:szCs w:val="32"/>
        </w:rPr>
      </w:pPr>
      <w:r w:rsidRPr="00A77054">
        <w:rPr>
          <w:sz w:val="28"/>
          <w:szCs w:val="32"/>
        </w:rPr>
        <w:t>Министерство образования Российской Федерации</w:t>
      </w:r>
    </w:p>
    <w:p w:rsidR="00D1607B" w:rsidRPr="00A77054" w:rsidRDefault="00D1607B" w:rsidP="00A77054">
      <w:pPr>
        <w:spacing w:line="360" w:lineRule="auto"/>
        <w:ind w:firstLine="709"/>
        <w:jc w:val="center"/>
        <w:rPr>
          <w:sz w:val="28"/>
          <w:szCs w:val="32"/>
        </w:rPr>
      </w:pPr>
      <w:r w:rsidRPr="00A77054">
        <w:rPr>
          <w:sz w:val="28"/>
          <w:szCs w:val="32"/>
        </w:rPr>
        <w:t>Пензенский Государственный Университет</w:t>
      </w:r>
    </w:p>
    <w:p w:rsidR="00D1607B" w:rsidRPr="00A77054" w:rsidRDefault="00D1607B" w:rsidP="00A77054">
      <w:pPr>
        <w:spacing w:line="360" w:lineRule="auto"/>
        <w:ind w:firstLine="709"/>
        <w:jc w:val="center"/>
        <w:rPr>
          <w:sz w:val="28"/>
          <w:szCs w:val="32"/>
        </w:rPr>
      </w:pPr>
      <w:r w:rsidRPr="00A77054">
        <w:rPr>
          <w:sz w:val="28"/>
          <w:szCs w:val="32"/>
        </w:rPr>
        <w:t>Медицинский Институт</w:t>
      </w:r>
    </w:p>
    <w:p w:rsidR="00D1607B" w:rsidRPr="00A77054" w:rsidRDefault="00D1607B" w:rsidP="00A77054">
      <w:pPr>
        <w:spacing w:line="360" w:lineRule="auto"/>
        <w:ind w:firstLine="709"/>
        <w:jc w:val="center"/>
        <w:rPr>
          <w:sz w:val="28"/>
          <w:szCs w:val="32"/>
        </w:rPr>
      </w:pPr>
    </w:p>
    <w:p w:rsidR="00D1607B" w:rsidRPr="00A77054" w:rsidRDefault="00D1607B" w:rsidP="00A77054">
      <w:pPr>
        <w:spacing w:line="360" w:lineRule="auto"/>
        <w:ind w:firstLine="709"/>
        <w:jc w:val="center"/>
        <w:outlineLvl w:val="0"/>
        <w:rPr>
          <w:sz w:val="28"/>
          <w:szCs w:val="32"/>
        </w:rPr>
      </w:pPr>
      <w:r w:rsidRPr="00A77054">
        <w:rPr>
          <w:sz w:val="28"/>
          <w:szCs w:val="32"/>
        </w:rPr>
        <w:t>Кафедра Хирургии</w:t>
      </w:r>
    </w:p>
    <w:p w:rsidR="00D1607B" w:rsidRPr="00A77054" w:rsidRDefault="00D1607B" w:rsidP="00A77054">
      <w:pPr>
        <w:spacing w:line="360" w:lineRule="auto"/>
        <w:ind w:firstLine="709"/>
        <w:jc w:val="center"/>
        <w:rPr>
          <w:sz w:val="28"/>
          <w:szCs w:val="28"/>
        </w:rPr>
      </w:pPr>
    </w:p>
    <w:p w:rsidR="00D1607B" w:rsidRPr="00A77054" w:rsidRDefault="00D1607B" w:rsidP="00A77054">
      <w:pPr>
        <w:spacing w:line="360" w:lineRule="auto"/>
        <w:ind w:firstLine="709"/>
        <w:jc w:val="center"/>
        <w:rPr>
          <w:sz w:val="28"/>
          <w:szCs w:val="28"/>
        </w:rPr>
      </w:pPr>
    </w:p>
    <w:p w:rsidR="00D1607B" w:rsidRPr="00A77054" w:rsidRDefault="00D1607B" w:rsidP="00A77054">
      <w:pPr>
        <w:spacing w:line="360" w:lineRule="auto"/>
        <w:ind w:firstLine="709"/>
        <w:jc w:val="center"/>
        <w:rPr>
          <w:sz w:val="28"/>
          <w:szCs w:val="28"/>
        </w:rPr>
      </w:pPr>
    </w:p>
    <w:p w:rsidR="00D1607B" w:rsidRPr="00A77054" w:rsidRDefault="00D1607B" w:rsidP="00A77054">
      <w:pPr>
        <w:spacing w:line="360" w:lineRule="auto"/>
        <w:ind w:firstLine="709"/>
        <w:jc w:val="center"/>
        <w:rPr>
          <w:sz w:val="28"/>
          <w:szCs w:val="28"/>
        </w:rPr>
      </w:pPr>
    </w:p>
    <w:p w:rsidR="00D1607B" w:rsidRPr="00A77054" w:rsidRDefault="00D1607B" w:rsidP="00A77054">
      <w:pPr>
        <w:spacing w:line="360" w:lineRule="auto"/>
        <w:ind w:firstLine="709"/>
        <w:jc w:val="center"/>
        <w:rPr>
          <w:sz w:val="28"/>
          <w:szCs w:val="28"/>
        </w:rPr>
      </w:pPr>
    </w:p>
    <w:p w:rsidR="00A77054" w:rsidRPr="00A77054" w:rsidRDefault="00A77054" w:rsidP="00A77054">
      <w:pPr>
        <w:spacing w:line="360" w:lineRule="auto"/>
        <w:ind w:firstLine="709"/>
        <w:jc w:val="center"/>
        <w:rPr>
          <w:sz w:val="28"/>
          <w:szCs w:val="36"/>
        </w:rPr>
      </w:pPr>
    </w:p>
    <w:p w:rsidR="00A77054" w:rsidRPr="00A77054" w:rsidRDefault="00A77054" w:rsidP="00A77054">
      <w:pPr>
        <w:spacing w:line="360" w:lineRule="auto"/>
        <w:ind w:firstLine="709"/>
        <w:jc w:val="center"/>
        <w:rPr>
          <w:sz w:val="28"/>
          <w:szCs w:val="36"/>
        </w:rPr>
      </w:pPr>
    </w:p>
    <w:p w:rsidR="00F80CB6" w:rsidRDefault="00F80CB6" w:rsidP="00A77054">
      <w:pPr>
        <w:spacing w:line="360" w:lineRule="auto"/>
        <w:ind w:firstLine="709"/>
        <w:jc w:val="center"/>
        <w:rPr>
          <w:sz w:val="28"/>
          <w:szCs w:val="36"/>
        </w:rPr>
      </w:pPr>
    </w:p>
    <w:p w:rsidR="00F80CB6" w:rsidRDefault="00F80CB6" w:rsidP="00A77054">
      <w:pPr>
        <w:spacing w:line="360" w:lineRule="auto"/>
        <w:ind w:firstLine="709"/>
        <w:jc w:val="center"/>
        <w:rPr>
          <w:sz w:val="28"/>
          <w:szCs w:val="36"/>
        </w:rPr>
      </w:pPr>
    </w:p>
    <w:p w:rsidR="00D1607B" w:rsidRPr="00A77054" w:rsidRDefault="00D1607B" w:rsidP="00A77054">
      <w:pPr>
        <w:spacing w:line="360" w:lineRule="auto"/>
        <w:ind w:firstLine="709"/>
        <w:jc w:val="center"/>
        <w:rPr>
          <w:sz w:val="28"/>
          <w:szCs w:val="36"/>
        </w:rPr>
      </w:pPr>
      <w:r w:rsidRPr="00A77054">
        <w:rPr>
          <w:sz w:val="28"/>
          <w:szCs w:val="36"/>
        </w:rPr>
        <w:t>Реферат</w:t>
      </w:r>
    </w:p>
    <w:p w:rsidR="00D1607B" w:rsidRPr="00A77054" w:rsidRDefault="00D1607B" w:rsidP="00A77054">
      <w:pPr>
        <w:spacing w:line="360" w:lineRule="auto"/>
        <w:ind w:firstLine="709"/>
        <w:jc w:val="center"/>
        <w:rPr>
          <w:sz w:val="28"/>
          <w:szCs w:val="36"/>
        </w:rPr>
      </w:pPr>
      <w:r w:rsidRPr="00A77054">
        <w:rPr>
          <w:sz w:val="28"/>
          <w:szCs w:val="36"/>
        </w:rPr>
        <w:t>на тему:</w:t>
      </w:r>
    </w:p>
    <w:p w:rsidR="00D1607B" w:rsidRPr="00A77054" w:rsidRDefault="00157E51" w:rsidP="00A77054">
      <w:pPr>
        <w:pStyle w:val="2"/>
        <w:spacing w:line="360" w:lineRule="auto"/>
        <w:ind w:left="0" w:firstLine="709"/>
        <w:jc w:val="center"/>
        <w:rPr>
          <w:b w:val="0"/>
          <w:bCs w:val="0"/>
          <w:sz w:val="28"/>
          <w:szCs w:val="36"/>
          <w:highlight w:val="yellow"/>
        </w:rPr>
      </w:pPr>
      <w:r w:rsidRPr="00A77054">
        <w:rPr>
          <w:b w:val="0"/>
          <w:sz w:val="28"/>
          <w:szCs w:val="36"/>
        </w:rPr>
        <w:t>Ранения и травмы</w:t>
      </w:r>
    </w:p>
    <w:p w:rsidR="00D1607B" w:rsidRPr="00A77054" w:rsidRDefault="00D1607B" w:rsidP="00A77054">
      <w:pPr>
        <w:spacing w:line="360" w:lineRule="auto"/>
        <w:ind w:firstLine="709"/>
        <w:jc w:val="center"/>
        <w:rPr>
          <w:sz w:val="28"/>
          <w:szCs w:val="28"/>
        </w:rPr>
      </w:pPr>
    </w:p>
    <w:p w:rsidR="00D1607B" w:rsidRPr="00A77054" w:rsidRDefault="00D1607B" w:rsidP="00A77054">
      <w:pPr>
        <w:spacing w:line="360" w:lineRule="auto"/>
        <w:ind w:firstLine="709"/>
        <w:jc w:val="center"/>
        <w:rPr>
          <w:sz w:val="28"/>
          <w:szCs w:val="28"/>
        </w:rPr>
      </w:pPr>
    </w:p>
    <w:p w:rsidR="00D1607B" w:rsidRPr="00A77054" w:rsidRDefault="00D1607B" w:rsidP="00A77054">
      <w:pPr>
        <w:spacing w:line="360" w:lineRule="auto"/>
        <w:ind w:firstLine="709"/>
        <w:jc w:val="center"/>
        <w:rPr>
          <w:sz w:val="28"/>
          <w:szCs w:val="28"/>
        </w:rPr>
      </w:pPr>
    </w:p>
    <w:p w:rsidR="00A77054" w:rsidRPr="00A77054" w:rsidRDefault="00A77054" w:rsidP="00A77054">
      <w:pPr>
        <w:pStyle w:val="a8"/>
        <w:spacing w:line="360" w:lineRule="auto"/>
        <w:ind w:firstLine="709"/>
        <w:jc w:val="center"/>
        <w:rPr>
          <w:sz w:val="28"/>
          <w:szCs w:val="32"/>
        </w:rPr>
      </w:pPr>
    </w:p>
    <w:p w:rsidR="00A77054" w:rsidRPr="00A77054" w:rsidRDefault="00A77054" w:rsidP="00A77054">
      <w:pPr>
        <w:pStyle w:val="a8"/>
        <w:spacing w:line="360" w:lineRule="auto"/>
        <w:ind w:firstLine="709"/>
        <w:jc w:val="center"/>
        <w:rPr>
          <w:sz w:val="28"/>
          <w:szCs w:val="32"/>
        </w:rPr>
      </w:pPr>
    </w:p>
    <w:p w:rsidR="00A77054" w:rsidRPr="00A77054" w:rsidRDefault="00A77054" w:rsidP="00A77054">
      <w:pPr>
        <w:pStyle w:val="a8"/>
        <w:spacing w:line="360" w:lineRule="auto"/>
        <w:ind w:firstLine="709"/>
        <w:jc w:val="center"/>
        <w:rPr>
          <w:sz w:val="28"/>
          <w:szCs w:val="32"/>
        </w:rPr>
      </w:pPr>
    </w:p>
    <w:p w:rsidR="00A77054" w:rsidRPr="00A77054" w:rsidRDefault="00A77054" w:rsidP="00A77054">
      <w:pPr>
        <w:pStyle w:val="a8"/>
        <w:spacing w:line="360" w:lineRule="auto"/>
        <w:ind w:firstLine="709"/>
        <w:jc w:val="center"/>
        <w:rPr>
          <w:sz w:val="28"/>
          <w:szCs w:val="32"/>
        </w:rPr>
      </w:pPr>
    </w:p>
    <w:p w:rsidR="00A77054" w:rsidRPr="00A77054" w:rsidRDefault="00A77054" w:rsidP="00A77054">
      <w:pPr>
        <w:pStyle w:val="a8"/>
        <w:spacing w:line="360" w:lineRule="auto"/>
        <w:ind w:firstLine="709"/>
        <w:jc w:val="center"/>
        <w:rPr>
          <w:sz w:val="28"/>
          <w:szCs w:val="32"/>
        </w:rPr>
      </w:pPr>
    </w:p>
    <w:p w:rsidR="00A77054" w:rsidRPr="00A77054" w:rsidRDefault="00A77054" w:rsidP="00A77054">
      <w:pPr>
        <w:pStyle w:val="a8"/>
        <w:spacing w:line="360" w:lineRule="auto"/>
        <w:ind w:firstLine="709"/>
        <w:jc w:val="center"/>
        <w:rPr>
          <w:sz w:val="28"/>
          <w:szCs w:val="32"/>
        </w:rPr>
      </w:pPr>
    </w:p>
    <w:p w:rsidR="00A77054" w:rsidRDefault="00A77054" w:rsidP="00A77054">
      <w:pPr>
        <w:pStyle w:val="a8"/>
        <w:spacing w:line="360" w:lineRule="auto"/>
        <w:ind w:firstLine="709"/>
        <w:jc w:val="center"/>
        <w:rPr>
          <w:sz w:val="28"/>
          <w:szCs w:val="32"/>
        </w:rPr>
      </w:pPr>
    </w:p>
    <w:p w:rsidR="00F80CB6" w:rsidRDefault="00F80CB6" w:rsidP="00A77054">
      <w:pPr>
        <w:pStyle w:val="a8"/>
        <w:spacing w:line="360" w:lineRule="auto"/>
        <w:ind w:firstLine="709"/>
        <w:jc w:val="center"/>
        <w:rPr>
          <w:sz w:val="28"/>
          <w:szCs w:val="32"/>
        </w:rPr>
      </w:pPr>
    </w:p>
    <w:p w:rsidR="00F80CB6" w:rsidRPr="00A77054" w:rsidRDefault="00F80CB6" w:rsidP="00A77054">
      <w:pPr>
        <w:pStyle w:val="a8"/>
        <w:spacing w:line="360" w:lineRule="auto"/>
        <w:ind w:firstLine="709"/>
        <w:jc w:val="center"/>
        <w:rPr>
          <w:sz w:val="28"/>
          <w:szCs w:val="32"/>
        </w:rPr>
      </w:pPr>
    </w:p>
    <w:p w:rsidR="00D1607B" w:rsidRPr="00A77054" w:rsidRDefault="00D1607B" w:rsidP="00A77054">
      <w:pPr>
        <w:pStyle w:val="a8"/>
        <w:spacing w:line="360" w:lineRule="auto"/>
        <w:ind w:firstLine="709"/>
        <w:jc w:val="center"/>
        <w:rPr>
          <w:sz w:val="28"/>
          <w:szCs w:val="32"/>
        </w:rPr>
      </w:pPr>
      <w:r w:rsidRPr="00A77054">
        <w:rPr>
          <w:sz w:val="28"/>
          <w:szCs w:val="32"/>
        </w:rPr>
        <w:t>Пенза</w:t>
      </w:r>
      <w:r w:rsidR="00A77054" w:rsidRPr="00A77054">
        <w:rPr>
          <w:sz w:val="28"/>
          <w:szCs w:val="32"/>
        </w:rPr>
        <w:t xml:space="preserve"> </w:t>
      </w:r>
      <w:r w:rsidRPr="00A77054">
        <w:rPr>
          <w:sz w:val="28"/>
          <w:szCs w:val="32"/>
        </w:rPr>
        <w:t>2008</w:t>
      </w:r>
    </w:p>
    <w:p w:rsidR="00D1607B" w:rsidRPr="00A77054" w:rsidRDefault="00A77054" w:rsidP="00A77054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77054">
        <w:rPr>
          <w:rFonts w:ascii="Times New Roman" w:hAnsi="Times New Roman" w:cs="Times New Roman"/>
          <w:b w:val="0"/>
          <w:sz w:val="28"/>
        </w:rPr>
        <w:br w:type="page"/>
      </w:r>
      <w:r w:rsidR="00D1607B" w:rsidRPr="00A77054">
        <w:rPr>
          <w:rFonts w:ascii="Times New Roman" w:hAnsi="Times New Roman" w:cs="Times New Roman"/>
          <w:sz w:val="28"/>
        </w:rPr>
        <w:t>План</w:t>
      </w:r>
    </w:p>
    <w:p w:rsidR="00A77054" w:rsidRPr="00A77054" w:rsidRDefault="00A77054" w:rsidP="00A77054">
      <w:pPr>
        <w:tabs>
          <w:tab w:val="left" w:pos="540"/>
        </w:tabs>
        <w:spacing w:line="360" w:lineRule="auto"/>
        <w:rPr>
          <w:sz w:val="28"/>
          <w:szCs w:val="28"/>
        </w:rPr>
      </w:pPr>
    </w:p>
    <w:p w:rsidR="00D1607B" w:rsidRPr="00A77054" w:rsidRDefault="00D1607B" w:rsidP="00A77054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77054">
        <w:rPr>
          <w:sz w:val="28"/>
          <w:szCs w:val="28"/>
        </w:rPr>
        <w:t>Введение</w:t>
      </w:r>
    </w:p>
    <w:p w:rsidR="00D1607B" w:rsidRPr="00A77054" w:rsidRDefault="00157E51" w:rsidP="00A77054">
      <w:pPr>
        <w:widowControl w:val="0"/>
        <w:numPr>
          <w:ilvl w:val="0"/>
          <w:numId w:val="13"/>
        </w:numPr>
        <w:tabs>
          <w:tab w:val="left" w:pos="540"/>
          <w:tab w:val="num" w:pos="16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A77054">
        <w:rPr>
          <w:sz w:val="28"/>
          <w:szCs w:val="28"/>
        </w:rPr>
        <w:t>Этиоп</w:t>
      </w:r>
      <w:r w:rsidR="00D1607B" w:rsidRPr="00A77054">
        <w:rPr>
          <w:sz w:val="28"/>
          <w:szCs w:val="28"/>
        </w:rPr>
        <w:t>атогенез</w:t>
      </w:r>
    </w:p>
    <w:p w:rsidR="00D1607B" w:rsidRPr="00A77054" w:rsidRDefault="00157E51" w:rsidP="00A77054">
      <w:pPr>
        <w:widowControl w:val="0"/>
        <w:numPr>
          <w:ilvl w:val="0"/>
          <w:numId w:val="13"/>
        </w:numPr>
        <w:tabs>
          <w:tab w:val="left" w:pos="540"/>
          <w:tab w:val="num" w:pos="16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A77054">
        <w:rPr>
          <w:sz w:val="28"/>
          <w:szCs w:val="28"/>
        </w:rPr>
        <w:t>Фазы перитонита</w:t>
      </w:r>
    </w:p>
    <w:p w:rsidR="00D1607B" w:rsidRPr="00A77054" w:rsidRDefault="00157E51" w:rsidP="00A77054">
      <w:pPr>
        <w:widowControl w:val="0"/>
        <w:numPr>
          <w:ilvl w:val="0"/>
          <w:numId w:val="13"/>
        </w:numPr>
        <w:tabs>
          <w:tab w:val="left" w:pos="540"/>
          <w:tab w:val="num" w:pos="16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A77054">
        <w:rPr>
          <w:sz w:val="28"/>
          <w:szCs w:val="28"/>
        </w:rPr>
        <w:t>Лечение</w:t>
      </w:r>
    </w:p>
    <w:p w:rsidR="00D1607B" w:rsidRPr="00A77054" w:rsidRDefault="00D1607B" w:rsidP="00A77054">
      <w:pPr>
        <w:widowControl w:val="0"/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A77054">
        <w:rPr>
          <w:sz w:val="28"/>
          <w:szCs w:val="28"/>
        </w:rPr>
        <w:t>Литература</w:t>
      </w:r>
    </w:p>
    <w:p w:rsidR="00D1607B" w:rsidRPr="00A77054" w:rsidRDefault="00D1607B" w:rsidP="00A77054">
      <w:pPr>
        <w:pStyle w:val="3"/>
        <w:spacing w:line="360" w:lineRule="auto"/>
        <w:ind w:firstLine="709"/>
        <w:jc w:val="both"/>
        <w:rPr>
          <w:b w:val="0"/>
          <w:bCs w:val="0"/>
          <w:szCs w:val="28"/>
        </w:rPr>
      </w:pPr>
    </w:p>
    <w:p w:rsidR="00D90591" w:rsidRPr="00A77054" w:rsidRDefault="00A77054" w:rsidP="00A77054">
      <w:pPr>
        <w:pStyle w:val="3"/>
        <w:spacing w:line="360" w:lineRule="auto"/>
        <w:ind w:firstLine="709"/>
        <w:jc w:val="both"/>
        <w:rPr>
          <w:bCs w:val="0"/>
          <w:szCs w:val="32"/>
        </w:rPr>
      </w:pPr>
      <w:r>
        <w:rPr>
          <w:b w:val="0"/>
          <w:bCs w:val="0"/>
          <w:szCs w:val="32"/>
        </w:rPr>
        <w:br w:type="page"/>
      </w:r>
      <w:r w:rsidR="00157E51" w:rsidRPr="00A77054">
        <w:rPr>
          <w:bCs w:val="0"/>
          <w:szCs w:val="32"/>
        </w:rPr>
        <w:t>Введение</w:t>
      </w:r>
    </w:p>
    <w:p w:rsidR="00A77054" w:rsidRPr="00A77054" w:rsidRDefault="00A77054" w:rsidP="00A77054">
      <w:pPr>
        <w:spacing w:line="360" w:lineRule="auto"/>
        <w:rPr>
          <w:sz w:val="28"/>
          <w:szCs w:val="28"/>
        </w:rPr>
      </w:pP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>Огнестрельные ранения живота и таза с повреждением органов брюшной полости являются одними из наиболее тяжелых видов патологии. Они обычно сопровождаются массивной кровопотерей, шоком и часто приводят к развитию перитонита и других гнойно-септических осложнений.</w:t>
      </w:r>
    </w:p>
    <w:p w:rsidR="00157E51" w:rsidRPr="001178AB" w:rsidRDefault="001178AB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br w:type="page"/>
      </w:r>
      <w:r w:rsidR="00157E51" w:rsidRPr="001178AB">
        <w:rPr>
          <w:rFonts w:ascii="Times New Roman" w:hAnsi="Times New Roman" w:cs="Times New Roman"/>
          <w:b/>
          <w:sz w:val="28"/>
          <w:szCs w:val="32"/>
        </w:rPr>
        <w:t>1. Этиопатогенез</w:t>
      </w:r>
    </w:p>
    <w:p w:rsidR="001178AB" w:rsidRPr="00A77054" w:rsidRDefault="001178AB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32"/>
        </w:rPr>
      </w:pP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>В основе этиопатогенеза раневого перитонита лежат ранения полых органов; повреждения желудочно-кишечного тракта за пределами раневого канала, обусловленные общей и регионарной гипоксией; нарушения функции жизненно важных органов и систем организма, вызванные шоком; микробное загрязнение брюшной полости, бактериальный спектр которого во многом определяется уровнем повреждения желудочно-кишечного тракта.</w:t>
      </w: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>Патогенетическая концепция перитонита вообще, в том числе и у раненных в живот, рассматривает его как самостоятельный патологический процесс, имеющий свою фазную программу развития. Сущность ее определяется выраженностью эндотоксикоза, как ведущего звена патогенеза, с одной стороны, и эффективностью защитно-компенсаторных механизмов - с другой.</w:t>
      </w: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>Под эндотоксикозом в настоящее время понимают сложное многофакторное явление, связанное с наличием неустраненных источников интоксикации, циркуляцией токсических продуктов в крови и лимфе, а также факторов, возникающих вследствие воздействия токсинов на различные органы и ткани.</w:t>
      </w:r>
    </w:p>
    <w:p w:rsidR="00D90591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 xml:space="preserve">Патофизиологические изменения при перитоните представляют собой сложную цепь функциональных и морфологических изменений отдельных органов, систем и организма в целом. Существенную роль в патогенезе заболевания играют гиперфункция гормонального аппарата организма и рефлекторный выброс ряда биологически активных веществ (кининов, биогенных аминов и др.). Они приводят к увеличению проницаемости капилляров, образованию воспалительного экссудата в брюшной полости. В результате расстройства системы регуляции происходят изменения микроциркуляции, реологических свойств крови, органного кровотока. Циркуляторные и </w:t>
      </w:r>
      <w:r w:rsidR="00DB4D20" w:rsidRPr="00A77054">
        <w:rPr>
          <w:rFonts w:ascii="Times New Roman" w:hAnsi="Times New Roman" w:cs="Times New Roman"/>
          <w:sz w:val="28"/>
          <w:szCs w:val="28"/>
        </w:rPr>
        <w:t>нейроэндокринные</w:t>
      </w:r>
      <w:r w:rsidRPr="00A77054">
        <w:rPr>
          <w:rFonts w:ascii="Times New Roman" w:hAnsi="Times New Roman" w:cs="Times New Roman"/>
          <w:sz w:val="28"/>
          <w:szCs w:val="28"/>
        </w:rPr>
        <w:t xml:space="preserve"> нарушения, взаимно дополняя и усугубляя друг друга, способствуют развитию тканевой гипоксии и расстройств деятельности ферментных систем. Вследствие этого резко меняется характер обменных процессов, возникают нарушения белкового, углеводного, жирового и других видов обмена. Сдвиги в водно-электролитном балансе усугубляются снижением резорбции жидкости в желудочно-кишечном тракте, значительной потерей крови и плазмы путем транссудации и экссудации в ткани организма, в брюшную полость и просвет кишечника, выключением из активной циркуляции части крови вследствие депонирования и секвестрирования в потерявших тонус метартериолах и расширенных капиллярах.</w:t>
      </w:r>
    </w:p>
    <w:p w:rsidR="00DB4D20" w:rsidRPr="00A77054" w:rsidRDefault="00DB4D20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57E51" w:rsidRPr="00DB4D20" w:rsidRDefault="00157E5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32"/>
        </w:rPr>
      </w:pPr>
      <w:r w:rsidRPr="00DB4D20">
        <w:rPr>
          <w:rFonts w:ascii="Times New Roman" w:hAnsi="Times New Roman" w:cs="Times New Roman"/>
          <w:b/>
          <w:sz w:val="28"/>
          <w:szCs w:val="32"/>
        </w:rPr>
        <w:t>2. Фазы перитонита</w:t>
      </w:r>
    </w:p>
    <w:p w:rsidR="00DB4D20" w:rsidRDefault="00DB4D20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 xml:space="preserve">В </w:t>
      </w:r>
      <w:r w:rsidRPr="00A77054">
        <w:rPr>
          <w:rFonts w:ascii="Times New Roman" w:hAnsi="Times New Roman" w:cs="Times New Roman"/>
          <w:iCs/>
          <w:sz w:val="28"/>
          <w:szCs w:val="28"/>
        </w:rPr>
        <w:t>реактивной фазе</w:t>
      </w:r>
      <w:r w:rsidRPr="00A77054">
        <w:rPr>
          <w:rFonts w:ascii="Times New Roman" w:hAnsi="Times New Roman" w:cs="Times New Roman"/>
          <w:sz w:val="28"/>
          <w:szCs w:val="28"/>
        </w:rPr>
        <w:t xml:space="preserve"> перитонита основным источником токсинов является воспаленная париетальная брюшина. Максимальная мобилизация защитно-компенсаторных механизмов при этом (резкое снижение резорбтивной функции брюшины, увеличение детоксикационной способности печени, стимуляция иммунных механизмов защиты, гиперкинетический режим кровообращения) позволяет организму справиться с эндогенной интоксикацией. Степень выраженности и эффективности реакций компенсации во многом определяется тяжестью шока и величиной кровопотери, полноценностью и своевременностью проведения противошоковой терапии, наличием у раненого сопутствующих заболеваний.</w:t>
      </w: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 xml:space="preserve">Патогенетическая сущность перехода к </w:t>
      </w:r>
      <w:r w:rsidRPr="00A77054">
        <w:rPr>
          <w:rFonts w:ascii="Times New Roman" w:hAnsi="Times New Roman" w:cs="Times New Roman"/>
          <w:iCs/>
          <w:sz w:val="28"/>
          <w:szCs w:val="28"/>
        </w:rPr>
        <w:t>токсической фазе</w:t>
      </w:r>
      <w:r w:rsidRPr="00A77054">
        <w:rPr>
          <w:rFonts w:ascii="Times New Roman" w:hAnsi="Times New Roman" w:cs="Times New Roman"/>
          <w:sz w:val="28"/>
          <w:szCs w:val="28"/>
        </w:rPr>
        <w:t xml:space="preserve"> перитонита состоит в прорыве биологических барьеров, сдерживающих эндогенную интоксикацию (брюшина, стенка полых органов живота). Создаются условия для поступления в кровоток токсических продуктов воспалительной деструкции из экссудата, скапливающегося в брюшной полости, и продуктов нарушенного полостного и пристеночного пищеварения из тонкой кишки. Развивается яркая клиническая картина синдрома эндогенной интоксикации, которая носит универсальный характер и не зависит от источника перитонита.</w:t>
      </w: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iCs/>
          <w:sz w:val="28"/>
          <w:szCs w:val="28"/>
        </w:rPr>
        <w:t>Терминальная фаза</w:t>
      </w:r>
      <w:r w:rsidRPr="00A77054">
        <w:rPr>
          <w:rFonts w:ascii="Times New Roman" w:hAnsi="Times New Roman" w:cs="Times New Roman"/>
          <w:sz w:val="28"/>
          <w:szCs w:val="28"/>
        </w:rPr>
        <w:t xml:space="preserve"> перитонита характеризуется распространением тяжелых метаболических расстройств на тканевой уровень, резким снижением эффективности либо полной несостоятельностью защитно-компенсаторных механизмов. Нарушенный клеточный метаболизм обусловливает появление новой волны интоксикации. Порочный круг «патологической программы» замыкается, процесс приобретает непредсказуемый аутокаталитический характер. Источник перитонита при этом уже не имеет большого значения.</w:t>
      </w: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>Важнейшая задача при проведении интенсивной терапии раненым этой категории заключается в том, чтобы прервать реализацию программы воспаления в период ее первичного формирования.</w:t>
      </w: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>С этих позиций, оперативное вмешательство, в ходе которого производят остановку кровотечения и устраняют источники перитонита, является важной, но все же лишь составной частью комплексного лечения таких раненых. Чрезвычайно большое значение имеет правильное построение всей программы лечения. Некачественная терапия до, во время и особенно после операции не позволяет в значительной степени устранять неблагоприятные проявления стресс-реакции организма на травму. В результате остаются нарушения микроциркуляции, хуже идет синтез белков, меньше образуется пластического материала, ниже сопротивляемость организма, больше вероятность развития несостоятельности анастомозов и неблагоприятного течения травматической болезни.</w:t>
      </w:r>
    </w:p>
    <w:p w:rsidR="00DB4D20" w:rsidRDefault="00DB4D20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32"/>
        </w:rPr>
      </w:pPr>
    </w:p>
    <w:p w:rsidR="00157E51" w:rsidRPr="00DB4D20" w:rsidRDefault="00157E5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32"/>
        </w:rPr>
      </w:pPr>
      <w:r w:rsidRPr="00DB4D20">
        <w:rPr>
          <w:rFonts w:ascii="Times New Roman" w:hAnsi="Times New Roman" w:cs="Times New Roman"/>
          <w:b/>
          <w:sz w:val="28"/>
          <w:szCs w:val="32"/>
        </w:rPr>
        <w:t>3. Лечение</w:t>
      </w:r>
    </w:p>
    <w:p w:rsidR="00DB4D20" w:rsidRDefault="00DB4D20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6798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 xml:space="preserve">В </w:t>
      </w:r>
      <w:r w:rsidR="00E16798">
        <w:rPr>
          <w:rFonts w:ascii="Times New Roman" w:hAnsi="Times New Roman" w:cs="Times New Roman"/>
          <w:sz w:val="28"/>
          <w:szCs w:val="28"/>
        </w:rPr>
        <w:t>целом интенсивная терапия ранен</w:t>
      </w:r>
      <w:r w:rsidRPr="00A77054">
        <w:rPr>
          <w:rFonts w:ascii="Times New Roman" w:hAnsi="Times New Roman" w:cs="Times New Roman"/>
          <w:sz w:val="28"/>
          <w:szCs w:val="28"/>
        </w:rPr>
        <w:t>ых в живот в послеоперационном периоде должна включать следующие компоненты: адекватное обезболивание; коррекцию водно-электролитного обмена; снижение уровня избыточного катаболизма; обеспечение организма энергетическими и пластическими материалами для долговременной компенсации; предупреждение и лечение пареза кишечника; удаление токсинов из внутренних сред организма (кровь, лимфа); химиопрофилактику и лечение раневой инфекции; пр</w:t>
      </w:r>
      <w:r w:rsidR="00E16798">
        <w:rPr>
          <w:rFonts w:ascii="Times New Roman" w:hAnsi="Times New Roman" w:cs="Times New Roman"/>
          <w:sz w:val="28"/>
          <w:szCs w:val="28"/>
        </w:rPr>
        <w:t>офилактику легочных осложнений.</w:t>
      </w: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>Ее конкретное содержание во многом определяется фазой перитонита, а также локализацией и характером повреждений в брюшной полости.</w:t>
      </w: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 xml:space="preserve">При </w:t>
      </w:r>
      <w:r w:rsidRPr="00A77054">
        <w:rPr>
          <w:rFonts w:ascii="Times New Roman" w:hAnsi="Times New Roman" w:cs="Times New Roman"/>
          <w:iCs/>
          <w:sz w:val="28"/>
          <w:szCs w:val="28"/>
        </w:rPr>
        <w:t>ранениях толстой кишки</w:t>
      </w:r>
      <w:r w:rsidRPr="00A77054">
        <w:rPr>
          <w:rFonts w:ascii="Times New Roman" w:hAnsi="Times New Roman" w:cs="Times New Roman"/>
          <w:sz w:val="28"/>
          <w:szCs w:val="28"/>
        </w:rPr>
        <w:t xml:space="preserve"> (за исключением краевых), изолированных или сочетающихся с повреждениями других органов, когда происходит обсеменение брюшины патогенной флорой и когда вероятность неблагоприятного течения послеоперационного периода весьма высока, независимо от срока с момента ранения до поступления раненого в лечебное учреждение и фазы перитонита, целесообразно прибегать не только к традиционным (инфузионно-трансфузионная терапия, парентеральное питание, антибиотикотерапия), но и к более сложным методам интенсивной терапии - экстракорпоральной детоксикации, ГБО, внутриартериальным ин</w:t>
      </w:r>
      <w:r w:rsidR="00157E51" w:rsidRPr="00A77054">
        <w:rPr>
          <w:rFonts w:ascii="Times New Roman" w:hAnsi="Times New Roman" w:cs="Times New Roman"/>
          <w:sz w:val="28"/>
          <w:szCs w:val="28"/>
        </w:rPr>
        <w:t>фузиям (табл. 1</w:t>
      </w:r>
      <w:r w:rsidRPr="00A77054">
        <w:rPr>
          <w:rFonts w:ascii="Times New Roman" w:hAnsi="Times New Roman" w:cs="Times New Roman"/>
          <w:sz w:val="28"/>
          <w:szCs w:val="28"/>
        </w:rPr>
        <w:t>).</w:t>
      </w:r>
    </w:p>
    <w:p w:rsidR="00E16798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>Инфузионно-трансфузионную терапию при этом направляют на дальнейшее количественное и качественное восполнение кровопотери, профилактику и коррекцию нарушений водно-электролитного баланса и кислотно-основного со</w:t>
      </w:r>
      <w:r w:rsidR="00E16798">
        <w:rPr>
          <w:rFonts w:ascii="Times New Roman" w:hAnsi="Times New Roman" w:cs="Times New Roman"/>
          <w:sz w:val="28"/>
          <w:szCs w:val="28"/>
        </w:rPr>
        <w:t>стояния.</w:t>
      </w:r>
    </w:p>
    <w:p w:rsidR="00E16798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>Обычно в течение суток переливают 4-</w:t>
      </w:r>
      <w:smartTag w:uri="urn:schemas-microsoft-com:office:smarttags" w:element="metricconverter">
        <w:smartTagPr>
          <w:attr w:name="ProductID" w:val="6 л"/>
        </w:smartTagPr>
        <w:r w:rsidRPr="00A77054">
          <w:rPr>
            <w:rFonts w:ascii="Times New Roman" w:hAnsi="Times New Roman" w:cs="Times New Roman"/>
            <w:sz w:val="28"/>
            <w:szCs w:val="28"/>
          </w:rPr>
          <w:t>6 л</w:t>
        </w:r>
      </w:smartTag>
      <w:r w:rsidRPr="00A77054">
        <w:rPr>
          <w:rFonts w:ascii="Times New Roman" w:hAnsi="Times New Roman" w:cs="Times New Roman"/>
          <w:sz w:val="28"/>
          <w:szCs w:val="28"/>
        </w:rPr>
        <w:t xml:space="preserve"> жидкостей, включая 0,8-</w:t>
      </w:r>
      <w:smartTag w:uri="urn:schemas-microsoft-com:office:smarttags" w:element="metricconverter">
        <w:smartTagPr>
          <w:attr w:name="ProductID" w:val="1,0 л"/>
        </w:smartTagPr>
        <w:r w:rsidRPr="00A77054">
          <w:rPr>
            <w:rFonts w:ascii="Times New Roman" w:hAnsi="Times New Roman" w:cs="Times New Roman"/>
            <w:sz w:val="28"/>
            <w:szCs w:val="28"/>
          </w:rPr>
          <w:t>1,0 л</w:t>
        </w:r>
      </w:smartTag>
      <w:r w:rsidRPr="00A77054">
        <w:rPr>
          <w:rFonts w:ascii="Times New Roman" w:hAnsi="Times New Roman" w:cs="Times New Roman"/>
          <w:sz w:val="28"/>
          <w:szCs w:val="28"/>
        </w:rPr>
        <w:t xml:space="preserve"> растворов онкотически активных веществ (альбумин, плазма, коллоидные кровезаменители), изоосмоляльные растворы (0,8-</w:t>
      </w:r>
      <w:smartTag w:uri="urn:schemas-microsoft-com:office:smarttags" w:element="metricconverter">
        <w:smartTagPr>
          <w:attr w:name="ProductID" w:val="1,2 л"/>
        </w:smartTagPr>
        <w:r w:rsidRPr="00A77054">
          <w:rPr>
            <w:rFonts w:ascii="Times New Roman" w:hAnsi="Times New Roman" w:cs="Times New Roman"/>
            <w:sz w:val="28"/>
            <w:szCs w:val="28"/>
          </w:rPr>
          <w:t>1,2 л</w:t>
        </w:r>
      </w:smartTag>
      <w:r w:rsidRPr="00A77054">
        <w:rPr>
          <w:rFonts w:ascii="Times New Roman" w:hAnsi="Times New Roman" w:cs="Times New Roman"/>
          <w:sz w:val="28"/>
          <w:szCs w:val="28"/>
        </w:rPr>
        <w:t>) и концентрированные растворы глюкозы (1,2-</w:t>
      </w:r>
      <w:smartTag w:uri="urn:schemas-microsoft-com:office:smarttags" w:element="metricconverter">
        <w:smartTagPr>
          <w:attr w:name="ProductID" w:val="1,6 л"/>
        </w:smartTagPr>
        <w:r w:rsidRPr="00A77054">
          <w:rPr>
            <w:rFonts w:ascii="Times New Roman" w:hAnsi="Times New Roman" w:cs="Times New Roman"/>
            <w:sz w:val="28"/>
            <w:szCs w:val="28"/>
          </w:rPr>
          <w:t>1,6 л</w:t>
        </w:r>
      </w:smartTag>
      <w:r w:rsidR="00E16798">
        <w:rPr>
          <w:rFonts w:ascii="Times New Roman" w:hAnsi="Times New Roman" w:cs="Times New Roman"/>
          <w:sz w:val="28"/>
          <w:szCs w:val="28"/>
        </w:rPr>
        <w:t>).</w:t>
      </w:r>
    </w:p>
    <w:p w:rsidR="00D90591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>При больших потерях желудочно-кишечного содержимого баланс жидкости поддерживают дополнительным назначением изотонических средств, тщательно корригируя наряду с этим электролитный состав плазмы крови, особенно соотношения калия, магния, натрия.</w:t>
      </w:r>
    </w:p>
    <w:p w:rsidR="00D90591" w:rsidRPr="00A77054" w:rsidRDefault="00AC12AB" w:rsidP="00A77054">
      <w:pPr>
        <w:pStyle w:val="a3"/>
        <w:spacing w:line="360" w:lineRule="auto"/>
        <w:ind w:firstLine="709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57E51" w:rsidRPr="00A77054">
        <w:rPr>
          <w:rFonts w:ascii="Times New Roman" w:eastAsia="MS Mincho" w:hAnsi="Times New Roman" w:cs="Times New Roman"/>
          <w:sz w:val="28"/>
          <w:szCs w:val="28"/>
        </w:rPr>
        <w:t>Таблица 1</w:t>
      </w:r>
      <w:r w:rsidR="00E16798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D90591" w:rsidRPr="00A77054">
        <w:rPr>
          <w:rFonts w:ascii="Times New Roman" w:eastAsia="MS Mincho" w:hAnsi="Times New Roman" w:cs="Times New Roman"/>
          <w:sz w:val="28"/>
          <w:szCs w:val="28"/>
        </w:rPr>
        <w:t>Принципиальная схема интенсивной терапии при огнестрельных ранениях</w:t>
      </w:r>
      <w:r w:rsidR="00E1679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90591" w:rsidRPr="00A77054">
        <w:rPr>
          <w:rFonts w:ascii="Times New Roman" w:eastAsia="MS Mincho" w:hAnsi="Times New Roman" w:cs="Times New Roman"/>
          <w:sz w:val="28"/>
          <w:szCs w:val="28"/>
        </w:rPr>
        <w:t>живота с повреждением толстой кишки и поджелудочной железы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9"/>
        <w:gridCol w:w="950"/>
        <w:gridCol w:w="802"/>
        <w:gridCol w:w="802"/>
        <w:gridCol w:w="802"/>
        <w:gridCol w:w="674"/>
      </w:tblGrid>
      <w:tr w:rsidR="00D90591" w:rsidRPr="00E16798" w:rsidTr="00E16798">
        <w:trPr>
          <w:jc w:val="center"/>
        </w:trPr>
        <w:tc>
          <w:tcPr>
            <w:tcW w:w="5328" w:type="dxa"/>
            <w:vMerge w:val="restart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Мероприятия</w:t>
            </w:r>
          </w:p>
        </w:tc>
        <w:tc>
          <w:tcPr>
            <w:tcW w:w="4526" w:type="dxa"/>
            <w:gridSpan w:val="5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Сутки после операции</w:t>
            </w:r>
          </w:p>
        </w:tc>
      </w:tr>
      <w:tr w:rsidR="00D90591" w:rsidRPr="00E16798" w:rsidTr="00E16798">
        <w:trPr>
          <w:jc w:val="center"/>
        </w:trPr>
        <w:tc>
          <w:tcPr>
            <w:tcW w:w="5328" w:type="dxa"/>
            <w:vMerge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</w:p>
        </w:tc>
        <w:tc>
          <w:tcPr>
            <w:tcW w:w="108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746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5</w:t>
            </w:r>
          </w:p>
        </w:tc>
      </w:tr>
      <w:tr w:rsidR="00D90591" w:rsidRPr="00E16798" w:rsidTr="00E16798">
        <w:trPr>
          <w:jc w:val="center"/>
        </w:trPr>
        <w:tc>
          <w:tcPr>
            <w:tcW w:w="5328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1. Инфузионная терапия</w:t>
            </w:r>
          </w:p>
        </w:tc>
        <w:tc>
          <w:tcPr>
            <w:tcW w:w="108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746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</w:tr>
      <w:tr w:rsidR="00D90591" w:rsidRPr="00E16798" w:rsidTr="00E16798">
        <w:trPr>
          <w:jc w:val="center"/>
        </w:trPr>
        <w:tc>
          <w:tcPr>
            <w:tcW w:w="5328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2. Парентеральное питание</w:t>
            </w:r>
          </w:p>
        </w:tc>
        <w:tc>
          <w:tcPr>
            <w:tcW w:w="108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  <w:u w:val="single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  <w:u w:val="single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746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</w:tr>
      <w:tr w:rsidR="00D90591" w:rsidRPr="00E16798" w:rsidTr="00E16798">
        <w:trPr>
          <w:jc w:val="center"/>
        </w:trPr>
        <w:tc>
          <w:tcPr>
            <w:tcW w:w="5328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3. Внутриартериальное введение лекарственных средств</w:t>
            </w:r>
          </w:p>
        </w:tc>
        <w:tc>
          <w:tcPr>
            <w:tcW w:w="108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746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</w:tr>
      <w:tr w:rsidR="00D90591" w:rsidRPr="00E16798" w:rsidTr="00E16798">
        <w:trPr>
          <w:jc w:val="center"/>
        </w:trPr>
        <w:tc>
          <w:tcPr>
            <w:tcW w:w="5328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4. Обезболивание (длительная эпидуральная блокада)</w:t>
            </w:r>
          </w:p>
        </w:tc>
        <w:tc>
          <w:tcPr>
            <w:tcW w:w="108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  <w:u w:val="single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  <w:u w:val="single"/>
              </w:rPr>
              <w:t>+</w:t>
            </w:r>
          </w:p>
        </w:tc>
        <w:tc>
          <w:tcPr>
            <w:tcW w:w="746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  <w:u w:val="single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  <w:u w:val="single"/>
              </w:rPr>
              <w:t>+</w:t>
            </w:r>
          </w:p>
        </w:tc>
      </w:tr>
      <w:tr w:rsidR="00D90591" w:rsidRPr="00E16798" w:rsidTr="00E16798">
        <w:trPr>
          <w:jc w:val="center"/>
        </w:trPr>
        <w:tc>
          <w:tcPr>
            <w:tcW w:w="5328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5. Защита кишки от гипертонуса адренергического отдела нервной системы</w:t>
            </w:r>
          </w:p>
        </w:tc>
        <w:tc>
          <w:tcPr>
            <w:tcW w:w="108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746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  <w:u w:val="single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  <w:u w:val="single"/>
              </w:rPr>
              <w:t>+</w:t>
            </w:r>
          </w:p>
        </w:tc>
      </w:tr>
      <w:tr w:rsidR="00D90591" w:rsidRPr="00E16798" w:rsidTr="00E16798">
        <w:trPr>
          <w:jc w:val="center"/>
        </w:trPr>
        <w:tc>
          <w:tcPr>
            <w:tcW w:w="5328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6. Стимуляция перистальтики</w:t>
            </w:r>
          </w:p>
        </w:tc>
        <w:tc>
          <w:tcPr>
            <w:tcW w:w="108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  <w:u w:val="single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  <w:u w:val="single"/>
              </w:rPr>
              <w:t>+</w:t>
            </w:r>
          </w:p>
        </w:tc>
        <w:tc>
          <w:tcPr>
            <w:tcW w:w="746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  <w:u w:val="single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  <w:u w:val="single"/>
              </w:rPr>
              <w:t>+</w:t>
            </w:r>
          </w:p>
        </w:tc>
      </w:tr>
      <w:tr w:rsidR="00D90591" w:rsidRPr="00E16798" w:rsidTr="00E16798">
        <w:trPr>
          <w:jc w:val="center"/>
        </w:trPr>
        <w:tc>
          <w:tcPr>
            <w:tcW w:w="5328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7. Антибиотикотерапия</w:t>
            </w:r>
          </w:p>
        </w:tc>
        <w:tc>
          <w:tcPr>
            <w:tcW w:w="108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746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</w:tr>
      <w:tr w:rsidR="00D90591" w:rsidRPr="00E16798" w:rsidTr="00E16798">
        <w:trPr>
          <w:jc w:val="center"/>
        </w:trPr>
        <w:tc>
          <w:tcPr>
            <w:tcW w:w="5328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8. Экстракорпоральная детоксикация</w:t>
            </w:r>
          </w:p>
        </w:tc>
        <w:tc>
          <w:tcPr>
            <w:tcW w:w="108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  <w:u w:val="single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  <w:u w:val="single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746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-</w:t>
            </w:r>
          </w:p>
        </w:tc>
      </w:tr>
      <w:tr w:rsidR="00D90591" w:rsidRPr="00E16798" w:rsidTr="00E16798">
        <w:trPr>
          <w:jc w:val="center"/>
        </w:trPr>
        <w:tc>
          <w:tcPr>
            <w:tcW w:w="5328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9. ГБО</w:t>
            </w:r>
          </w:p>
        </w:tc>
        <w:tc>
          <w:tcPr>
            <w:tcW w:w="108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  <w:u w:val="single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  <w:u w:val="single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746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</w:tr>
      <w:tr w:rsidR="00D90591" w:rsidRPr="00E16798" w:rsidTr="00E16798">
        <w:trPr>
          <w:jc w:val="center"/>
        </w:trPr>
        <w:tc>
          <w:tcPr>
            <w:tcW w:w="5328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10. Улучшение текучести крови (гепарин, трентал и пр.)</w:t>
            </w:r>
          </w:p>
        </w:tc>
        <w:tc>
          <w:tcPr>
            <w:tcW w:w="108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  <w:u w:val="single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  <w:u w:val="single"/>
              </w:rPr>
              <w:t>+</w:t>
            </w:r>
          </w:p>
        </w:tc>
        <w:tc>
          <w:tcPr>
            <w:tcW w:w="746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  <w:u w:val="single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  <w:u w:val="single"/>
              </w:rPr>
              <w:t>+</w:t>
            </w:r>
          </w:p>
        </w:tc>
      </w:tr>
      <w:tr w:rsidR="00D90591" w:rsidRPr="00E16798" w:rsidTr="00E16798">
        <w:trPr>
          <w:jc w:val="center"/>
        </w:trPr>
        <w:tc>
          <w:tcPr>
            <w:tcW w:w="5328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11. Профилактика пневмонии</w:t>
            </w:r>
          </w:p>
        </w:tc>
        <w:tc>
          <w:tcPr>
            <w:tcW w:w="108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900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746" w:type="dxa"/>
          </w:tcPr>
          <w:p w:rsidR="00D90591" w:rsidRPr="00E16798" w:rsidRDefault="00D90591" w:rsidP="00E16798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E16798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</w:tr>
    </w:tbl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eastAsia="MS Mincho" w:hAnsi="Times New Roman" w:cs="Times New Roman"/>
          <w:sz w:val="28"/>
          <w:szCs w:val="28"/>
        </w:rPr>
      </w:pP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>Известно, что энергетические затраты у таких раненых составляют не менее 3000—3500 ккал/сут. Компенсировать их внутренними резервами организм не в состоянии. Поэтому восполнение пластических и энергетических ресурсов является важнейшей задачей их интенсивной терапии. Однако аминокислотные смеси следует вводить не ранее чем со вторых суток, когда в значительной степени удается ликвидировать генерализованные нарушения микроциркуляции и кислотно-основного состояния. В остальном парентеральное питание проводят по общеизвестным принципам.</w:t>
      </w: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>Наряду с внутривенным показано использование внутриаортального пути (с установлением кончика катетера на уровне Т</w:t>
      </w:r>
      <w:r w:rsidRPr="00A7705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77054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A77054">
        <w:rPr>
          <w:rFonts w:ascii="Times New Roman" w:hAnsi="Times New Roman" w:cs="Times New Roman"/>
          <w:sz w:val="28"/>
          <w:szCs w:val="28"/>
        </w:rPr>
        <w:t>-Т</w:t>
      </w:r>
      <w:r w:rsidRPr="00A7705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77054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A77054">
        <w:rPr>
          <w:rFonts w:ascii="Times New Roman" w:hAnsi="Times New Roman" w:cs="Times New Roman"/>
          <w:sz w:val="28"/>
          <w:szCs w:val="28"/>
        </w:rPr>
        <w:t>) введения инфузионных и лекарственных средств. Этот метод позволяет соблюдать правильный темп инфузионно-трансфузионной терапии, обеспечивающий оптимальную утилизацию энергетических продуктов, избегать перегрузки правых отделов сердца, а также осуществлять регионарное воздействие на цепь патогенных явлений непосредственно в брюшной полости. Эффективность внутриаортальной инфузии существенно повышается, если применять временное пальцевое прижатие бедренных артерий на 15-20 мин. В таких условиях более 2/3 кровотока брюшной аорты направляется в чревные, тазовые и почечные сосуды. Однако наибольший эффект достигается при селективной катетеризации чревного ствола.</w:t>
      </w: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>Внутриартериально обычно переливают все синтетические коллоидные кровезаменители, а также кристаллоидные растворы. Помимо этого последовательно (во избежание лекарственной несовместимости) вводят различные препараты для снятия спазма мезентериальных и почечных сосудов (но-шпа, 0,25% раствор новокаина по 50-100 мл); улучшения микроциркуляции (трентал 150 мг, гепарин 2,5-5 тыс. ЕД, компламин 2 мл либо никотиновая кислота 0,5-</w:t>
      </w:r>
      <w:smartTag w:uri="urn:schemas-microsoft-com:office:smarttags" w:element="metricconverter">
        <w:smartTagPr>
          <w:attr w:name="ProductID" w:val="1 г"/>
        </w:smartTagPr>
        <w:r w:rsidRPr="00A77054">
          <w:rPr>
            <w:rFonts w:ascii="Times New Roman" w:hAnsi="Times New Roman" w:cs="Times New Roman"/>
            <w:sz w:val="28"/>
            <w:szCs w:val="28"/>
          </w:rPr>
          <w:t>1 г</w:t>
        </w:r>
      </w:smartTag>
      <w:r w:rsidRPr="00A77054">
        <w:rPr>
          <w:rFonts w:ascii="Times New Roman" w:hAnsi="Times New Roman" w:cs="Times New Roman"/>
          <w:sz w:val="28"/>
          <w:szCs w:val="28"/>
        </w:rPr>
        <w:t>); антимикробного действия (антибиотики - обычно аминогликозиды или цефалоспорины в разовой дозе и антисептики - хлорфилипт, диоксидин, метранидазол); подавления протеазной активности (контрикал 10-20 тыс. ЕД). Такое медикаментозное воздействие повторяют 3—4 раза в сутки, что способствует более быстрому восстановлению кишечной моторики и санации инфекционного очага.</w:t>
      </w: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 xml:space="preserve">В токсической и терминальной фазах перитонита наряду с введением антибиотиков внутриаортально показана санация лимфатического дерева путем прямой или непрямой эндолимфатической антибактериальной терапии. Прямую антеградную эндолимфатическую терапию осуществляют через катетер, введенный либо в депульпированный лимфатический узел Пирогова, либо в периферические лимфатические сосуды тыла стопы. Непрямая (лимфотропная) терапия состоит во введении антибиотика в зону, богатую лимфатическими сосудами. Обычно это делают в области средней трети голени. Предварительно рекомендуют искусственно вызвать венозный стаз сдавлением с помощью манжеты аппарата Рива-Роччи нижней части бедра (при давлении не более </w:t>
      </w:r>
      <w:smartTag w:uri="urn:schemas-microsoft-com:office:smarttags" w:element="metricconverter">
        <w:smartTagPr>
          <w:attr w:name="ProductID" w:val="40 мм"/>
        </w:smartTagPr>
        <w:r w:rsidRPr="00A77054">
          <w:rPr>
            <w:rFonts w:ascii="Times New Roman" w:hAnsi="Times New Roman" w:cs="Times New Roman"/>
            <w:sz w:val="28"/>
            <w:szCs w:val="28"/>
          </w:rPr>
          <w:t>40 мм</w:t>
        </w:r>
      </w:smartTag>
      <w:r w:rsidRPr="00A77054">
        <w:rPr>
          <w:rFonts w:ascii="Times New Roman" w:hAnsi="Times New Roman" w:cs="Times New Roman"/>
          <w:sz w:val="28"/>
          <w:szCs w:val="28"/>
        </w:rPr>
        <w:t xml:space="preserve"> рт. ст.). Затем подкожно вводят любой из протеолитических ферментов (лидазу – 8-16 ЕД, химотрипсин 2,5-5 мг, террилитин 15-50 ПЕ), разведенных в 2-3 мл 0,25% раствора новокаина, а через 4-5 мин после первой инъекции на </w:t>
      </w:r>
      <w:smartTag w:uri="urn:schemas-microsoft-com:office:smarttags" w:element="metricconverter">
        <w:smartTagPr>
          <w:attr w:name="ProductID" w:val="0,5 см"/>
        </w:smartTagPr>
        <w:r w:rsidRPr="00A77054">
          <w:rPr>
            <w:rFonts w:ascii="Times New Roman" w:hAnsi="Times New Roman" w:cs="Times New Roman"/>
            <w:sz w:val="28"/>
            <w:szCs w:val="28"/>
          </w:rPr>
          <w:t>0,5 см</w:t>
        </w:r>
      </w:smartTag>
      <w:r w:rsidRPr="00A77054">
        <w:rPr>
          <w:rFonts w:ascii="Times New Roman" w:hAnsi="Times New Roman" w:cs="Times New Roman"/>
          <w:sz w:val="28"/>
          <w:szCs w:val="28"/>
        </w:rPr>
        <w:t xml:space="preserve"> ниже первого места вкола в ферментативный инфильтрат вводят разовую дозу антибиотика. Раздутую манжету оставляют на 2 - 2,5 ч. Сеансы лимфотропной терапии проводят ежедневно в течение 3-7 суток.</w:t>
      </w: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>При проведении антибактериальной терапии в первые дни наиболее широко используют цефалоспорины 2 и 3 поколения с аминогликозидами в максимальных и субмаксимальных дозах. В последующем антибиотики назначают в соответствии с результатами бактериологического исследования экссудата из брюшной полости.</w:t>
      </w: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>С целью обезболивания, улучшения микроциркуляции в системе верхней и нижней брыжеечной артерий, а также уменьшения симпатического влияния на перистальтику кишечника применяют длительную эпидуральную блокаду. Катетеризацию эпидурального пространства производят на уровне Т</w:t>
      </w:r>
      <w:r w:rsidRPr="00A7705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77054">
        <w:rPr>
          <w:rFonts w:ascii="Times New Roman" w:hAnsi="Times New Roman" w:cs="Times New Roman"/>
          <w:sz w:val="28"/>
          <w:szCs w:val="28"/>
          <w:vertAlign w:val="subscript"/>
        </w:rPr>
        <w:t xml:space="preserve">8 </w:t>
      </w:r>
      <w:r w:rsidRPr="00A77054">
        <w:rPr>
          <w:rFonts w:ascii="Times New Roman" w:hAnsi="Times New Roman" w:cs="Times New Roman"/>
          <w:sz w:val="28"/>
          <w:szCs w:val="28"/>
        </w:rPr>
        <w:t>- Т</w:t>
      </w:r>
      <w:r w:rsidRPr="00A7705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77054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A77054">
        <w:rPr>
          <w:rFonts w:ascii="Times New Roman" w:hAnsi="Times New Roman" w:cs="Times New Roman"/>
          <w:sz w:val="28"/>
          <w:szCs w:val="28"/>
        </w:rPr>
        <w:t>. Блокаду обеспечивают фракционным введением 5 мл 2% раствора лидокаина (тримекаина, новокаина) каждые 2 ч. При этом от использования морфина воздерживаются, поскольку он замедляет моторику кишечника.</w:t>
      </w: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 xml:space="preserve">Вместо эпидуральной (а в ряде случаев и наряду с ней) для ранней симпатической блокады с целью профилактики и лечения функциональной кишечной непроходимости используют ганглиоблокаторы (бензогексоний в дозе 0,2 мг на </w:t>
      </w:r>
      <w:smartTag w:uri="urn:schemas-microsoft-com:office:smarttags" w:element="metricconverter">
        <w:smartTagPr>
          <w:attr w:name="ProductID" w:val="1 кг"/>
        </w:smartTagPr>
        <w:r w:rsidRPr="00A77054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A77054">
        <w:rPr>
          <w:rFonts w:ascii="Times New Roman" w:hAnsi="Times New Roman" w:cs="Times New Roman"/>
          <w:sz w:val="28"/>
          <w:szCs w:val="28"/>
        </w:rPr>
        <w:t xml:space="preserve"> массы тела раненого внутримышечно каждые 6 ч до восстановления адекватной кишечной моторики).</w:t>
      </w: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>Огромную роль в предупреждении паралитической непроходимости кишечника у раненных в живот играет адекватная декомпрессия желудочно-кишечного тракта. Она создает условия для устранения ишемии и дистрофических изменений в кишечной стенке в связи с ее длительным</w:t>
      </w:r>
      <w:r w:rsidR="009B5E3D">
        <w:rPr>
          <w:rFonts w:ascii="Times New Roman" w:hAnsi="Times New Roman" w:cs="Times New Roman"/>
          <w:sz w:val="28"/>
          <w:szCs w:val="28"/>
        </w:rPr>
        <w:t xml:space="preserve"> растяжением. Назогастроинтести</w:t>
      </w:r>
      <w:r w:rsidRPr="00A77054">
        <w:rPr>
          <w:rFonts w:ascii="Times New Roman" w:hAnsi="Times New Roman" w:cs="Times New Roman"/>
          <w:sz w:val="28"/>
          <w:szCs w:val="28"/>
        </w:rPr>
        <w:t>нальный зонд оставляют в кишечнике в течение 2-5 дней, два-три раза в сутки осторожно промывая его ощелачивающим раствором. С появлением перистальтики зонд сначала периодически пережимают, а затем, при условии устойчивой моторики, удаляют. Если декомпрессию не проводили, или она оказалась неэффективной и появились признаки нарастающего пареза желудка и кишечника (отрыжка, икота, срыгивание, чувство распирания в эпигастральной области), в желудок вводят зонд, аспирируют через него застойное содержимое и промывают содовым раствором. При необходимости желудочный зонд оставляют на длительное время для постоянного оттока желудочного содержимого.</w:t>
      </w: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>В конце вторых - начале третьих суток показана стимуляция функции кишечника. Для этого на фоне подавления гиперсимпатикотонии эпидуральной блокадой или симпатолитиками с различной точкой приложения (β-блокаторами, ганглиоблокаторами). Чрезмерная стимуляция перистальтики кишечника опасна из-за возможности истощения нервно-мышечных синапсов, поэтому ее нельзя проводить более 2-3 раз в сутки даже при выраженном парезе. При значительной воспалительной инфильтрации кишечной стенки стимуляция перистальтики прозерином малоэффективна. В этих ситуациях лучше использовать средства, воздействующие непосредственно на нервный аппарат кишки и ее гладкомышечные структуры (синтетический серотонин).</w:t>
      </w: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>Если ранение сопровождалось истечением в брюшную область кишечного содержимого и в ходе оперативного вмешательства удается обеспечить полный герметизм брюшной полости, после операции целесообразно проводить перитонеальный лаваж (диализ). Первый сеанс его начинают не раньше чем через 10-12 ч после операции и используют для этого 1,6-</w:t>
      </w:r>
      <w:smartTag w:uri="urn:schemas-microsoft-com:office:smarttags" w:element="metricconverter">
        <w:smartTagPr>
          <w:attr w:name="ProductID" w:val="2,0 л"/>
        </w:smartTagPr>
        <w:r w:rsidRPr="00A77054">
          <w:rPr>
            <w:rFonts w:ascii="Times New Roman" w:hAnsi="Times New Roman" w:cs="Times New Roman"/>
            <w:sz w:val="28"/>
            <w:szCs w:val="28"/>
          </w:rPr>
          <w:t>2,0 л</w:t>
        </w:r>
      </w:smartTag>
      <w:r w:rsidRPr="00A77054">
        <w:rPr>
          <w:rFonts w:ascii="Times New Roman" w:hAnsi="Times New Roman" w:cs="Times New Roman"/>
          <w:sz w:val="28"/>
          <w:szCs w:val="28"/>
        </w:rPr>
        <w:t xml:space="preserve"> стерильного теплого (температура 37-38° С) диализирующего раствора (допустимо раствора Рингера) с антибиотиками. Последние применяют в дозе, в 1,5 раза превышающую суточную, распределяя их на общее количество диализирующего раствора. Перед каждым сеансом лаважа можно орошать брюшную полость 0,25% раствором новокаина (100 мл), что уменьшает раздражение брюшины, снижает резорбцию из полости и предупреждает образование спаек. В течение первых, а при необходимости и вторых суток проводят по 3-4 сеанса. Кри</w:t>
      </w:r>
      <w:r w:rsidR="009B5E3D">
        <w:rPr>
          <w:rFonts w:ascii="Times New Roman" w:hAnsi="Times New Roman" w:cs="Times New Roman"/>
          <w:sz w:val="28"/>
          <w:szCs w:val="28"/>
        </w:rPr>
        <w:t>териями для прекращения перито</w:t>
      </w:r>
      <w:r w:rsidRPr="00A77054">
        <w:rPr>
          <w:rFonts w:ascii="Times New Roman" w:hAnsi="Times New Roman" w:cs="Times New Roman"/>
          <w:sz w:val="28"/>
          <w:szCs w:val="28"/>
        </w:rPr>
        <w:t>неального лаважа являются нормальная окраска оттекающего из полости раствора, отсутствие в нем фибрина, появление перистальтики и задержка в брюшной полости более 500 мл диализата.</w:t>
      </w: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>К исходу первых и особенно вторых суток после операции, когда, с одной стороны, состояние раненого стабилизируется, а с другой - постшоковая токсемия усугубляется интоксикацией из брюшной полости и находящегося в состоянии пареза кишечника, серьезное внимание должно быть уделено удалению компонентов эндогенной интоксикации из крови. При сохранении гипердинамического режима кровообращения, высокой активности продуктов перекисного окисления липидов наряду с форсированным диурезом показано применение методов экстракорпоральной детоксикации, в частности плазмосорбции (гемосорбции) или обменного плазмафереза. Однако чем тяжелее состояние раненого, тем осторожнее следует применять эти методы. В терминальной фазе перитонита, когда происходит секвестрация токсинов в микроваскулярном ложе, эффективность этих методов резко падает, а вероятность срыва реакций компенсации значительно возрастает. Распространение метаболических расстройств на тканевой уровень, сопровождающееся прорывом лимфатического барьера, обусловливает необходимость использования наружного отведения лимфы и лимфосорбции. Дренаж в грудном лимфатическом протоке оставляют в течение 2-6 суток. При этом ежесуточно удаляют до 600-1500 мл лимфы, в связи с чем тщательный контроль за концентрацией и составом белков плазмы приобретает особое значение.</w:t>
      </w: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>Для профилактики легочных осложнений в схему лечения обязательно включают сеансы дыхания под положительным давлением в конце выдоха с ингаляцией фитонцидов в течение 5-10 мин каждые 4 ч, аэрозольные и паровые ингаляции, перкуссионный массаж. Устранение «болевого тормоза» дыхания обеспечивают эпидуральной блокадой.</w:t>
      </w: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>В результате такой комплексной терапии у раненых, поступивших с реактивной фазой перитонита к 3-4-м суткам происходит стабилизация состояния, что позволяет переводить их в общее отделение. Если же моторика кишечника к этому времени не восстанавливается, необходимо ставить вопрос о повторной операции с целью устранения какой-либо хирургической причины (несостоятельность анастомоза или кишечного шва, некачественная санация брюшной полости и пр.). Следует помнить, что на фоне интенсивной терапии, особенно при использовании эпидуральной блокады, клинические признаки неблагополучия в брюшной полости могут быть не очень убедительными.</w:t>
      </w: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>Гипербарическую оксигенацию (ГБО) целесообразно применять как можно раньше, особенно при ранениях таза с повреждением прямой кишки, из-за высокой вероятности развития анаэробной инфекции. Однако она может быть начата только после выполнения неотложных противошоковых и хирургических мероприятий и, в частности, после восполнения объема циркулирующей крови. При резекции полых органов и при наложении кишечных швов ее следует проводить не ранее, чем через двое суток после окончания операции. Применение ГБО улучшает реологию крови и микроциркуляцию, способствует нормализации функций печени и почек, приводит к снижению кининообразования, повышает эффективность парентерального питания, облегчает восстановление моторики кишечника и барьерной функции стенки толстой кишки.</w:t>
      </w: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 xml:space="preserve">При </w:t>
      </w:r>
      <w:r w:rsidRPr="00A77054">
        <w:rPr>
          <w:rFonts w:ascii="Times New Roman" w:hAnsi="Times New Roman" w:cs="Times New Roman"/>
          <w:iCs/>
          <w:sz w:val="28"/>
          <w:szCs w:val="28"/>
        </w:rPr>
        <w:t>ранениях и повреждениях тонкой кишки и желудка (изолированных или сочетанных)</w:t>
      </w:r>
      <w:r w:rsidRPr="00A77054">
        <w:rPr>
          <w:rFonts w:ascii="Times New Roman" w:hAnsi="Times New Roman" w:cs="Times New Roman"/>
          <w:sz w:val="28"/>
          <w:szCs w:val="28"/>
        </w:rPr>
        <w:t>, как правило, нет необходимости прибегать к катетеризации аорты, экстракорпоральным методам детоксикации и ГБО, если раненые поступают не позднее 3-4 ч посл</w:t>
      </w:r>
      <w:r w:rsidR="00157E51" w:rsidRPr="00A77054">
        <w:rPr>
          <w:rFonts w:ascii="Times New Roman" w:hAnsi="Times New Roman" w:cs="Times New Roman"/>
          <w:sz w:val="28"/>
          <w:szCs w:val="28"/>
        </w:rPr>
        <w:t>е ранения или травмы (табл. 2</w:t>
      </w:r>
      <w:r w:rsidRPr="00A77054">
        <w:rPr>
          <w:rFonts w:ascii="Times New Roman" w:hAnsi="Times New Roman" w:cs="Times New Roman"/>
          <w:sz w:val="28"/>
          <w:szCs w:val="28"/>
        </w:rPr>
        <w:t>). У таких раненых нет оснований и для подключения лимфотропной антибактериальной терапии, ингибиторов протеаз. При отсутствии большой кровопотери средний объем инфузионно-трансфузионной терапии у них обычно не превышает 2,8-</w:t>
      </w:r>
      <w:smartTag w:uri="urn:schemas-microsoft-com:office:smarttags" w:element="metricconverter">
        <w:smartTagPr>
          <w:attr w:name="ProductID" w:val="3,2 л"/>
        </w:smartTagPr>
        <w:r w:rsidRPr="00A77054">
          <w:rPr>
            <w:rFonts w:ascii="Times New Roman" w:hAnsi="Times New Roman" w:cs="Times New Roman"/>
            <w:sz w:val="28"/>
            <w:szCs w:val="28"/>
          </w:rPr>
          <w:t>3,2 л</w:t>
        </w:r>
      </w:smartTag>
      <w:r w:rsidRPr="00A77054">
        <w:rPr>
          <w:rFonts w:ascii="Times New Roman" w:hAnsi="Times New Roman" w:cs="Times New Roman"/>
          <w:sz w:val="28"/>
          <w:szCs w:val="28"/>
        </w:rPr>
        <w:t>. Детоксикацию удается обеспечить сохранением нормального суточного диуреза. Восстановление перистальтики происходит у таких раненых спонтанно к исходу вторых-третьих суток, что позволяет в большинстве случаев избегать ее фармакологической стимуляции и обходиться использованием одной лишь эпидуральной блокады.</w:t>
      </w: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>Однако при доставке таких раненых позже 6-8 ч после ранения, когда налицо признаки токсической или терминальной фазы перитонита, либо после релапаратомий, выполняемых у них при развитии осложнений в брюшной полости, лечение должно осуществляться более энергично с использованием подходов, изложенных выше.</w:t>
      </w:r>
    </w:p>
    <w:p w:rsidR="009B5E3D" w:rsidRDefault="009B5E3D" w:rsidP="00A77054">
      <w:pPr>
        <w:pStyle w:val="a3"/>
        <w:spacing w:line="360" w:lineRule="auto"/>
        <w:ind w:firstLine="709"/>
        <w:rPr>
          <w:rFonts w:ascii="Times New Roman" w:eastAsia="MS Mincho" w:hAnsi="Times New Roman" w:cs="Times New Roman"/>
          <w:sz w:val="28"/>
          <w:szCs w:val="28"/>
        </w:rPr>
      </w:pPr>
    </w:p>
    <w:p w:rsidR="00D90591" w:rsidRPr="00A77054" w:rsidRDefault="00157E51" w:rsidP="00A77054">
      <w:pPr>
        <w:pStyle w:val="a3"/>
        <w:spacing w:line="360" w:lineRule="auto"/>
        <w:ind w:firstLine="709"/>
        <w:rPr>
          <w:rFonts w:ascii="Times New Roman" w:eastAsia="MS Mincho" w:hAnsi="Times New Roman" w:cs="Times New Roman"/>
          <w:sz w:val="28"/>
          <w:szCs w:val="28"/>
        </w:rPr>
      </w:pPr>
      <w:r w:rsidRPr="00A77054">
        <w:rPr>
          <w:rFonts w:ascii="Times New Roman" w:eastAsia="MS Mincho" w:hAnsi="Times New Roman" w:cs="Times New Roman"/>
          <w:sz w:val="28"/>
          <w:szCs w:val="28"/>
        </w:rPr>
        <w:t>Таблица 2</w:t>
      </w:r>
      <w:r w:rsidR="009B5E3D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D90591" w:rsidRPr="00A77054">
        <w:rPr>
          <w:rFonts w:ascii="Times New Roman" w:eastAsia="MS Mincho" w:hAnsi="Times New Roman" w:cs="Times New Roman"/>
          <w:sz w:val="28"/>
          <w:szCs w:val="28"/>
        </w:rPr>
        <w:t>Принципиальная схема интенсивной терапии при огнестрельных ранениях живота с повреждением желудка и тонкой кишки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5"/>
        <w:gridCol w:w="1268"/>
        <w:gridCol w:w="1268"/>
        <w:gridCol w:w="1268"/>
      </w:tblGrid>
      <w:tr w:rsidR="00D90591" w:rsidRPr="009B5E3D" w:rsidTr="009B5E3D">
        <w:trPr>
          <w:jc w:val="center"/>
        </w:trPr>
        <w:tc>
          <w:tcPr>
            <w:tcW w:w="4248" w:type="dxa"/>
            <w:vMerge w:val="restart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</w:rPr>
              <w:t>Мероприятия</w:t>
            </w:r>
          </w:p>
        </w:tc>
        <w:tc>
          <w:tcPr>
            <w:tcW w:w="3240" w:type="dxa"/>
            <w:gridSpan w:val="3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</w:rPr>
              <w:t>Сутки после операции</w:t>
            </w:r>
          </w:p>
        </w:tc>
      </w:tr>
      <w:tr w:rsidR="00D90591" w:rsidRPr="009B5E3D" w:rsidTr="009B5E3D">
        <w:trPr>
          <w:jc w:val="center"/>
        </w:trPr>
        <w:tc>
          <w:tcPr>
            <w:tcW w:w="4248" w:type="dxa"/>
            <w:vMerge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</w:p>
        </w:tc>
        <w:tc>
          <w:tcPr>
            <w:tcW w:w="1080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080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1080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</w:rPr>
              <w:t>3</w:t>
            </w:r>
          </w:p>
        </w:tc>
      </w:tr>
      <w:tr w:rsidR="00D90591" w:rsidRPr="009B5E3D" w:rsidTr="009B5E3D">
        <w:trPr>
          <w:jc w:val="center"/>
        </w:trPr>
        <w:tc>
          <w:tcPr>
            <w:tcW w:w="4248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</w:rPr>
              <w:t>1. Инфузионная терапия с элементами парентерального питания</w:t>
            </w:r>
          </w:p>
        </w:tc>
        <w:tc>
          <w:tcPr>
            <w:tcW w:w="1080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1080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1080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</w:tr>
      <w:tr w:rsidR="00D90591" w:rsidRPr="009B5E3D" w:rsidTr="009B5E3D">
        <w:trPr>
          <w:jc w:val="center"/>
        </w:trPr>
        <w:tc>
          <w:tcPr>
            <w:tcW w:w="4248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</w:rPr>
              <w:t>2. Обезболивание (длительная эпидуральная блокада)</w:t>
            </w:r>
          </w:p>
        </w:tc>
        <w:tc>
          <w:tcPr>
            <w:tcW w:w="1080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1080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1080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</w:tr>
      <w:tr w:rsidR="00D90591" w:rsidRPr="009B5E3D" w:rsidTr="009B5E3D">
        <w:trPr>
          <w:jc w:val="center"/>
        </w:trPr>
        <w:tc>
          <w:tcPr>
            <w:tcW w:w="4248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</w:rPr>
              <w:t>3. Защита кишки от гипертонуса адренергического отдела нервной системы</w:t>
            </w:r>
          </w:p>
        </w:tc>
        <w:tc>
          <w:tcPr>
            <w:tcW w:w="1080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1080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1080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</w:tr>
      <w:tr w:rsidR="00D90591" w:rsidRPr="009B5E3D" w:rsidTr="009B5E3D">
        <w:trPr>
          <w:jc w:val="center"/>
        </w:trPr>
        <w:tc>
          <w:tcPr>
            <w:tcW w:w="4248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</w:rPr>
              <w:t>4. Стимуляция перистальтики</w:t>
            </w:r>
          </w:p>
        </w:tc>
        <w:tc>
          <w:tcPr>
            <w:tcW w:w="1080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</w:p>
        </w:tc>
        <w:tc>
          <w:tcPr>
            <w:tcW w:w="1080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</w:p>
        </w:tc>
        <w:tc>
          <w:tcPr>
            <w:tcW w:w="1080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  <w:u w:val="single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  <w:u w:val="single"/>
              </w:rPr>
              <w:t>+</w:t>
            </w:r>
          </w:p>
        </w:tc>
      </w:tr>
      <w:tr w:rsidR="00D90591" w:rsidRPr="009B5E3D" w:rsidTr="009B5E3D">
        <w:trPr>
          <w:jc w:val="center"/>
        </w:trPr>
        <w:tc>
          <w:tcPr>
            <w:tcW w:w="4248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</w:rPr>
              <w:t>5. Антибиотикотерапия</w:t>
            </w:r>
          </w:p>
        </w:tc>
        <w:tc>
          <w:tcPr>
            <w:tcW w:w="1080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1080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1080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</w:tr>
      <w:tr w:rsidR="00D90591" w:rsidRPr="009B5E3D" w:rsidTr="009B5E3D">
        <w:trPr>
          <w:jc w:val="center"/>
        </w:trPr>
        <w:tc>
          <w:tcPr>
            <w:tcW w:w="4248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</w:rPr>
              <w:t>6. Профилактика пневмонии</w:t>
            </w:r>
          </w:p>
        </w:tc>
        <w:tc>
          <w:tcPr>
            <w:tcW w:w="1080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1080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</w:rPr>
              <w:t>+</w:t>
            </w:r>
          </w:p>
        </w:tc>
        <w:tc>
          <w:tcPr>
            <w:tcW w:w="1080" w:type="dxa"/>
          </w:tcPr>
          <w:p w:rsidR="00D90591" w:rsidRPr="009B5E3D" w:rsidRDefault="00D90591" w:rsidP="009B5E3D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0"/>
                <w:szCs w:val="28"/>
                <w:u w:val="single"/>
              </w:rPr>
            </w:pPr>
            <w:r w:rsidRPr="009B5E3D">
              <w:rPr>
                <w:rFonts w:ascii="Times New Roman" w:eastAsia="MS Mincho" w:hAnsi="Times New Roman" w:cs="Times New Roman"/>
                <w:sz w:val="20"/>
                <w:szCs w:val="28"/>
                <w:u w:val="single"/>
              </w:rPr>
              <w:t>+</w:t>
            </w:r>
          </w:p>
        </w:tc>
      </w:tr>
    </w:tbl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eastAsia="MS Mincho" w:hAnsi="Times New Roman" w:cs="Times New Roman"/>
          <w:sz w:val="28"/>
          <w:szCs w:val="28"/>
        </w:rPr>
      </w:pP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 xml:space="preserve">Тяжесть состояния раненых с </w:t>
      </w:r>
      <w:r w:rsidRPr="00A77054">
        <w:rPr>
          <w:rFonts w:ascii="Times New Roman" w:hAnsi="Times New Roman" w:cs="Times New Roman"/>
          <w:iCs/>
          <w:sz w:val="28"/>
          <w:szCs w:val="28"/>
        </w:rPr>
        <w:t>повреждениями паренхиматозных органов</w:t>
      </w:r>
      <w:r w:rsidRPr="00A77054">
        <w:rPr>
          <w:rFonts w:ascii="Times New Roman" w:hAnsi="Times New Roman" w:cs="Times New Roman"/>
          <w:sz w:val="28"/>
          <w:szCs w:val="28"/>
        </w:rPr>
        <w:t xml:space="preserve"> (печень, почки, селезенка) и магистральных кровеносных сосудов зависит прежде всего от сроков доставки их в лечебное учреждение, объема и интенсивности кровопотери, а также от помощи, оказываемой на догоспитальном этапе. Основное содержание интенсивной терапии таким пострадавшим заключается преимущественно в противо</w:t>
      </w:r>
      <w:r w:rsidR="00157E51" w:rsidRPr="00A77054">
        <w:rPr>
          <w:rFonts w:ascii="Times New Roman" w:hAnsi="Times New Roman" w:cs="Times New Roman"/>
          <w:sz w:val="28"/>
          <w:szCs w:val="28"/>
        </w:rPr>
        <w:t>шоковой терапии</w:t>
      </w:r>
      <w:r w:rsidRPr="00A77054">
        <w:rPr>
          <w:rFonts w:ascii="Times New Roman" w:hAnsi="Times New Roman" w:cs="Times New Roman"/>
          <w:sz w:val="28"/>
          <w:szCs w:val="28"/>
        </w:rPr>
        <w:t>.</w:t>
      </w: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>Большой проблемой является лечение травматического панкреатита, развивающегося после открытых или закрытых повреждений поджелудочной железы. Тяжесть его зависит не только от степени травматизации этого органа, но и от его секреторной функции в момент травмы. Значительную роль в патогенезе травматического панкреатита отводят травматическому шоку, сопровождающемуся значительным падением объемного кровотока в железе, которая очень чувствительна к гипоксии. При попадании панкреатического секрета в ткань железы происходит активация цитокеназ, что служит началом аутокаталитического переваривания поджелудочной железы. Развивается ее отек, появляются множественные кровоизлияния, а также очаги панкреонекроза. Распространение и углубление процесса повреждения (фаза альтерации) сопровождается поступлением ферментов в кровоток, лимфатическую систему и окружающие ткани; активацией кал-ликреина с образованием и выбросом в кровь большого количества свободных кининов и других биологически активных веществ (брадикинина, гистамина и серотонина); усилением перекисного окисления липидов со снижением тканевой антиоксидантной защиты; изменением иммунного статуса организма. В результате повышается проницаемость стенки сосудов, появляется геморрагический перитонеальныи экссудат, нарастает отек тканей, возникают расстройства водно-электролитного баланса (общая и особенно внеклеточная дегидратация, гипокалиемия и гипокалигистия, гипонатриемия и гипохлоремия) и кислотно-основного состояния (метаболический ацидоз либо гипохлоремический, гипокалиемический метаболический алкалоз); прогрессируют циркуляторные нарушения и дыхательная недостаточность, а также нарушения гемостаза и обмена веществ. Эти изменения в сочетании с отеком тканей в зоне солнечного сплетения приводят к парезу кишечника. Парез усугубляет эндогенную интоксикацию, способствует формированию синдрома полиорганной недостаточности и развитию общих (сепсис, перитонит), а также местных гнойно-септических осложнений.</w:t>
      </w:r>
    </w:p>
    <w:p w:rsidR="00D90591" w:rsidRPr="00A77054" w:rsidRDefault="00D90591" w:rsidP="00A77054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7054">
        <w:rPr>
          <w:rFonts w:ascii="Times New Roman" w:hAnsi="Times New Roman" w:cs="Times New Roman"/>
          <w:sz w:val="28"/>
          <w:szCs w:val="28"/>
        </w:rPr>
        <w:t>Лечение пострадавших с травматическим панкреатитом наряду с обычным комплексом интенсивной терапии, применяемым у раненных в живот, в обязательном порядке предусматривает подавление внешнесекреторной функции поджелудочной железы. Это достигается систематическим назначением, цитостатиков (5-фторурацил в дозе до 10 мг/кг 1-2 раза в сутки) или синтетического аналога соматостатина (октреотид п/к или в/в по 0,1 мг 3 раза в сутки), а также локальной внутрижелудочной гипотермией (сеансовое промывание желудка через зонд ледяной водой). В процессе лечения избегают использования опиатов, вызывающих спазм сфинктера Одди и, соответственно, затруднение оттока панкреатического секрета и желчи.</w:t>
      </w:r>
    </w:p>
    <w:p w:rsidR="004E07D5" w:rsidRPr="00F80CB6" w:rsidRDefault="00F80CB6" w:rsidP="00A77054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>
        <w:rPr>
          <w:b/>
          <w:sz w:val="28"/>
          <w:szCs w:val="32"/>
        </w:rPr>
        <w:t>Л</w:t>
      </w:r>
      <w:r w:rsidRPr="00F80CB6">
        <w:rPr>
          <w:b/>
          <w:sz w:val="28"/>
          <w:szCs w:val="32"/>
        </w:rPr>
        <w:t>итература</w:t>
      </w:r>
    </w:p>
    <w:p w:rsidR="00F80CB6" w:rsidRPr="00A77054" w:rsidRDefault="00F80CB6" w:rsidP="00A77054">
      <w:pPr>
        <w:spacing w:line="360" w:lineRule="auto"/>
        <w:ind w:firstLine="709"/>
        <w:jc w:val="both"/>
        <w:rPr>
          <w:sz w:val="28"/>
          <w:szCs w:val="32"/>
        </w:rPr>
      </w:pPr>
    </w:p>
    <w:p w:rsidR="004E07D5" w:rsidRPr="00A77054" w:rsidRDefault="004E07D5" w:rsidP="00F80CB6">
      <w:pPr>
        <w:widowControl w:val="0"/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</w:rPr>
      </w:pPr>
      <w:r w:rsidRPr="00A77054">
        <w:rPr>
          <w:sz w:val="28"/>
          <w:szCs w:val="28"/>
        </w:rPr>
        <w:t xml:space="preserve">«Неотложная медицинская помощь», под ред. Дж.Э. Тинтиналли, Рл. Кроума, Э. Руиза, </w:t>
      </w:r>
      <w:r w:rsidRPr="00A77054">
        <w:rPr>
          <w:iCs/>
          <w:sz w:val="28"/>
          <w:szCs w:val="28"/>
        </w:rPr>
        <w:t>Перевод с английского д-ра мед. наук В.И.</w:t>
      </w:r>
      <w:r w:rsidR="00F80CB6">
        <w:rPr>
          <w:iCs/>
          <w:sz w:val="28"/>
          <w:szCs w:val="28"/>
        </w:rPr>
        <w:t xml:space="preserve"> </w:t>
      </w:r>
      <w:r w:rsidRPr="00A77054">
        <w:rPr>
          <w:iCs/>
          <w:sz w:val="28"/>
          <w:szCs w:val="28"/>
        </w:rPr>
        <w:t>Кандрора,</w:t>
      </w:r>
      <w:r w:rsidRPr="00A77054">
        <w:rPr>
          <w:sz w:val="28"/>
        </w:rPr>
        <w:t xml:space="preserve"> </w:t>
      </w:r>
      <w:r w:rsidRPr="00A77054">
        <w:rPr>
          <w:iCs/>
          <w:sz w:val="28"/>
          <w:szCs w:val="28"/>
        </w:rPr>
        <w:t>д. м. н. М.В.</w:t>
      </w:r>
      <w:r w:rsidR="00F80CB6">
        <w:rPr>
          <w:iCs/>
          <w:sz w:val="28"/>
          <w:szCs w:val="28"/>
        </w:rPr>
        <w:t xml:space="preserve"> </w:t>
      </w:r>
      <w:r w:rsidRPr="00A77054">
        <w:rPr>
          <w:iCs/>
          <w:sz w:val="28"/>
          <w:szCs w:val="28"/>
        </w:rPr>
        <w:t>Неверовой, д-ра мед. наук А.В.</w:t>
      </w:r>
      <w:r w:rsidR="00F80CB6">
        <w:rPr>
          <w:iCs/>
          <w:sz w:val="28"/>
          <w:szCs w:val="28"/>
        </w:rPr>
        <w:t xml:space="preserve"> </w:t>
      </w:r>
      <w:r w:rsidRPr="00A77054">
        <w:rPr>
          <w:iCs/>
          <w:sz w:val="28"/>
          <w:szCs w:val="28"/>
        </w:rPr>
        <w:t>Сучкова,</w:t>
      </w:r>
      <w:r w:rsidRPr="00A77054">
        <w:rPr>
          <w:sz w:val="28"/>
        </w:rPr>
        <w:t xml:space="preserve"> </w:t>
      </w:r>
      <w:r w:rsidRPr="00A77054">
        <w:rPr>
          <w:iCs/>
          <w:sz w:val="28"/>
          <w:szCs w:val="28"/>
        </w:rPr>
        <w:t>к. м. н. А.В.</w:t>
      </w:r>
      <w:r w:rsidR="00F80CB6">
        <w:rPr>
          <w:iCs/>
          <w:sz w:val="28"/>
          <w:szCs w:val="28"/>
        </w:rPr>
        <w:t xml:space="preserve"> </w:t>
      </w:r>
      <w:r w:rsidRPr="00A77054">
        <w:rPr>
          <w:iCs/>
          <w:sz w:val="28"/>
          <w:szCs w:val="28"/>
        </w:rPr>
        <w:t>Низового, Ю.Л.</w:t>
      </w:r>
      <w:r w:rsidR="00F80CB6">
        <w:rPr>
          <w:iCs/>
          <w:sz w:val="28"/>
          <w:szCs w:val="28"/>
        </w:rPr>
        <w:t xml:space="preserve"> </w:t>
      </w:r>
      <w:r w:rsidRPr="00A77054">
        <w:rPr>
          <w:iCs/>
          <w:sz w:val="28"/>
          <w:szCs w:val="28"/>
        </w:rPr>
        <w:t>Амченкова; под ред. Д.м.н. В.Т. Ивашкина, Д.М.Н. П.Г. Брюсова; Москва «Медицина» 2001</w:t>
      </w:r>
    </w:p>
    <w:p w:rsidR="004E07D5" w:rsidRPr="00A77054" w:rsidRDefault="004E07D5" w:rsidP="00F80CB6">
      <w:pPr>
        <w:widowControl w:val="0"/>
        <w:numPr>
          <w:ilvl w:val="0"/>
          <w:numId w:val="14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</w:rPr>
      </w:pPr>
      <w:r w:rsidRPr="00A77054">
        <w:rPr>
          <w:bCs/>
          <w:sz w:val="28"/>
        </w:rPr>
        <w:t>Интенсивная терапия. Реанимация. Первая помощь:</w:t>
      </w:r>
      <w:r w:rsidRPr="00A77054">
        <w:rPr>
          <w:sz w:val="28"/>
        </w:rPr>
        <w:t xml:space="preserve"> Учебное пособие / Под ред. В.Д. Малышева. — М.: Медицина.— 2000.— 464 с.: ил.— Учеб. лит. Для слушателей системы последипломного образования.— </w:t>
      </w:r>
      <w:r w:rsidRPr="00A77054">
        <w:rPr>
          <w:sz w:val="28"/>
          <w:lang w:val="en-US"/>
        </w:rPr>
        <w:t>ISBN</w:t>
      </w:r>
      <w:r w:rsidRPr="00A77054">
        <w:rPr>
          <w:sz w:val="28"/>
        </w:rPr>
        <w:t xml:space="preserve"> 5-225-04560-Х</w:t>
      </w:r>
      <w:bookmarkStart w:id="0" w:name="_GoBack"/>
      <w:bookmarkEnd w:id="0"/>
    </w:p>
    <w:sectPr w:rsidR="004E07D5" w:rsidRPr="00A77054" w:rsidSect="00A77054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C08" w:rsidRDefault="00586C08">
      <w:r>
        <w:separator/>
      </w:r>
    </w:p>
  </w:endnote>
  <w:endnote w:type="continuationSeparator" w:id="0">
    <w:p w:rsidR="00586C08" w:rsidRDefault="0058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969" w:rsidRDefault="00251969" w:rsidP="00F14AB5">
    <w:pPr>
      <w:pStyle w:val="a5"/>
      <w:framePr w:wrap="around" w:vAnchor="text" w:hAnchor="margin" w:xAlign="right" w:y="1"/>
      <w:rPr>
        <w:rStyle w:val="a7"/>
      </w:rPr>
    </w:pPr>
  </w:p>
  <w:p w:rsidR="00251969" w:rsidRDefault="00251969" w:rsidP="00C5674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969" w:rsidRDefault="00ED648E" w:rsidP="00F14AB5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251969" w:rsidRDefault="00251969" w:rsidP="00C5674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C08" w:rsidRDefault="00586C08">
      <w:r>
        <w:separator/>
      </w:r>
    </w:p>
  </w:footnote>
  <w:footnote w:type="continuationSeparator" w:id="0">
    <w:p w:rsidR="00586C08" w:rsidRDefault="00586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74B9A"/>
    <w:multiLevelType w:val="hybridMultilevel"/>
    <w:tmpl w:val="8B0E3720"/>
    <w:lvl w:ilvl="0" w:tplc="04D485F4">
      <w:start w:val="1"/>
      <w:numFmt w:val="decimal"/>
      <w:lvlText w:val="%1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045"/>
        </w:tabs>
        <w:ind w:left="3045" w:hanging="360"/>
      </w:pPr>
      <w:rPr>
        <w:rFonts w:cs="Times New Roman"/>
      </w:rPr>
    </w:lvl>
    <w:lvl w:ilvl="2" w:tplc="3E50F7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  <w:sz w:val="32"/>
        <w:szCs w:val="32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044E6B"/>
    <w:multiLevelType w:val="hybridMultilevel"/>
    <w:tmpl w:val="42D8EC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D56444"/>
    <w:multiLevelType w:val="hybridMultilevel"/>
    <w:tmpl w:val="95A6936E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26542A92"/>
    <w:multiLevelType w:val="hybridMultilevel"/>
    <w:tmpl w:val="BFE0976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36C67EC5"/>
    <w:multiLevelType w:val="hybridMultilevel"/>
    <w:tmpl w:val="49DE45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0F3B4F"/>
    <w:multiLevelType w:val="hybridMultilevel"/>
    <w:tmpl w:val="0F64B4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270D81"/>
    <w:multiLevelType w:val="hybridMultilevel"/>
    <w:tmpl w:val="88583A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0F2F6F"/>
    <w:multiLevelType w:val="hybridMultilevel"/>
    <w:tmpl w:val="C2A27C90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40A960E6"/>
    <w:multiLevelType w:val="hybridMultilevel"/>
    <w:tmpl w:val="4EEC2F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20700F"/>
    <w:multiLevelType w:val="hybridMultilevel"/>
    <w:tmpl w:val="860C1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C92DDC"/>
    <w:multiLevelType w:val="hybridMultilevel"/>
    <w:tmpl w:val="2D7C3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790018C"/>
    <w:multiLevelType w:val="hybridMultilevel"/>
    <w:tmpl w:val="FF1C6DB4"/>
    <w:lvl w:ilvl="0" w:tplc="04D485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C5E5E51"/>
    <w:multiLevelType w:val="hybridMultilevel"/>
    <w:tmpl w:val="4BF098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987C4F"/>
    <w:multiLevelType w:val="hybridMultilevel"/>
    <w:tmpl w:val="89F03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5"/>
  </w:num>
  <w:num w:numId="5">
    <w:abstractNumId w:val="9"/>
  </w:num>
  <w:num w:numId="6">
    <w:abstractNumId w:val="1"/>
  </w:num>
  <w:num w:numId="7">
    <w:abstractNumId w:val="13"/>
  </w:num>
  <w:num w:numId="8">
    <w:abstractNumId w:val="12"/>
  </w:num>
  <w:num w:numId="9">
    <w:abstractNumId w:val="3"/>
  </w:num>
  <w:num w:numId="10">
    <w:abstractNumId w:val="4"/>
  </w:num>
  <w:num w:numId="11">
    <w:abstractNumId w:val="2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591"/>
    <w:rsid w:val="000926D7"/>
    <w:rsid w:val="001178AB"/>
    <w:rsid w:val="0012385F"/>
    <w:rsid w:val="00157E51"/>
    <w:rsid w:val="00251969"/>
    <w:rsid w:val="002A72E6"/>
    <w:rsid w:val="003D5748"/>
    <w:rsid w:val="004E07D5"/>
    <w:rsid w:val="00545C5D"/>
    <w:rsid w:val="00586C08"/>
    <w:rsid w:val="009B5E3D"/>
    <w:rsid w:val="009D6FEB"/>
    <w:rsid w:val="00A77054"/>
    <w:rsid w:val="00AC12AB"/>
    <w:rsid w:val="00C5674F"/>
    <w:rsid w:val="00D016FF"/>
    <w:rsid w:val="00D1607B"/>
    <w:rsid w:val="00D90591"/>
    <w:rsid w:val="00DB4D20"/>
    <w:rsid w:val="00E16798"/>
    <w:rsid w:val="00EC1B8C"/>
    <w:rsid w:val="00ED648E"/>
    <w:rsid w:val="00F14AB5"/>
    <w:rsid w:val="00F8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B532D52-14AB-4E76-B82B-5F3FA8EA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9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60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90591"/>
    <w:pPr>
      <w:keepNext/>
      <w:ind w:left="1080" w:hanging="540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D9059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90591"/>
    <w:pPr>
      <w:ind w:firstLine="720"/>
      <w:jc w:val="both"/>
    </w:pPr>
    <w:rPr>
      <w:rFonts w:ascii="Arial" w:hAnsi="Arial" w:cs="Arial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D90591"/>
    <w:pPr>
      <w:ind w:firstLine="624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567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C5674F"/>
    <w:rPr>
      <w:rFonts w:cs="Times New Roman"/>
    </w:rPr>
  </w:style>
  <w:style w:type="paragraph" w:styleId="a8">
    <w:name w:val="Normal (Web)"/>
    <w:basedOn w:val="a"/>
    <w:uiPriority w:val="99"/>
    <w:rsid w:val="00D16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83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3492</Words>
  <Characters>19907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41</vt:lpstr>
    </vt:vector>
  </TitlesOfParts>
  <Company>Дом</Company>
  <LinksUpToDate>false</LinksUpToDate>
  <CharactersWithSpaces>23353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41</dc:title>
  <dc:subject/>
  <dc:creator>Юля</dc:creator>
  <cp:keywords/>
  <dc:description/>
  <cp:lastModifiedBy>admin</cp:lastModifiedBy>
  <cp:revision>2</cp:revision>
  <dcterms:created xsi:type="dcterms:W3CDTF">2014-02-25T08:34:00Z</dcterms:created>
  <dcterms:modified xsi:type="dcterms:W3CDTF">2014-02-25T08:34:00Z</dcterms:modified>
</cp:coreProperties>
</file>