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F" w:rsidRDefault="00EE469F" w:rsidP="00EE469F">
      <w:pPr>
        <w:pStyle w:val="1"/>
        <w:rPr>
          <w:b/>
        </w:rPr>
      </w:pPr>
      <w:r>
        <w:rPr>
          <w:b/>
        </w:rPr>
        <w:t>МИНИСТЕРСТВО ЗДРАВООХРАНЕНИЯ РЕСПУБЛИКИ БЕЛАРУСЬ</w:t>
      </w:r>
    </w:p>
    <w:p w:rsidR="008F033C" w:rsidRDefault="008F033C" w:rsidP="00EE469F">
      <w:pPr>
        <w:pStyle w:val="4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Государственное высшее учебное заведение</w:t>
      </w:r>
    </w:p>
    <w:p w:rsidR="00EE469F" w:rsidRPr="00EE469F" w:rsidRDefault="00EE469F" w:rsidP="00EE469F">
      <w:pPr>
        <w:pStyle w:val="4"/>
        <w:rPr>
          <w:i w:val="0"/>
          <w:sz w:val="28"/>
          <w:szCs w:val="28"/>
        </w:rPr>
      </w:pPr>
      <w:r w:rsidRPr="00EE469F">
        <w:rPr>
          <w:i w:val="0"/>
          <w:sz w:val="28"/>
          <w:szCs w:val="28"/>
        </w:rPr>
        <w:t>БЕЛОРУССКАЯ МЕДИЦИНСКАЯ АКАДЕМИЯ</w:t>
      </w:r>
    </w:p>
    <w:p w:rsidR="00EE469F" w:rsidRDefault="00EE469F" w:rsidP="00EE469F">
      <w:pPr>
        <w:jc w:val="center"/>
        <w:rPr>
          <w:b/>
          <w:sz w:val="28"/>
        </w:rPr>
      </w:pPr>
      <w:r>
        <w:rPr>
          <w:b/>
          <w:sz w:val="28"/>
        </w:rPr>
        <w:t>ПОСЛЕДИПЛОМНОГО ОБРАЗОВАНИЯ</w:t>
      </w:r>
    </w:p>
    <w:p w:rsidR="008F033C" w:rsidRDefault="008F033C" w:rsidP="00EE469F">
      <w:pPr>
        <w:pStyle w:val="2"/>
        <w:rPr>
          <w:b/>
        </w:rPr>
      </w:pPr>
    </w:p>
    <w:p w:rsidR="00EE469F" w:rsidRDefault="00EE469F" w:rsidP="00EE469F">
      <w:pPr>
        <w:pStyle w:val="2"/>
        <w:rPr>
          <w:b/>
        </w:rPr>
      </w:pPr>
      <w:r>
        <w:rPr>
          <w:b/>
        </w:rPr>
        <w:t>КАФЕДРА ПЕДИАТРИИ</w:t>
      </w:r>
    </w:p>
    <w:p w:rsidR="00EE469F" w:rsidRDefault="00EE469F" w:rsidP="00EE469F">
      <w:pPr>
        <w:spacing w:line="360" w:lineRule="auto"/>
        <w:jc w:val="right"/>
        <w:rPr>
          <w:sz w:val="28"/>
        </w:rPr>
      </w:pPr>
    </w:p>
    <w:p w:rsidR="00EE469F" w:rsidRDefault="00EE469F" w:rsidP="00EE469F">
      <w:pPr>
        <w:spacing w:line="360" w:lineRule="auto"/>
        <w:jc w:val="right"/>
        <w:rPr>
          <w:sz w:val="24"/>
        </w:rPr>
      </w:pPr>
    </w:p>
    <w:p w:rsidR="00EE469F" w:rsidRDefault="00EE469F" w:rsidP="00EE469F">
      <w:pPr>
        <w:pStyle w:val="2"/>
      </w:pPr>
    </w:p>
    <w:p w:rsidR="00EE469F" w:rsidRDefault="00EE469F" w:rsidP="00EE469F">
      <w:pPr>
        <w:pStyle w:val="2"/>
      </w:pPr>
    </w:p>
    <w:p w:rsidR="00EE469F" w:rsidRDefault="00EE469F" w:rsidP="00EE469F"/>
    <w:p w:rsidR="00EE469F" w:rsidRDefault="00EE469F" w:rsidP="00EE469F">
      <w:pPr>
        <w:pStyle w:val="2"/>
        <w:rPr>
          <w:b/>
          <w:i/>
          <w:sz w:val="36"/>
        </w:rPr>
      </w:pPr>
      <w:r>
        <w:rPr>
          <w:b/>
          <w:i/>
          <w:sz w:val="36"/>
        </w:rPr>
        <w:t>С.М.Король , Е.А.Колупаева</w:t>
      </w:r>
    </w:p>
    <w:p w:rsidR="00EE469F" w:rsidRDefault="00EE469F" w:rsidP="00EE469F">
      <w:pPr>
        <w:spacing w:line="360" w:lineRule="auto"/>
        <w:jc w:val="right"/>
        <w:rPr>
          <w:sz w:val="24"/>
        </w:rPr>
      </w:pPr>
    </w:p>
    <w:p w:rsidR="00EE469F" w:rsidRDefault="00EE469F" w:rsidP="00EE469F">
      <w:pPr>
        <w:spacing w:line="360" w:lineRule="auto"/>
        <w:jc w:val="right"/>
        <w:rPr>
          <w:sz w:val="28"/>
        </w:rPr>
      </w:pPr>
    </w:p>
    <w:p w:rsidR="00EE469F" w:rsidRDefault="00EE469F" w:rsidP="00EE469F">
      <w:pPr>
        <w:spacing w:line="360" w:lineRule="auto"/>
        <w:jc w:val="right"/>
        <w:rPr>
          <w:sz w:val="28"/>
        </w:rPr>
      </w:pPr>
    </w:p>
    <w:p w:rsidR="00EE469F" w:rsidRDefault="00EE469F" w:rsidP="00EE469F">
      <w:pPr>
        <w:spacing w:line="360" w:lineRule="auto"/>
        <w:jc w:val="right"/>
        <w:rPr>
          <w:sz w:val="28"/>
        </w:rPr>
      </w:pPr>
    </w:p>
    <w:p w:rsidR="00EE469F" w:rsidRPr="008F033C" w:rsidRDefault="00EE469F" w:rsidP="00EE469F">
      <w:pPr>
        <w:pStyle w:val="2"/>
        <w:rPr>
          <w:rFonts w:ascii="Arial Black" w:hAnsi="Arial Black"/>
          <w:b/>
          <w:sz w:val="40"/>
        </w:rPr>
      </w:pPr>
      <w:r w:rsidRPr="008F033C">
        <w:rPr>
          <w:rFonts w:ascii="Arial Black" w:hAnsi="Arial Black"/>
          <w:b/>
          <w:sz w:val="40"/>
        </w:rPr>
        <w:t>БОЛЕЗНИ ЖЕЛУДКА И 12-ПЕРСТНОЙ КИШКИ  У ДЕТЕЙ И ПОДРОСТКОВ</w:t>
      </w:r>
    </w:p>
    <w:p w:rsidR="008F033C" w:rsidRDefault="008F033C" w:rsidP="00EE469F">
      <w:pPr>
        <w:spacing w:line="360" w:lineRule="auto"/>
        <w:jc w:val="center"/>
        <w:rPr>
          <w:b/>
          <w:i/>
          <w:sz w:val="28"/>
        </w:rPr>
      </w:pPr>
    </w:p>
    <w:p w:rsidR="00EE469F" w:rsidRDefault="00EE469F" w:rsidP="00EE469F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(</w:t>
      </w:r>
      <w:r w:rsidR="008F033C">
        <w:rPr>
          <w:b/>
          <w:i/>
          <w:sz w:val="28"/>
        </w:rPr>
        <w:t xml:space="preserve"> Диагностика</w:t>
      </w:r>
      <w:r>
        <w:rPr>
          <w:b/>
          <w:i/>
          <w:sz w:val="28"/>
        </w:rPr>
        <w:t>,</w:t>
      </w:r>
      <w:r w:rsidR="008F033C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лечения)</w:t>
      </w:r>
    </w:p>
    <w:p w:rsidR="00EE469F" w:rsidRDefault="00EE469F" w:rsidP="00EE469F">
      <w:pPr>
        <w:spacing w:line="360" w:lineRule="auto"/>
        <w:jc w:val="center"/>
        <w:rPr>
          <w:b/>
          <w:sz w:val="28"/>
        </w:rPr>
      </w:pPr>
    </w:p>
    <w:p w:rsidR="00EE469F" w:rsidRDefault="00EE469F" w:rsidP="00EE469F">
      <w:pPr>
        <w:spacing w:line="360" w:lineRule="auto"/>
        <w:jc w:val="center"/>
        <w:rPr>
          <w:b/>
          <w:sz w:val="28"/>
        </w:rPr>
      </w:pPr>
    </w:p>
    <w:p w:rsidR="00EE469F" w:rsidRDefault="00EE469F" w:rsidP="00EE469F">
      <w:pPr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Учебно-методическое пособие</w:t>
      </w:r>
    </w:p>
    <w:p w:rsidR="00EE469F" w:rsidRPr="00EE469F" w:rsidRDefault="00EE469F" w:rsidP="00EE469F">
      <w:pPr>
        <w:pStyle w:val="3"/>
        <w:rPr>
          <w:lang w:val="ru-RU"/>
        </w:rPr>
      </w:pPr>
    </w:p>
    <w:p w:rsidR="00EE469F" w:rsidRDefault="00EE469F" w:rsidP="00EE469F">
      <w:pPr>
        <w:pStyle w:val="4"/>
        <w:jc w:val="left"/>
      </w:pPr>
    </w:p>
    <w:p w:rsidR="00EE469F" w:rsidRDefault="00EE469F" w:rsidP="00EE469F">
      <w:pPr>
        <w:rPr>
          <w:sz w:val="28"/>
        </w:rPr>
      </w:pPr>
    </w:p>
    <w:p w:rsidR="00EE469F" w:rsidRDefault="00EE469F" w:rsidP="00EE469F">
      <w:pPr>
        <w:pStyle w:val="a3"/>
        <w:ind w:firstLine="0"/>
        <w:rPr>
          <w:sz w:val="24"/>
        </w:rPr>
      </w:pPr>
    </w:p>
    <w:p w:rsidR="00EE469F" w:rsidRDefault="00EE469F" w:rsidP="00EE469F">
      <w:pPr>
        <w:pStyle w:val="a3"/>
        <w:rPr>
          <w:sz w:val="24"/>
        </w:rPr>
      </w:pPr>
    </w:p>
    <w:p w:rsidR="00EE469F" w:rsidRDefault="00EE469F" w:rsidP="00EE469F">
      <w:pPr>
        <w:pStyle w:val="a3"/>
        <w:rPr>
          <w:sz w:val="24"/>
        </w:rPr>
      </w:pPr>
    </w:p>
    <w:p w:rsidR="00EE469F" w:rsidRDefault="00EE469F" w:rsidP="00EE469F">
      <w:pPr>
        <w:pStyle w:val="20"/>
        <w:rPr>
          <w:sz w:val="24"/>
        </w:rPr>
      </w:pPr>
    </w:p>
    <w:p w:rsidR="00EE469F" w:rsidRDefault="00EE469F" w:rsidP="00EE469F">
      <w:pPr>
        <w:pStyle w:val="20"/>
        <w:rPr>
          <w:sz w:val="24"/>
        </w:rPr>
      </w:pPr>
    </w:p>
    <w:p w:rsidR="00EE469F" w:rsidRDefault="00EE469F" w:rsidP="00EE469F">
      <w:pPr>
        <w:pStyle w:val="20"/>
        <w:rPr>
          <w:sz w:val="24"/>
        </w:rPr>
      </w:pPr>
    </w:p>
    <w:p w:rsidR="00EE469F" w:rsidRDefault="00EE469F" w:rsidP="00EE469F">
      <w:pPr>
        <w:ind w:left="1276"/>
        <w:rPr>
          <w:sz w:val="24"/>
        </w:rPr>
      </w:pPr>
    </w:p>
    <w:p w:rsidR="00EE469F" w:rsidRDefault="00EE469F" w:rsidP="00EE469F">
      <w:pPr>
        <w:ind w:left="1276"/>
        <w:rPr>
          <w:sz w:val="24"/>
        </w:rPr>
      </w:pPr>
    </w:p>
    <w:p w:rsidR="00EE469F" w:rsidRDefault="00EE469F" w:rsidP="00EE469F">
      <w:pPr>
        <w:rPr>
          <w:sz w:val="28"/>
        </w:rPr>
      </w:pPr>
    </w:p>
    <w:p w:rsidR="00EE469F" w:rsidRDefault="008F033C" w:rsidP="00EE469F">
      <w:pPr>
        <w:pStyle w:val="2"/>
      </w:pPr>
      <w:r>
        <w:t>Минск, 2005</w:t>
      </w:r>
    </w:p>
    <w:p w:rsidR="00EE469F" w:rsidRDefault="00EE469F" w:rsidP="00EE469F">
      <w:pPr>
        <w:ind w:firstLine="851"/>
      </w:pPr>
    </w:p>
    <w:p w:rsidR="008F033C" w:rsidRDefault="008F033C" w:rsidP="00EE469F">
      <w:pPr>
        <w:ind w:firstLine="851"/>
      </w:pPr>
    </w:p>
    <w:p w:rsidR="00EE469F" w:rsidRDefault="00EE469F" w:rsidP="008F033C">
      <w:pPr>
        <w:pStyle w:val="1"/>
        <w:jc w:val="left"/>
      </w:pPr>
      <w:r>
        <w:t>УДК616.</w:t>
      </w:r>
      <w:r w:rsidR="008F033C">
        <w:t>33</w:t>
      </w:r>
      <w:r>
        <w:t>-0</w:t>
      </w:r>
      <w:r w:rsidR="008F033C">
        <w:t>7-08-053.3-053.6+616.342-07-08-053.3-053.6]075.8</w:t>
      </w:r>
    </w:p>
    <w:p w:rsidR="008F033C" w:rsidRDefault="008F033C" w:rsidP="008F033C">
      <w:pPr>
        <w:pStyle w:val="8"/>
        <w:jc w:val="left"/>
      </w:pPr>
      <w:r>
        <w:t>ББК 57</w:t>
      </w:r>
      <w:r w:rsidR="00EE469F">
        <w:t>.</w:t>
      </w:r>
      <w:r>
        <w:t>3</w:t>
      </w:r>
      <w:r w:rsidR="00EE469F">
        <w:t>я7</w:t>
      </w:r>
    </w:p>
    <w:p w:rsidR="00EE469F" w:rsidRPr="008F033C" w:rsidRDefault="008F033C" w:rsidP="008F033C">
      <w:pPr>
        <w:pStyle w:val="8"/>
        <w:jc w:val="left"/>
        <w:rPr>
          <w:sz w:val="24"/>
        </w:rPr>
      </w:pPr>
      <w:r>
        <w:t>К</w:t>
      </w:r>
      <w:r w:rsidR="00EE469F">
        <w:t>-6</w:t>
      </w:r>
      <w:r>
        <w:t>8</w:t>
      </w:r>
    </w:p>
    <w:p w:rsidR="00EE469F" w:rsidRDefault="00EE469F" w:rsidP="00EE469F">
      <w:pPr>
        <w:ind w:left="851"/>
        <w:jc w:val="both"/>
        <w:rPr>
          <w:sz w:val="28"/>
        </w:rPr>
      </w:pPr>
    </w:p>
    <w:p w:rsidR="00EE469F" w:rsidRDefault="00EE469F" w:rsidP="00EE469F">
      <w:pPr>
        <w:jc w:val="both"/>
        <w:rPr>
          <w:sz w:val="28"/>
        </w:rPr>
      </w:pPr>
    </w:p>
    <w:p w:rsidR="00EE469F" w:rsidRPr="008F033C" w:rsidRDefault="008F033C" w:rsidP="00611C0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Король С.М., Колупаева Е.А.  </w:t>
      </w:r>
      <w:r>
        <w:rPr>
          <w:sz w:val="28"/>
          <w:szCs w:val="28"/>
        </w:rPr>
        <w:t>Болезни желудка и 12-перстной кишки у детей и подростков (диагностика, лечение): Учебно-методич</w:t>
      </w:r>
      <w:r w:rsidR="00611C09">
        <w:rPr>
          <w:sz w:val="28"/>
          <w:szCs w:val="28"/>
        </w:rPr>
        <w:t xml:space="preserve">еское пособие. </w:t>
      </w:r>
      <w:r>
        <w:rPr>
          <w:sz w:val="28"/>
          <w:szCs w:val="28"/>
        </w:rPr>
        <w:t>Мн.:</w:t>
      </w:r>
      <w:r w:rsidR="00611C09">
        <w:rPr>
          <w:sz w:val="28"/>
          <w:szCs w:val="28"/>
        </w:rPr>
        <w:t>БелМАПО, 2005.-20с.</w:t>
      </w:r>
    </w:p>
    <w:p w:rsidR="00EE469F" w:rsidRDefault="00EE469F" w:rsidP="00EE469F">
      <w:pPr>
        <w:ind w:firstLine="851"/>
        <w:jc w:val="center"/>
        <w:rPr>
          <w:sz w:val="24"/>
        </w:rPr>
      </w:pPr>
    </w:p>
    <w:p w:rsidR="00EE469F" w:rsidRDefault="00EE469F" w:rsidP="00EE469F">
      <w:pPr>
        <w:ind w:firstLine="851"/>
        <w:jc w:val="center"/>
        <w:rPr>
          <w:sz w:val="24"/>
        </w:rPr>
      </w:pPr>
    </w:p>
    <w:p w:rsidR="00EE469F" w:rsidRDefault="00EE469F" w:rsidP="00EE469F">
      <w:pPr>
        <w:ind w:firstLine="851"/>
        <w:rPr>
          <w:sz w:val="24"/>
        </w:rPr>
      </w:pPr>
    </w:p>
    <w:p w:rsidR="00EE469F" w:rsidRDefault="00EE469F" w:rsidP="00611C09">
      <w:pPr>
        <w:ind w:firstLine="851"/>
        <w:rPr>
          <w:sz w:val="24"/>
        </w:rPr>
      </w:pPr>
      <w:r>
        <w:rPr>
          <w:sz w:val="24"/>
        </w:rPr>
        <w:t>А в т о р ы:</w:t>
      </w:r>
      <w:r w:rsidR="00611C09">
        <w:rPr>
          <w:sz w:val="24"/>
        </w:rPr>
        <w:t xml:space="preserve"> Король Светлана Михайловна – кандидат медицинских наук, доцент кафедры педиатрии БелМАПО,</w:t>
      </w:r>
    </w:p>
    <w:p w:rsidR="00611C09" w:rsidRDefault="00611C09" w:rsidP="00611C09">
      <w:pPr>
        <w:ind w:firstLine="851"/>
        <w:rPr>
          <w:sz w:val="24"/>
        </w:rPr>
      </w:pPr>
      <w:r>
        <w:rPr>
          <w:sz w:val="24"/>
        </w:rPr>
        <w:t xml:space="preserve">                    </w:t>
      </w:r>
      <w:r w:rsidR="00EE469F">
        <w:rPr>
          <w:sz w:val="24"/>
        </w:rPr>
        <w:t>Колупаева</w:t>
      </w:r>
      <w:r>
        <w:rPr>
          <w:sz w:val="24"/>
        </w:rPr>
        <w:t xml:space="preserve"> Елена Александровна - кандидат медицинских наук, доцент кафедры педиатрии БелМАПО</w:t>
      </w:r>
    </w:p>
    <w:p w:rsidR="00EE469F" w:rsidRDefault="00EE469F" w:rsidP="00611C09">
      <w:pPr>
        <w:ind w:firstLine="851"/>
        <w:rPr>
          <w:sz w:val="24"/>
        </w:rPr>
      </w:pPr>
    </w:p>
    <w:p w:rsidR="00707313" w:rsidRDefault="00707313" w:rsidP="00EE469F">
      <w:pPr>
        <w:ind w:left="709"/>
        <w:jc w:val="both"/>
        <w:rPr>
          <w:sz w:val="24"/>
        </w:rPr>
      </w:pPr>
      <w:r>
        <w:rPr>
          <w:sz w:val="24"/>
        </w:rPr>
        <w:t xml:space="preserve">  </w:t>
      </w:r>
      <w:r w:rsidR="00EE469F">
        <w:rPr>
          <w:sz w:val="24"/>
        </w:rPr>
        <w:t>Р е ц е н з е н т ы :</w:t>
      </w:r>
      <w:r w:rsidR="00611C09">
        <w:rPr>
          <w:sz w:val="24"/>
        </w:rPr>
        <w:t xml:space="preserve">  Твардовский Владимир Илларионович – зав. кафедрой пропедевтики детских болезней БГМУ, доцент</w:t>
      </w:r>
    </w:p>
    <w:p w:rsidR="00707313" w:rsidRDefault="00707313" w:rsidP="00EE469F">
      <w:pPr>
        <w:ind w:left="709"/>
        <w:jc w:val="both"/>
        <w:rPr>
          <w:sz w:val="24"/>
        </w:rPr>
      </w:pPr>
    </w:p>
    <w:p w:rsidR="00707313" w:rsidRDefault="00707313" w:rsidP="00EE469F">
      <w:pPr>
        <w:ind w:left="709"/>
        <w:jc w:val="both"/>
        <w:rPr>
          <w:sz w:val="24"/>
        </w:rPr>
      </w:pPr>
      <w:r>
        <w:rPr>
          <w:sz w:val="24"/>
        </w:rPr>
        <w:t xml:space="preserve">       Утверждено Советом терапевтического факультета БелМАПО в качестве учебно-методического пособия 20.01.2005г., протокол №1</w:t>
      </w:r>
    </w:p>
    <w:p w:rsidR="00707313" w:rsidRDefault="00707313" w:rsidP="00EE469F">
      <w:pPr>
        <w:ind w:left="709"/>
        <w:jc w:val="both"/>
        <w:rPr>
          <w:sz w:val="24"/>
        </w:rPr>
      </w:pPr>
    </w:p>
    <w:p w:rsidR="00707313" w:rsidRDefault="00707313" w:rsidP="00EE469F">
      <w:pPr>
        <w:ind w:left="709"/>
        <w:jc w:val="both"/>
        <w:rPr>
          <w:sz w:val="24"/>
        </w:rPr>
      </w:pPr>
    </w:p>
    <w:p w:rsidR="00EE469F" w:rsidRDefault="00707313" w:rsidP="00EE469F">
      <w:pPr>
        <w:ind w:left="709"/>
        <w:jc w:val="both"/>
        <w:rPr>
          <w:sz w:val="24"/>
        </w:rPr>
      </w:pPr>
      <w:r>
        <w:rPr>
          <w:sz w:val="24"/>
        </w:rPr>
        <w:t xml:space="preserve">       </w:t>
      </w:r>
      <w:r w:rsidR="00EE469F">
        <w:rPr>
          <w:sz w:val="24"/>
        </w:rPr>
        <w:t xml:space="preserve"> </w:t>
      </w:r>
    </w:p>
    <w:p w:rsidR="00EE469F" w:rsidRDefault="00707313" w:rsidP="00EE469F">
      <w:pPr>
        <w:ind w:firstLine="851"/>
        <w:jc w:val="both"/>
        <w:rPr>
          <w:sz w:val="28"/>
        </w:rPr>
      </w:pPr>
      <w:r>
        <w:rPr>
          <w:sz w:val="28"/>
        </w:rPr>
        <w:t>В пособии изложены современные представления о воспалительных заболеваниях желудка и 12-перстной кишки у детей и подростков. Приведены классификации, освещены вопросы клиники, диагностики, представлены основные группы препаратов используемых при лечении, предложены схемы лечения.</w:t>
      </w:r>
    </w:p>
    <w:p w:rsidR="00707313" w:rsidRDefault="00707313" w:rsidP="00EE469F">
      <w:pPr>
        <w:ind w:firstLine="851"/>
        <w:jc w:val="both"/>
        <w:rPr>
          <w:sz w:val="28"/>
        </w:rPr>
      </w:pPr>
    </w:p>
    <w:p w:rsidR="00EE469F" w:rsidRDefault="00EE469F" w:rsidP="00EE469F">
      <w:pPr>
        <w:jc w:val="both"/>
        <w:rPr>
          <w:sz w:val="28"/>
        </w:rPr>
      </w:pPr>
    </w:p>
    <w:p w:rsidR="00EE469F" w:rsidRDefault="00707313" w:rsidP="00707313">
      <w:pPr>
        <w:ind w:left="926" w:hanging="75"/>
        <w:jc w:val="both"/>
        <w:rPr>
          <w:sz w:val="24"/>
        </w:rPr>
      </w:pPr>
      <w:r>
        <w:rPr>
          <w:sz w:val="24"/>
        </w:rPr>
        <w:t>Отпечатано в типографии ООО «Ан-принт». Лицензия №02330/0056695 от 29 марта 2004г. Заказ №136 Тираж 1500 экз</w:t>
      </w:r>
    </w:p>
    <w:p w:rsidR="00EE469F" w:rsidRDefault="00EE469F" w:rsidP="00EE469F">
      <w:pPr>
        <w:ind w:left="926"/>
        <w:jc w:val="both"/>
        <w:rPr>
          <w:sz w:val="28"/>
        </w:rPr>
      </w:pPr>
    </w:p>
    <w:p w:rsidR="00EE469F" w:rsidRDefault="00EE469F" w:rsidP="00EE469F">
      <w:pPr>
        <w:jc w:val="both"/>
        <w:rPr>
          <w:sz w:val="28"/>
        </w:rPr>
      </w:pPr>
    </w:p>
    <w:p w:rsidR="00EE469F" w:rsidRDefault="00EE469F" w:rsidP="00EE469F">
      <w:pPr>
        <w:ind w:left="926"/>
        <w:jc w:val="both"/>
        <w:rPr>
          <w:sz w:val="28"/>
        </w:rPr>
      </w:pPr>
    </w:p>
    <w:p w:rsidR="00EE469F" w:rsidRDefault="00EE469F" w:rsidP="00EE469F">
      <w:pPr>
        <w:ind w:firstLine="851"/>
        <w:jc w:val="both"/>
        <w:rPr>
          <w:sz w:val="28"/>
        </w:rPr>
      </w:pPr>
    </w:p>
    <w:p w:rsidR="00EE469F" w:rsidRDefault="00707313" w:rsidP="00EE469F">
      <w:pPr>
        <w:rPr>
          <w:sz w:val="24"/>
        </w:rPr>
      </w:pPr>
      <w:r>
        <w:rPr>
          <w:sz w:val="24"/>
        </w:rPr>
        <w:t xml:space="preserve"> </w:t>
      </w:r>
    </w:p>
    <w:p w:rsidR="00EE469F" w:rsidRDefault="00EE469F" w:rsidP="00EE469F">
      <w:pPr>
        <w:pStyle w:val="9"/>
      </w:pPr>
    </w:p>
    <w:p w:rsidR="00EE469F" w:rsidRDefault="00EE469F" w:rsidP="00EE469F">
      <w:pPr>
        <w:pStyle w:val="9"/>
      </w:pPr>
    </w:p>
    <w:p w:rsidR="00EE469F" w:rsidRDefault="00EE469F" w:rsidP="00707313">
      <w:pPr>
        <w:jc w:val="center"/>
        <w:rPr>
          <w:b/>
          <w:sz w:val="24"/>
        </w:rPr>
      </w:pPr>
      <w:r>
        <w:rPr>
          <w:b/>
          <w:sz w:val="24"/>
        </w:rPr>
        <w:t>УДК616.</w:t>
      </w:r>
      <w:r w:rsidR="00707313">
        <w:rPr>
          <w:b/>
          <w:sz w:val="24"/>
        </w:rPr>
        <w:t>33-07-08-053.3-053.6+616.342-07-08-053ю3-053.6]075.8</w:t>
      </w:r>
    </w:p>
    <w:p w:rsidR="00EE469F" w:rsidRDefault="00707313" w:rsidP="00707313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        </w:t>
      </w:r>
      <w:r w:rsidR="00EE469F">
        <w:rPr>
          <w:b/>
          <w:sz w:val="24"/>
        </w:rPr>
        <w:t>ББК 5</w:t>
      </w:r>
      <w:r>
        <w:rPr>
          <w:b/>
          <w:sz w:val="24"/>
        </w:rPr>
        <w:t>7.3</w:t>
      </w:r>
      <w:r w:rsidR="00EE469F">
        <w:rPr>
          <w:b/>
          <w:sz w:val="24"/>
        </w:rPr>
        <w:t>я7</w:t>
      </w:r>
    </w:p>
    <w:p w:rsidR="00EE469F" w:rsidRDefault="00EE469F" w:rsidP="00EE469F">
      <w:pPr>
        <w:pStyle w:val="a3"/>
        <w:jc w:val="center"/>
        <w:rPr>
          <w:b/>
          <w:sz w:val="24"/>
        </w:rPr>
      </w:pPr>
    </w:p>
    <w:p w:rsidR="00EE469F" w:rsidRDefault="00EE469F" w:rsidP="00EE469F">
      <w:pPr>
        <w:pStyle w:val="a3"/>
        <w:jc w:val="center"/>
        <w:rPr>
          <w:b/>
          <w:sz w:val="24"/>
        </w:rPr>
      </w:pPr>
    </w:p>
    <w:p w:rsidR="00EE469F" w:rsidRDefault="00EE469F" w:rsidP="00EE469F">
      <w:pPr>
        <w:pStyle w:val="a3"/>
        <w:jc w:val="center"/>
        <w:rPr>
          <w:b/>
          <w:sz w:val="24"/>
        </w:rPr>
      </w:pPr>
    </w:p>
    <w:p w:rsidR="00782463" w:rsidRDefault="00782463" w:rsidP="00EE469F">
      <w:pPr>
        <w:pStyle w:val="a3"/>
        <w:jc w:val="center"/>
        <w:rPr>
          <w:b/>
        </w:rPr>
      </w:pPr>
      <w:r>
        <w:rPr>
          <w:b/>
        </w:rPr>
        <w:t>СОДЕРЖАНИЕ</w:t>
      </w:r>
    </w:p>
    <w:p w:rsidR="00782463" w:rsidRDefault="00782463">
      <w:pPr>
        <w:pStyle w:val="a3"/>
      </w:pPr>
    </w:p>
    <w:p w:rsidR="00782463" w:rsidRDefault="00485E76">
      <w:pPr>
        <w:pStyle w:val="a3"/>
      </w:pPr>
      <w:r>
        <w:t>Введение…………………………………………………..4</w:t>
      </w:r>
    </w:p>
    <w:p w:rsidR="00782463" w:rsidRDefault="00782463">
      <w:pPr>
        <w:pStyle w:val="a3"/>
      </w:pPr>
      <w:r>
        <w:t xml:space="preserve">Хронический гастрит </w:t>
      </w:r>
    </w:p>
    <w:p w:rsidR="00782463" w:rsidRDefault="00782463">
      <w:pPr>
        <w:pStyle w:val="a3"/>
      </w:pPr>
      <w:r>
        <w:t xml:space="preserve">       классификаци</w:t>
      </w:r>
      <w:r w:rsidR="00485E76">
        <w:t>я, клиника            …………………….6</w:t>
      </w:r>
    </w:p>
    <w:p w:rsidR="00782463" w:rsidRDefault="00782463">
      <w:pPr>
        <w:pStyle w:val="a3"/>
      </w:pPr>
      <w:r>
        <w:t xml:space="preserve">        </w:t>
      </w:r>
    </w:p>
    <w:p w:rsidR="00782463" w:rsidRDefault="00782463">
      <w:pPr>
        <w:pStyle w:val="a3"/>
      </w:pPr>
      <w:r>
        <w:t>Хронический дуоденит</w:t>
      </w:r>
    </w:p>
    <w:p w:rsidR="00782463" w:rsidRDefault="00782463">
      <w:pPr>
        <w:pStyle w:val="a3"/>
      </w:pPr>
      <w:r>
        <w:t xml:space="preserve">       кл</w:t>
      </w:r>
      <w:r w:rsidR="00485E76">
        <w:t>ассификация, клиника……………………………10</w:t>
      </w:r>
    </w:p>
    <w:p w:rsidR="00782463" w:rsidRDefault="00782463">
      <w:pPr>
        <w:pStyle w:val="a3"/>
      </w:pPr>
      <w:r>
        <w:t xml:space="preserve">       </w:t>
      </w:r>
    </w:p>
    <w:p w:rsidR="00782463" w:rsidRDefault="00782463">
      <w:pPr>
        <w:pStyle w:val="a3"/>
      </w:pPr>
      <w:r>
        <w:t>Язвенная болезнь</w:t>
      </w:r>
    </w:p>
    <w:p w:rsidR="00782463" w:rsidRDefault="00782463">
      <w:pPr>
        <w:pStyle w:val="a3"/>
      </w:pPr>
      <w:r>
        <w:t xml:space="preserve">        критерии диагноза, клиника      ……………………1</w:t>
      </w:r>
      <w:r w:rsidR="00485E76">
        <w:t>2</w:t>
      </w:r>
    </w:p>
    <w:p w:rsidR="00782463" w:rsidRDefault="00782463">
      <w:pPr>
        <w:pStyle w:val="a3"/>
      </w:pPr>
      <w:r>
        <w:t xml:space="preserve">        </w:t>
      </w:r>
    </w:p>
    <w:p w:rsidR="00782463" w:rsidRDefault="00485E76">
      <w:pPr>
        <w:pStyle w:val="a3"/>
      </w:pPr>
      <w:r>
        <w:t>Лечение…………………………………………………    14</w:t>
      </w:r>
    </w:p>
    <w:p w:rsidR="00782463" w:rsidRDefault="00485E76">
      <w:pPr>
        <w:pStyle w:val="a3"/>
      </w:pPr>
      <w:r>
        <w:t>Приложения……………………………………………… 17</w:t>
      </w:r>
    </w:p>
    <w:p w:rsidR="00782463" w:rsidRDefault="00782463">
      <w:pPr>
        <w:pStyle w:val="a3"/>
      </w:pPr>
      <w:r>
        <w:t xml:space="preserve">Литература                                             </w:t>
      </w:r>
      <w:r w:rsidR="00485E76">
        <w:t xml:space="preserve">                              22</w:t>
      </w:r>
      <w:r>
        <w:t xml:space="preserve">       </w:t>
      </w:r>
    </w:p>
    <w:p w:rsidR="00782463" w:rsidRDefault="00782463">
      <w:pPr>
        <w:pStyle w:val="a3"/>
      </w:pPr>
      <w:r>
        <w:t xml:space="preserve">           </w:t>
      </w: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</w:p>
    <w:p w:rsidR="00782463" w:rsidRDefault="00782463">
      <w:pPr>
        <w:pStyle w:val="a3"/>
        <w:jc w:val="both"/>
      </w:pPr>
      <w:r>
        <w:t>Болезни желудочно-кишечного тракта  у детей и  подростков являются достаточно  распространенными заболеваниями.</w:t>
      </w:r>
    </w:p>
    <w:p w:rsidR="00782463" w:rsidRDefault="00782463">
      <w:pPr>
        <w:pStyle w:val="20"/>
      </w:pPr>
      <w:r>
        <w:t xml:space="preserve">В последние годы в целом отмечается рост заболеваний желудочно-кишечного тракта: в 1999 году  болезни пищеварения у детей составили 4501,2 случая на 100000 детского населения, а в 2003 году – 5256,2; у подростков соответственно – 4022,4 и 4123,3. Причем в течение последних 5 лет среди этой патологии отмечается  рост язвенной болезни желудка и 12-перстной кишки как у детей (в 1.2 раза), так и у подростков (1.3 раза).  Среди причин, способствующих развитию язвенной болезни, обсуждается роль неблагоприятных факторов среды, инвазии микроорганизмов, погрешности в питании, курение и др. Важное значение придается наследственному фактору. </w:t>
      </w:r>
    </w:p>
    <w:p w:rsidR="00782463" w:rsidRDefault="00782463">
      <w:pPr>
        <w:pStyle w:val="20"/>
      </w:pPr>
      <w:r>
        <w:rPr>
          <w:b/>
          <w:sz w:val="32"/>
        </w:rPr>
        <w:t>Хронический гастрит</w:t>
      </w:r>
      <w:r>
        <w:t xml:space="preserve"> – одно из самых распространенных заболеваний органов пищеварения. </w:t>
      </w:r>
      <w:r>
        <w:rPr>
          <w:b/>
          <w:i/>
        </w:rPr>
        <w:t>Гастрит</w:t>
      </w:r>
      <w:r>
        <w:rPr>
          <w:b/>
        </w:rPr>
        <w:t xml:space="preserve"> </w:t>
      </w:r>
      <w:r>
        <w:t xml:space="preserve">– это морфологический диагноз, который можно поставить только после патогистологического исследования гастробиоптатов. </w:t>
      </w:r>
      <w:r>
        <w:rPr>
          <w:b/>
          <w:i/>
        </w:rPr>
        <w:t>Хронический гастрит</w:t>
      </w:r>
      <w:r>
        <w:t xml:space="preserve"> – это хронический воспалительный процесс слизистой оболочки желудка характеризующийся: </w:t>
      </w:r>
    </w:p>
    <w:p w:rsidR="00782463" w:rsidRDefault="00782463">
      <w:pPr>
        <w:pStyle w:val="20"/>
        <w:numPr>
          <w:ilvl w:val="0"/>
          <w:numId w:val="13"/>
        </w:numPr>
        <w:tabs>
          <w:tab w:val="clear" w:pos="1097"/>
          <w:tab w:val="num" w:pos="1080"/>
        </w:tabs>
        <w:ind w:left="343"/>
      </w:pPr>
      <w:r>
        <w:rPr>
          <w:i/>
        </w:rPr>
        <w:t>нарушением её физиологической регенерации;</w:t>
      </w:r>
    </w:p>
    <w:p w:rsidR="00782463" w:rsidRDefault="00782463">
      <w:pPr>
        <w:pStyle w:val="20"/>
        <w:numPr>
          <w:ilvl w:val="0"/>
          <w:numId w:val="13"/>
        </w:numPr>
        <w:tabs>
          <w:tab w:val="clear" w:pos="1097"/>
          <w:tab w:val="num" w:pos="1080"/>
        </w:tabs>
        <w:ind w:left="343"/>
      </w:pPr>
      <w:r>
        <w:rPr>
          <w:i/>
        </w:rPr>
        <w:t>уменьшением количества железистых клеток;</w:t>
      </w:r>
    </w:p>
    <w:p w:rsidR="00782463" w:rsidRDefault="00782463">
      <w:pPr>
        <w:pStyle w:val="20"/>
        <w:numPr>
          <w:ilvl w:val="0"/>
          <w:numId w:val="13"/>
        </w:numPr>
        <w:tabs>
          <w:tab w:val="clear" w:pos="1097"/>
          <w:tab w:val="num" w:pos="1080"/>
        </w:tabs>
        <w:ind w:left="343"/>
      </w:pPr>
      <w:r>
        <w:rPr>
          <w:i/>
        </w:rPr>
        <w:t>при прогрессировании – атрофией железистого эпителия;</w:t>
      </w:r>
    </w:p>
    <w:p w:rsidR="00782463" w:rsidRDefault="00782463">
      <w:pPr>
        <w:pStyle w:val="20"/>
        <w:numPr>
          <w:ilvl w:val="0"/>
          <w:numId w:val="13"/>
        </w:numPr>
        <w:ind w:left="343"/>
      </w:pPr>
      <w:r>
        <w:rPr>
          <w:i/>
        </w:rPr>
        <w:t xml:space="preserve">развитием кишечной метаплазии и в последующем –  дисплазии. </w:t>
      </w:r>
    </w:p>
    <w:p w:rsidR="00782463" w:rsidRDefault="00782463">
      <w:pPr>
        <w:pStyle w:val="20"/>
      </w:pPr>
      <w:r>
        <w:t xml:space="preserve">Последовательность развития патологических процессов  в слизистой оболочке желудка под воздействием неблагоприятных факторов (в частности, хеликобактерной инфекции) можно представить следующими этапами </w:t>
      </w:r>
    </w:p>
    <w:p w:rsidR="00782463" w:rsidRDefault="00782463">
      <w:pPr>
        <w:pStyle w:val="20"/>
        <w:ind w:firstLine="0"/>
      </w:pPr>
      <w:r>
        <w:t>(</w:t>
      </w:r>
      <w:r w:rsidRPr="00EE469F">
        <w:t xml:space="preserve"> </w:t>
      </w:r>
      <w:r>
        <w:rPr>
          <w:lang w:val="en-US"/>
        </w:rPr>
        <w:t>P</w:t>
      </w:r>
      <w:r w:rsidRPr="00EE469F">
        <w:t>.</w:t>
      </w:r>
      <w:r>
        <w:rPr>
          <w:lang w:val="en-US"/>
        </w:rPr>
        <w:t>Correa</w:t>
      </w:r>
      <w:r>
        <w:t>, 1992г.).</w:t>
      </w: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782463">
      <w:pPr>
        <w:pStyle w:val="20"/>
        <w:jc w:val="center"/>
        <w:rPr>
          <w:b/>
        </w:rPr>
      </w:pPr>
      <w:r>
        <w:rPr>
          <w:b/>
        </w:rPr>
        <w:t xml:space="preserve">КАСКАД </w:t>
      </w:r>
      <w:r w:rsidRPr="00EE469F">
        <w:rPr>
          <w:b/>
        </w:rPr>
        <w:t xml:space="preserve">     </w:t>
      </w:r>
      <w:r>
        <w:rPr>
          <w:b/>
          <w:lang w:val="en-US"/>
        </w:rPr>
        <w:t>P</w:t>
      </w:r>
      <w:r w:rsidRPr="00EE469F">
        <w:rPr>
          <w:b/>
        </w:rPr>
        <w:t>.</w:t>
      </w:r>
      <w:r>
        <w:rPr>
          <w:b/>
          <w:lang w:val="en-US"/>
        </w:rPr>
        <w:t>CORREA</w:t>
      </w: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437285">
      <w:pPr>
        <w:pStyle w:val="20"/>
        <w:rPr>
          <w:b/>
        </w:rPr>
      </w:pPr>
      <w:r>
        <w:rPr>
          <w:b/>
          <w:noProof/>
        </w:rPr>
        <w:pict>
          <v:line id="_x0000_s1036" style="position:absolute;left:0;text-align:left;z-index:251659776" from="220.25pt,19.95pt" to="220.25pt,55.45pt" o:allowincell="f">
            <v:stroke endarrow="block"/>
          </v:line>
        </w:pict>
      </w:r>
      <w:r w:rsidR="00782463" w:rsidRPr="00EE469F">
        <w:rPr>
          <w:b/>
        </w:rPr>
        <w:t xml:space="preserve">                                                </w:t>
      </w:r>
      <w:r w:rsidR="00782463">
        <w:rPr>
          <w:b/>
          <w:lang w:val="en-US"/>
        </w:rPr>
        <w:t>Hp</w:t>
      </w:r>
      <w:r w:rsidR="00782463" w:rsidRPr="00EE469F">
        <w:rPr>
          <w:b/>
        </w:rPr>
        <w:t xml:space="preserve"> (</w:t>
      </w:r>
      <w:r w:rsidR="00782463">
        <w:rPr>
          <w:b/>
          <w:lang w:val="en-US"/>
        </w:rPr>
        <w:t>Helicobacter</w:t>
      </w:r>
      <w:r w:rsidR="00782463" w:rsidRPr="00EE469F">
        <w:rPr>
          <w:b/>
        </w:rPr>
        <w:t xml:space="preserve"> </w:t>
      </w:r>
      <w:r w:rsidR="00782463">
        <w:rPr>
          <w:b/>
          <w:lang w:val="en-US"/>
        </w:rPr>
        <w:t>pylori</w:t>
      </w:r>
      <w:r w:rsidR="00782463" w:rsidRPr="00EE469F">
        <w:rPr>
          <w:b/>
        </w:rPr>
        <w:t>)</w:t>
      </w:r>
    </w:p>
    <w:p w:rsidR="00782463" w:rsidRPr="00EE469F" w:rsidRDefault="00782463">
      <w:pPr>
        <w:pStyle w:val="20"/>
        <w:jc w:val="center"/>
        <w:rPr>
          <w:b/>
        </w:rPr>
      </w:pPr>
    </w:p>
    <w:p w:rsidR="00782463" w:rsidRDefault="00437285">
      <w:pPr>
        <w:pStyle w:val="20"/>
        <w:rPr>
          <w:b/>
        </w:rPr>
      </w:pPr>
      <w:r>
        <w:rPr>
          <w:b/>
          <w:noProof/>
        </w:rPr>
        <w:pict>
          <v:line id="_x0000_s1031" style="position:absolute;left:0;text-align:left;z-index:251655680" from="291.25pt,17.1pt" to="291.25pt,45.5pt" o:allowincell="f">
            <v:stroke endarrow="block"/>
          </v:line>
        </w:pict>
      </w:r>
      <w:r w:rsidR="00782463">
        <w:rPr>
          <w:b/>
        </w:rPr>
        <w:t xml:space="preserve">               Норма ------------------------------- ХГ</w:t>
      </w:r>
      <w:r w:rsidR="00782463" w:rsidRPr="00EE469F">
        <w:rPr>
          <w:b/>
        </w:rPr>
        <w:t xml:space="preserve"> (</w:t>
      </w:r>
      <w:r w:rsidR="00782463">
        <w:rPr>
          <w:b/>
        </w:rPr>
        <w:t>хронический гастрит)</w:t>
      </w:r>
    </w:p>
    <w:p w:rsidR="00782463" w:rsidRDefault="00782463">
      <w:pPr>
        <w:pStyle w:val="20"/>
        <w:rPr>
          <w:b/>
        </w:rPr>
      </w:pPr>
    </w:p>
    <w:p w:rsidR="00782463" w:rsidRDefault="00437285">
      <w:pPr>
        <w:pStyle w:val="20"/>
        <w:rPr>
          <w:b/>
        </w:rPr>
      </w:pPr>
      <w:r>
        <w:rPr>
          <w:b/>
          <w:noProof/>
        </w:rPr>
        <w:pict>
          <v:line id="_x0000_s1032" style="position:absolute;left:0;text-align:left;z-index:251656704" from="291.25pt,18.5pt" to="291.25pt,46.9pt" o:allowincell="f">
            <v:stroke endarrow="block"/>
          </v:line>
        </w:pict>
      </w:r>
      <w:r w:rsidR="00782463">
        <w:rPr>
          <w:b/>
        </w:rPr>
        <w:t xml:space="preserve">                                                                 атрофия</w:t>
      </w:r>
    </w:p>
    <w:p w:rsidR="00782463" w:rsidRPr="00EE469F" w:rsidRDefault="00782463">
      <w:pPr>
        <w:pStyle w:val="20"/>
        <w:jc w:val="center"/>
        <w:rPr>
          <w:b/>
        </w:rPr>
      </w:pPr>
    </w:p>
    <w:p w:rsidR="00782463" w:rsidRPr="00EE469F" w:rsidRDefault="00437285">
      <w:pPr>
        <w:pStyle w:val="20"/>
        <w:jc w:val="center"/>
        <w:rPr>
          <w:b/>
        </w:rPr>
      </w:pPr>
      <w:r>
        <w:rPr>
          <w:b/>
          <w:noProof/>
        </w:rPr>
        <w:pict>
          <v:line id="_x0000_s1033" style="position:absolute;left:0;text-align:left;z-index:251657728" from="291.25pt,19.9pt" to="291.25pt,48.3pt" o:allowincell="f">
            <v:stroke endarrow="block"/>
          </v:line>
        </w:pict>
      </w:r>
      <w:r w:rsidR="00782463" w:rsidRPr="00EE469F">
        <w:rPr>
          <w:b/>
        </w:rPr>
        <w:t xml:space="preserve">                   метаплазия</w:t>
      </w:r>
    </w:p>
    <w:p w:rsidR="00782463" w:rsidRPr="00EE469F" w:rsidRDefault="00782463">
      <w:pPr>
        <w:pStyle w:val="20"/>
        <w:jc w:val="center"/>
      </w:pPr>
    </w:p>
    <w:p w:rsidR="00782463" w:rsidRDefault="00437285">
      <w:pPr>
        <w:pStyle w:val="20"/>
        <w:ind w:firstLine="0"/>
        <w:rPr>
          <w:b/>
        </w:rPr>
      </w:pPr>
      <w:r>
        <w:rPr>
          <w:noProof/>
        </w:rPr>
        <w:pict>
          <v:line id="_x0000_s1034" style="position:absolute;left:0;text-align:left;z-index:251658752" from="333.85pt,7.1pt" to="376.45pt,7.1pt" o:allowincell="f">
            <v:stroke endarrow="block"/>
          </v:line>
        </w:pict>
      </w:r>
      <w:r w:rsidR="00782463">
        <w:t xml:space="preserve">                                                                          </w:t>
      </w:r>
      <w:r w:rsidR="00782463">
        <w:rPr>
          <w:b/>
        </w:rPr>
        <w:t>дисплазия                рак</w:t>
      </w:r>
    </w:p>
    <w:p w:rsidR="00782463" w:rsidRDefault="00782463">
      <w:pPr>
        <w:pStyle w:val="20"/>
        <w:ind w:firstLine="0"/>
        <w:rPr>
          <w:b/>
        </w:rPr>
      </w:pPr>
    </w:p>
    <w:p w:rsidR="00782463" w:rsidRDefault="00782463">
      <w:pPr>
        <w:pStyle w:val="20"/>
        <w:ind w:firstLine="0"/>
        <w:rPr>
          <w:b/>
        </w:rPr>
      </w:pPr>
    </w:p>
    <w:p w:rsidR="00782463" w:rsidRDefault="00782463">
      <w:pPr>
        <w:pStyle w:val="20"/>
      </w:pPr>
      <w:r>
        <w:t>В диагностике заболеваний желудочно-кишечного тракта ведущим является эндоскопическое обследование с последующим морфологическим исследованием биоптатов. Результаты эндоскопического и морфологического исследований положены в основу современных классификаций, используемых  практическими  врачами.</w:t>
      </w:r>
    </w:p>
    <w:p w:rsidR="00782463" w:rsidRDefault="00782463">
      <w:pPr>
        <w:pStyle w:val="20"/>
      </w:pPr>
      <w:r>
        <w:t xml:space="preserve">Новая международная классификация гастрита была опубликована в конце 1996 года. Она представляет собой модификацию Сиднейской системы, принятой в 1990 году, и сохраняет ее основной принцип – сочетание в диагнозе этиологии, топографии и гистологической характеристики (таблица 1). </w:t>
      </w: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center"/>
      </w:pPr>
    </w:p>
    <w:p w:rsidR="00782463" w:rsidRDefault="00782463">
      <w:pPr>
        <w:pStyle w:val="20"/>
        <w:jc w:val="right"/>
      </w:pPr>
      <w:r>
        <w:t>Таблица 1.</w:t>
      </w:r>
    </w:p>
    <w:p w:rsidR="00782463" w:rsidRDefault="00782463">
      <w:pPr>
        <w:pStyle w:val="20"/>
        <w:jc w:val="center"/>
        <w:rPr>
          <w:b/>
          <w:sz w:val="32"/>
        </w:rPr>
      </w:pPr>
      <w:r>
        <w:rPr>
          <w:b/>
          <w:sz w:val="32"/>
        </w:rPr>
        <w:t>Международная классификация хронических гастритов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2940"/>
      </w:tblGrid>
      <w:tr w:rsidR="00782463">
        <w:trPr>
          <w:cantSplit/>
          <w:trHeight w:val="880"/>
        </w:trPr>
        <w:tc>
          <w:tcPr>
            <w:tcW w:w="2802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гастрита</w:t>
            </w:r>
          </w:p>
        </w:tc>
        <w:tc>
          <w:tcPr>
            <w:tcW w:w="4110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Этиологические</w:t>
            </w:r>
          </w:p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факторы</w:t>
            </w:r>
          </w:p>
        </w:tc>
        <w:tc>
          <w:tcPr>
            <w:tcW w:w="2940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Морфологические</w:t>
            </w:r>
          </w:p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изменения</w:t>
            </w:r>
          </w:p>
        </w:tc>
      </w:tr>
      <w:tr w:rsidR="00782463">
        <w:trPr>
          <w:cantSplit/>
          <w:trHeight w:val="483"/>
        </w:trPr>
        <w:tc>
          <w:tcPr>
            <w:tcW w:w="2802" w:type="dxa"/>
            <w:vMerge w:val="restart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Неатрофический</w:t>
            </w:r>
          </w:p>
        </w:tc>
        <w:tc>
          <w:tcPr>
            <w:tcW w:w="4110" w:type="dxa"/>
            <w:vMerge w:val="restart"/>
          </w:tcPr>
          <w:p w:rsidR="00782463" w:rsidRDefault="00782463">
            <w:pPr>
              <w:pStyle w:val="20"/>
              <w:ind w:firstLine="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H.pylori</w:t>
            </w:r>
          </w:p>
          <w:p w:rsidR="00782463" w:rsidRDefault="00782463">
            <w:pPr>
              <w:pStyle w:val="20"/>
              <w:ind w:firstLine="0"/>
              <w:rPr>
                <w:lang w:val="en-US"/>
              </w:rPr>
            </w:pPr>
            <w:r>
              <w:rPr>
                <w:lang w:val="en-US"/>
              </w:rPr>
              <w:t>другие факторы</w:t>
            </w:r>
          </w:p>
          <w:p w:rsidR="00782463" w:rsidRDefault="00782463">
            <w:pPr>
              <w:pStyle w:val="20"/>
            </w:pPr>
          </w:p>
        </w:tc>
        <w:tc>
          <w:tcPr>
            <w:tcW w:w="2940" w:type="dxa"/>
            <w:vMerge w:val="restart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Степень обсеменения </w:t>
            </w:r>
            <w:r>
              <w:rPr>
                <w:sz w:val="24"/>
                <w:lang w:val="en-US"/>
              </w:rPr>
              <w:t>H</w:t>
            </w:r>
            <w:r w:rsidRPr="00EE469F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pylori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>Степень инфильтрации полиморфноядерных лейкоцитов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>Степень инфильтрации мононуклеарных клеток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 xml:space="preserve">Стадия атрофии 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>антра-льного отдела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 xml:space="preserve">Стадия атрофии 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  <w:r w:rsidRPr="00EE469F">
              <w:rPr>
                <w:sz w:val="24"/>
              </w:rPr>
              <w:t>фунда-льного отдела</w:t>
            </w: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Pr="00EE469F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Стадия кишечной </w:t>
            </w:r>
          </w:p>
          <w:p w:rsidR="00782463" w:rsidRDefault="00782463">
            <w:pPr>
              <w:pStyle w:val="20"/>
              <w:ind w:firstLine="0"/>
            </w:pPr>
            <w:r>
              <w:rPr>
                <w:sz w:val="24"/>
                <w:lang w:val="en-US"/>
              </w:rPr>
              <w:t>метаплазии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</w:pPr>
          </w:p>
        </w:tc>
      </w:tr>
      <w:tr w:rsidR="00782463">
        <w:trPr>
          <w:cantSplit/>
          <w:trHeight w:val="483"/>
        </w:trPr>
        <w:tc>
          <w:tcPr>
            <w:tcW w:w="2802" w:type="dxa"/>
            <w:vMerge/>
          </w:tcPr>
          <w:p w:rsidR="00782463" w:rsidRDefault="00782463">
            <w:pPr>
              <w:pStyle w:val="20"/>
            </w:pPr>
          </w:p>
        </w:tc>
        <w:tc>
          <w:tcPr>
            <w:tcW w:w="4110" w:type="dxa"/>
            <w:vMerge/>
          </w:tcPr>
          <w:p w:rsidR="00782463" w:rsidRDefault="00782463">
            <w:pPr>
              <w:pStyle w:val="20"/>
            </w:pPr>
          </w:p>
        </w:tc>
        <w:tc>
          <w:tcPr>
            <w:tcW w:w="2940" w:type="dxa"/>
            <w:vMerge/>
          </w:tcPr>
          <w:p w:rsidR="00782463" w:rsidRDefault="00782463">
            <w:pPr>
              <w:pStyle w:val="20"/>
              <w:ind w:firstLine="0"/>
              <w:rPr>
                <w:b/>
                <w:sz w:val="24"/>
              </w:rPr>
            </w:pPr>
          </w:p>
        </w:tc>
      </w:tr>
      <w:tr w:rsidR="00782463">
        <w:trPr>
          <w:cantSplit/>
          <w:trHeight w:val="483"/>
        </w:trPr>
        <w:tc>
          <w:tcPr>
            <w:tcW w:w="2802" w:type="dxa"/>
            <w:vMerge/>
          </w:tcPr>
          <w:p w:rsidR="00782463" w:rsidRDefault="00782463">
            <w:pPr>
              <w:pStyle w:val="20"/>
              <w:ind w:firstLine="0"/>
              <w:rPr>
                <w:b/>
              </w:rPr>
            </w:pPr>
          </w:p>
        </w:tc>
        <w:tc>
          <w:tcPr>
            <w:tcW w:w="4110" w:type="dxa"/>
            <w:vMerge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940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2802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Атрофический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Аутоиммунный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</w:p>
          <w:p w:rsidR="00782463" w:rsidRDefault="00782463">
            <w:pPr>
              <w:pStyle w:val="20"/>
              <w:ind w:firstLine="0"/>
              <w:rPr>
                <w:b/>
              </w:rPr>
            </w:pPr>
          </w:p>
          <w:p w:rsidR="00782463" w:rsidRDefault="00782463">
            <w:pPr>
              <w:pStyle w:val="20"/>
              <w:ind w:firstLine="0"/>
            </w:pPr>
            <w:r>
              <w:rPr>
                <w:b/>
              </w:rPr>
              <w:t>Мультифокальный</w:t>
            </w:r>
          </w:p>
        </w:tc>
        <w:tc>
          <w:tcPr>
            <w:tcW w:w="4110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</w:pPr>
            <w:r>
              <w:rPr>
                <w:sz w:val="24"/>
              </w:rPr>
              <w:t xml:space="preserve"> </w:t>
            </w:r>
            <w:r>
              <w:t>Аутоиммунный</w:t>
            </w:r>
          </w:p>
          <w:p w:rsidR="00782463" w:rsidRDefault="00782463">
            <w:pPr>
              <w:pStyle w:val="20"/>
              <w:ind w:firstLine="0"/>
            </w:pPr>
          </w:p>
          <w:p w:rsidR="00782463" w:rsidRPr="00EE469F" w:rsidRDefault="00782463">
            <w:pPr>
              <w:pStyle w:val="20"/>
              <w:ind w:firstLine="0"/>
            </w:pPr>
            <w:r w:rsidRPr="00EE469F">
              <w:t xml:space="preserve"> </w:t>
            </w:r>
          </w:p>
          <w:p w:rsidR="00782463" w:rsidRPr="00EE469F" w:rsidRDefault="00782463">
            <w:pPr>
              <w:pStyle w:val="20"/>
              <w:ind w:firstLine="0"/>
            </w:pPr>
            <w:r>
              <w:rPr>
                <w:lang w:val="en-US"/>
              </w:rPr>
              <w:t>H</w:t>
            </w:r>
            <w:r w:rsidRPr="00EE469F">
              <w:t>.</w:t>
            </w:r>
            <w:r>
              <w:rPr>
                <w:lang w:val="en-US"/>
              </w:rPr>
              <w:t>pylori</w:t>
            </w:r>
          </w:p>
          <w:p w:rsidR="00782463" w:rsidRDefault="00782463">
            <w:pPr>
              <w:pStyle w:val="20"/>
              <w:ind w:firstLine="0"/>
            </w:pPr>
            <w:r>
              <w:t>особенности питания, факторы среды</w:t>
            </w:r>
          </w:p>
        </w:tc>
        <w:tc>
          <w:tcPr>
            <w:tcW w:w="2940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2802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Особые формы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Химический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Радиационный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Лимфоцитарный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Неинфекционный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гранулематозный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Эозинофильный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</w:p>
          <w:p w:rsidR="00782463" w:rsidRDefault="00782463">
            <w:pPr>
              <w:pStyle w:val="20"/>
              <w:ind w:firstLine="0"/>
            </w:pPr>
            <w:r>
              <w:rPr>
                <w:b/>
              </w:rPr>
              <w:t>Другие инфекционные</w:t>
            </w:r>
          </w:p>
        </w:tc>
        <w:tc>
          <w:tcPr>
            <w:tcW w:w="4110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82463" w:rsidRDefault="00782463">
            <w:pPr>
              <w:pStyle w:val="20"/>
              <w:ind w:firstLine="0"/>
            </w:pPr>
            <w:r>
              <w:t xml:space="preserve">Химические раздражители </w:t>
            </w:r>
          </w:p>
          <w:p w:rsidR="00782463" w:rsidRDefault="00782463">
            <w:pPr>
              <w:pStyle w:val="20"/>
              <w:ind w:firstLine="0"/>
            </w:pPr>
            <w:r>
              <w:t>Лучевые поражения</w:t>
            </w:r>
          </w:p>
          <w:p w:rsidR="00782463" w:rsidRPr="00EE469F" w:rsidRDefault="00782463">
            <w:pPr>
              <w:pStyle w:val="20"/>
              <w:ind w:firstLine="0"/>
            </w:pPr>
            <w:r>
              <w:t>Иммунные механизмы, глютен</w:t>
            </w:r>
          </w:p>
          <w:p w:rsidR="00782463" w:rsidRDefault="00782463">
            <w:pPr>
              <w:pStyle w:val="20"/>
              <w:ind w:firstLine="0"/>
            </w:pPr>
            <w:r>
              <w:t xml:space="preserve">Болезнь Крона, саркоидоз, </w:t>
            </w:r>
          </w:p>
          <w:p w:rsidR="00782463" w:rsidRDefault="00782463">
            <w:pPr>
              <w:pStyle w:val="20"/>
              <w:ind w:firstLine="0"/>
            </w:pPr>
            <w:r>
              <w:t>гранулематоз Вегенера</w:t>
            </w:r>
          </w:p>
          <w:p w:rsidR="00782463" w:rsidRDefault="00782463">
            <w:pPr>
              <w:pStyle w:val="20"/>
              <w:ind w:firstLine="0"/>
            </w:pPr>
            <w:r>
              <w:t>Аллергический</w:t>
            </w:r>
          </w:p>
          <w:p w:rsidR="00782463" w:rsidRDefault="00782463">
            <w:pPr>
              <w:pStyle w:val="20"/>
              <w:ind w:firstLine="0"/>
              <w:rPr>
                <w:sz w:val="22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t xml:space="preserve">Бактерии (кроме </w:t>
            </w:r>
            <w:r>
              <w:rPr>
                <w:lang w:val="en-US"/>
              </w:rPr>
              <w:t>H</w:t>
            </w:r>
            <w:r w:rsidRPr="00EE469F">
              <w:t>.</w:t>
            </w:r>
            <w:r>
              <w:rPr>
                <w:lang w:val="en-US"/>
              </w:rPr>
              <w:t>pylori</w:t>
            </w:r>
            <w:r w:rsidRPr="00EE469F">
              <w:t>), вирусы, грибы, паразиты</w:t>
            </w:r>
          </w:p>
        </w:tc>
        <w:tc>
          <w:tcPr>
            <w:tcW w:w="2940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</w:tbl>
    <w:p w:rsidR="00782463" w:rsidRDefault="00782463">
      <w:pPr>
        <w:pStyle w:val="20"/>
        <w:ind w:firstLine="0"/>
        <w:rPr>
          <w:b/>
        </w:rPr>
      </w:pPr>
    </w:p>
    <w:p w:rsidR="00782463" w:rsidRDefault="00782463">
      <w:pPr>
        <w:pStyle w:val="20"/>
        <w:ind w:firstLine="567"/>
        <w:rPr>
          <w:b/>
        </w:rPr>
      </w:pPr>
      <w:r>
        <w:rPr>
          <w:b/>
        </w:rPr>
        <w:t xml:space="preserve">Критерии оценки  морфологических изменений:  </w:t>
      </w:r>
      <w:r>
        <w:rPr>
          <w:b/>
          <w:lang w:val="en-US"/>
        </w:rPr>
        <w:t>c</w:t>
      </w:r>
      <w:r>
        <w:rPr>
          <w:b/>
        </w:rPr>
        <w:t>лабая (1+), средняя (2+), сильная (3+).</w:t>
      </w:r>
    </w:p>
    <w:p w:rsidR="00782463" w:rsidRDefault="00782463">
      <w:pPr>
        <w:pStyle w:val="20"/>
        <w:ind w:firstLine="0"/>
        <w:rPr>
          <w:b/>
          <w:sz w:val="24"/>
        </w:rPr>
      </w:pPr>
    </w:p>
    <w:p w:rsidR="00782463" w:rsidRDefault="00782463">
      <w:pPr>
        <w:pStyle w:val="20"/>
        <w:ind w:firstLine="0"/>
        <w:rPr>
          <w:b/>
        </w:rPr>
      </w:pPr>
    </w:p>
    <w:p w:rsidR="00782463" w:rsidRDefault="00782463">
      <w:pPr>
        <w:pStyle w:val="20"/>
      </w:pPr>
      <w:r>
        <w:t xml:space="preserve">Нередко хронический гастрит сочетается с поражением двенадцатиперстной кишки – </w:t>
      </w:r>
      <w:r>
        <w:rPr>
          <w:b/>
          <w:i/>
        </w:rPr>
        <w:t>дуоденитом</w:t>
      </w:r>
      <w:r>
        <w:t xml:space="preserve">. Классификация дуоденитов освещалась в эндоскопическом разделе Сиднейской классификации. В дальнейшем в результате большого количества исследований, анализа результатов этих исследований группой авторов (М.Р.Копорев, А.М. Литвянов, Ю.В.Крылов, М.Е.Матвеенко, 2003) сформулированы принципы современной классификации </w:t>
      </w:r>
      <w:r>
        <w:rPr>
          <w:b/>
          <w:i/>
        </w:rPr>
        <w:t xml:space="preserve">хронического дуоденита </w:t>
      </w:r>
      <w:r>
        <w:t>(таблица 2,3,4).</w:t>
      </w:r>
    </w:p>
    <w:p w:rsidR="00782463" w:rsidRDefault="00782463">
      <w:pPr>
        <w:pStyle w:val="20"/>
        <w:jc w:val="right"/>
      </w:pPr>
      <w:r>
        <w:t>Таблица 2.</w:t>
      </w:r>
    </w:p>
    <w:p w:rsidR="00782463" w:rsidRDefault="00782463">
      <w:pPr>
        <w:pStyle w:val="20"/>
        <w:rPr>
          <w:b/>
        </w:rPr>
      </w:pPr>
      <w:r>
        <w:rPr>
          <w:b/>
        </w:rPr>
        <w:t>Эндоскопический раздел классификации хронического дуоденита</w:t>
      </w:r>
    </w:p>
    <w:tbl>
      <w:tblPr>
        <w:tblW w:w="0" w:type="auto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112"/>
        <w:gridCol w:w="2646"/>
        <w:gridCol w:w="3285"/>
      </w:tblGrid>
      <w:tr w:rsidR="00782463">
        <w:tc>
          <w:tcPr>
            <w:tcW w:w="3112" w:type="dxa"/>
            <w:tcBorders>
              <w:bottom w:val="single" w:sz="6" w:space="0" w:color="000000"/>
              <w:right w:val="single" w:sz="4" w:space="0" w:color="auto"/>
            </w:tcBorders>
            <w:shd w:val="pct50" w:color="808080" w:fill="FFFFFF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Эндоскопические термины</w:t>
            </w:r>
          </w:p>
        </w:tc>
        <w:tc>
          <w:tcPr>
            <w:tcW w:w="2646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pct50" w:color="808080" w:fill="FFFFFF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Эндоскопическая </w:t>
            </w:r>
          </w:p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3285" w:type="dxa"/>
            <w:tcBorders>
              <w:left w:val="nil"/>
              <w:bottom w:val="single" w:sz="6" w:space="0" w:color="000000"/>
            </w:tcBorders>
            <w:shd w:val="pct50" w:color="808080" w:fill="FFFFFF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Топографическая</w:t>
            </w:r>
          </w:p>
          <w:p w:rsidR="00782463" w:rsidRDefault="00782463">
            <w:pPr>
              <w:pStyle w:val="20"/>
              <w:ind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782463">
        <w:tc>
          <w:tcPr>
            <w:tcW w:w="3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</w:pPr>
            <w:r>
              <w:t>Гиперемия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Эритематозный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 xml:space="preserve">Проксимальный </w:t>
            </w:r>
          </w:p>
          <w:p w:rsidR="00782463" w:rsidRDefault="00782463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(бульбит)</w:t>
            </w:r>
          </w:p>
        </w:tc>
      </w:tr>
      <w:tr w:rsidR="00782463"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</w:pPr>
            <w:r>
              <w:t>Геморрагии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Геморрагический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Дистальный</w:t>
            </w:r>
          </w:p>
          <w:p w:rsidR="00782463" w:rsidRDefault="00782463">
            <w:pPr>
              <w:pStyle w:val="20"/>
              <w:ind w:firstLine="0"/>
              <w:jc w:val="center"/>
            </w:pPr>
            <w:r>
              <w:rPr>
                <w:sz w:val="24"/>
              </w:rPr>
              <w:t>(постбульбарный)</w:t>
            </w:r>
          </w:p>
        </w:tc>
      </w:tr>
      <w:tr w:rsidR="00782463"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</w:pPr>
            <w:r>
              <w:t>Атрофия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Атрофический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 xml:space="preserve">Локальный </w:t>
            </w:r>
          </w:p>
          <w:p w:rsidR="00782463" w:rsidRDefault="00782463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(папиллит)</w:t>
            </w:r>
          </w:p>
        </w:tc>
      </w:tr>
      <w:tr w:rsidR="00782463"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</w:pPr>
            <w:r>
              <w:t>Эрозии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Эрозивный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 xml:space="preserve">Диффузный </w:t>
            </w:r>
          </w:p>
          <w:p w:rsidR="00782463" w:rsidRDefault="00782463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(тотальный)</w:t>
            </w:r>
          </w:p>
        </w:tc>
      </w:tr>
      <w:tr w:rsidR="00782463">
        <w:tc>
          <w:tcPr>
            <w:tcW w:w="3112" w:type="dxa"/>
            <w:tcBorders>
              <w:top w:val="single" w:sz="4" w:space="0" w:color="auto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</w:pPr>
            <w:r>
              <w:t>Фолликулы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463" w:rsidRDefault="00782463">
            <w:pPr>
              <w:pStyle w:val="20"/>
              <w:ind w:firstLine="0"/>
              <w:jc w:val="center"/>
            </w:pPr>
            <w:r>
              <w:t>Нодулярный</w:t>
            </w:r>
          </w:p>
          <w:p w:rsidR="00782463" w:rsidRDefault="00782463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(узловой)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</w:tcBorders>
          </w:tcPr>
          <w:p w:rsidR="00782463" w:rsidRDefault="00782463">
            <w:pPr>
              <w:pStyle w:val="20"/>
              <w:ind w:firstLine="0"/>
              <w:jc w:val="center"/>
            </w:pPr>
          </w:p>
        </w:tc>
      </w:tr>
    </w:tbl>
    <w:p w:rsidR="00782463" w:rsidRDefault="00782463">
      <w:pPr>
        <w:pStyle w:val="20"/>
      </w:pPr>
    </w:p>
    <w:p w:rsidR="00782463" w:rsidRDefault="00782463">
      <w:pPr>
        <w:pStyle w:val="20"/>
      </w:pPr>
    </w:p>
    <w:p w:rsidR="00782463" w:rsidRDefault="00782463">
      <w:pPr>
        <w:pStyle w:val="20"/>
        <w:rPr>
          <w:b/>
        </w:rPr>
      </w:pPr>
      <w:r>
        <w:rPr>
          <w:b/>
        </w:rPr>
        <w:t>Клинические проявления хронических гастритов (ХГ)</w:t>
      </w:r>
    </w:p>
    <w:p w:rsidR="00782463" w:rsidRDefault="00782463">
      <w:pPr>
        <w:pStyle w:val="20"/>
      </w:pPr>
      <w:r>
        <w:t xml:space="preserve">Клиническая картина ХГ в фазе обострения характеризуется рядом симптомов как местного, так и общего характера. Среди местных проявлений ведущее значение имеет синдром диспепсии, характеризующийся болью или неприятными ощущениями в эпигастральной области, дискомфортом, ранним насыщением, с чувством переполнения желудка пищей, вздутием в верхней части живота, иногда тошнотой. </w:t>
      </w:r>
    </w:p>
    <w:p w:rsidR="00782463" w:rsidRDefault="00782463">
      <w:pPr>
        <w:pStyle w:val="20"/>
      </w:pPr>
    </w:p>
    <w:p w:rsidR="00782463" w:rsidRDefault="00782463">
      <w:pPr>
        <w:pStyle w:val="20"/>
        <w:jc w:val="right"/>
      </w:pPr>
      <w:r>
        <w:t>Таблица 3.</w:t>
      </w:r>
    </w:p>
    <w:p w:rsidR="00782463" w:rsidRDefault="00782463">
      <w:pPr>
        <w:pStyle w:val="20"/>
        <w:rPr>
          <w:b/>
        </w:rPr>
      </w:pPr>
      <w:r>
        <w:rPr>
          <w:b/>
        </w:rPr>
        <w:t>Морфологический раздел классификации хронического дуоденита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34"/>
        <w:gridCol w:w="3285"/>
      </w:tblGrid>
      <w:tr w:rsidR="00782463">
        <w:trPr>
          <w:cantSplit/>
          <w:trHeight w:val="380"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термины</w:t>
            </w:r>
          </w:p>
        </w:tc>
        <w:tc>
          <w:tcPr>
            <w:tcW w:w="2634" w:type="dxa"/>
            <w:vMerge w:val="restart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Морфологическая характеристика</w:t>
            </w:r>
          </w:p>
        </w:tc>
        <w:tc>
          <w:tcPr>
            <w:tcW w:w="3285" w:type="dxa"/>
            <w:vMerge w:val="restart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Локализация</w:t>
            </w:r>
          </w:p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морфологических </w:t>
            </w:r>
          </w:p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изменений (отделы)</w:t>
            </w:r>
          </w:p>
        </w:tc>
      </w:tr>
      <w:tr w:rsidR="00782463">
        <w:trPr>
          <w:cantSplit/>
          <w:trHeight w:val="420"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Неспецифические</w:t>
            </w:r>
          </w:p>
        </w:tc>
        <w:tc>
          <w:tcPr>
            <w:tcW w:w="2634" w:type="dxa"/>
            <w:vMerge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sz w:val="24"/>
              </w:rPr>
            </w:pPr>
          </w:p>
        </w:tc>
      </w:tr>
      <w:tr w:rsidR="00782463">
        <w:trPr>
          <w:cantSplit/>
          <w:trHeight w:val="480"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Активность</w:t>
            </w:r>
          </w:p>
        </w:tc>
        <w:tc>
          <w:tcPr>
            <w:tcW w:w="2634" w:type="dxa"/>
            <w:vMerge w:val="restart"/>
          </w:tcPr>
          <w:p w:rsidR="00782463" w:rsidRDefault="00782463">
            <w:pPr>
              <w:pStyle w:val="20"/>
              <w:ind w:firstLine="0"/>
            </w:pPr>
            <w:r>
              <w:t>Неатрофический</w:t>
            </w:r>
          </w:p>
        </w:tc>
        <w:tc>
          <w:tcPr>
            <w:tcW w:w="3285" w:type="dxa"/>
            <w:vMerge w:val="restart"/>
          </w:tcPr>
          <w:p w:rsidR="00782463" w:rsidRDefault="00782463">
            <w:pPr>
              <w:pStyle w:val="20"/>
              <w:ind w:firstLine="0"/>
              <w:jc w:val="center"/>
            </w:pPr>
            <w:r>
              <w:t xml:space="preserve">Проксимальный и </w:t>
            </w:r>
          </w:p>
          <w:p w:rsidR="00782463" w:rsidRDefault="00782463">
            <w:pPr>
              <w:pStyle w:val="20"/>
              <w:ind w:firstLine="0"/>
              <w:jc w:val="center"/>
            </w:pPr>
            <w:r>
              <w:t>дистальный</w:t>
            </w:r>
          </w:p>
        </w:tc>
      </w:tr>
      <w:tr w:rsidR="00782463">
        <w:trPr>
          <w:cantSplit/>
          <w:trHeight w:val="480"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Воспаление</w:t>
            </w:r>
          </w:p>
        </w:tc>
        <w:tc>
          <w:tcPr>
            <w:tcW w:w="2634" w:type="dxa"/>
            <w:vMerge/>
          </w:tcPr>
          <w:p w:rsidR="00782463" w:rsidRDefault="00782463">
            <w:pPr>
              <w:pStyle w:val="20"/>
              <w:ind w:firstLine="0"/>
            </w:pP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Атрофия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Атрофический</w:t>
            </w: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c>
          <w:tcPr>
            <w:tcW w:w="3936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</w:rPr>
            </w:pPr>
            <w:r>
              <w:rPr>
                <w:b/>
              </w:rPr>
              <w:t>Специфические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Особые формы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Желудочная метаплазия, </w:t>
            </w:r>
          </w:p>
          <w:p w:rsidR="00782463" w:rsidRDefault="00782463">
            <w:pPr>
              <w:pStyle w:val="20"/>
              <w:ind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Helicobacter pylori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Хеликобактерный</w:t>
            </w:r>
          </w:p>
        </w:tc>
        <w:tc>
          <w:tcPr>
            <w:tcW w:w="3285" w:type="dxa"/>
            <w:vMerge w:val="restart"/>
          </w:tcPr>
          <w:p w:rsidR="00782463" w:rsidRDefault="00782463">
            <w:pPr>
              <w:pStyle w:val="20"/>
              <w:ind w:firstLine="0"/>
            </w:pPr>
          </w:p>
          <w:p w:rsidR="00782463" w:rsidRDefault="00782463">
            <w:pPr>
              <w:pStyle w:val="20"/>
              <w:ind w:firstLine="0"/>
            </w:pPr>
          </w:p>
          <w:p w:rsidR="00782463" w:rsidRDefault="00782463">
            <w:pPr>
              <w:pStyle w:val="20"/>
              <w:ind w:firstLine="0"/>
              <w:jc w:val="center"/>
            </w:pPr>
            <w:r>
              <w:t>Проксимальный</w:t>
            </w: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Лимфатические фолликулы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Нодулярный</w:t>
            </w: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Желудочная гетеротопия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  <w:rPr>
                <w:b/>
              </w:rPr>
            </w:pP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Гранулемы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Гранулематозный</w:t>
            </w:r>
          </w:p>
        </w:tc>
        <w:tc>
          <w:tcPr>
            <w:tcW w:w="3285" w:type="dxa"/>
            <w:vMerge w:val="restart"/>
          </w:tcPr>
          <w:p w:rsidR="00782463" w:rsidRDefault="00782463">
            <w:pPr>
              <w:pStyle w:val="20"/>
              <w:ind w:firstLine="0"/>
              <w:jc w:val="center"/>
            </w:pPr>
          </w:p>
          <w:p w:rsidR="00782463" w:rsidRDefault="00782463">
            <w:pPr>
              <w:pStyle w:val="20"/>
              <w:ind w:firstLine="0"/>
              <w:jc w:val="center"/>
            </w:pPr>
            <w:r>
              <w:t>Дистальный</w:t>
            </w: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Эозинофильная </w:t>
            </w:r>
          </w:p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инфильтрация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Эозинофильный</w:t>
            </w: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  <w:tr w:rsidR="00782463">
        <w:trPr>
          <w:cantSplit/>
        </w:trPr>
        <w:tc>
          <w:tcPr>
            <w:tcW w:w="3936" w:type="dxa"/>
          </w:tcPr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Лимфоцитарная </w:t>
            </w:r>
          </w:p>
          <w:p w:rsidR="00782463" w:rsidRDefault="00782463">
            <w:pPr>
              <w:pStyle w:val="2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инфильтрация</w:t>
            </w:r>
          </w:p>
        </w:tc>
        <w:tc>
          <w:tcPr>
            <w:tcW w:w="2634" w:type="dxa"/>
          </w:tcPr>
          <w:p w:rsidR="00782463" w:rsidRDefault="00782463">
            <w:pPr>
              <w:pStyle w:val="20"/>
              <w:ind w:firstLine="0"/>
            </w:pPr>
            <w:r>
              <w:t>Лимфоцитарный</w:t>
            </w:r>
          </w:p>
        </w:tc>
        <w:tc>
          <w:tcPr>
            <w:tcW w:w="3285" w:type="dxa"/>
            <w:vMerge/>
          </w:tcPr>
          <w:p w:rsidR="00782463" w:rsidRDefault="00782463">
            <w:pPr>
              <w:pStyle w:val="20"/>
              <w:ind w:firstLine="0"/>
            </w:pPr>
          </w:p>
        </w:tc>
      </w:tr>
    </w:tbl>
    <w:p w:rsidR="00782463" w:rsidRDefault="00782463">
      <w:pPr>
        <w:pStyle w:val="20"/>
        <w:jc w:val="center"/>
        <w:rPr>
          <w:b/>
        </w:rPr>
      </w:pPr>
    </w:p>
    <w:p w:rsidR="00782463" w:rsidRDefault="00782463">
      <w:pPr>
        <w:pStyle w:val="20"/>
        <w:jc w:val="right"/>
      </w:pPr>
    </w:p>
    <w:p w:rsidR="00782463" w:rsidRDefault="00782463">
      <w:pPr>
        <w:pStyle w:val="20"/>
      </w:pPr>
      <w:r>
        <w:t>Боль в эпигастральной области возникает сразу после еды. Обычно она бывает тупой, усиливается после еды и в положении стоя. Острые, приступообразные боли не свойственны ХГ. Отмечается связь появления симптомов боли с характером пищи: больные отрицательно реагируют на острую, грубую, жареную и копченую пищу. Нередко отмечают положительный эффект от приема молока, каш, слизистых супов.</w:t>
      </w:r>
    </w:p>
    <w:p w:rsidR="00782463" w:rsidRDefault="00782463">
      <w:pPr>
        <w:pStyle w:val="20"/>
      </w:pPr>
      <w:r>
        <w:t xml:space="preserve"> У больных с ХГ отмечается склонность к запорам, а присоединение таких симптомов как метеоризм, нарушение характера стула, диарея  свидетельствует о развитии нарушений со стороны других отделов желудочно-кишечного тракта (двенадцатиперстная кишка, поджелудочная железа).</w:t>
      </w:r>
    </w:p>
    <w:p w:rsidR="00782463" w:rsidRDefault="00782463">
      <w:pPr>
        <w:pStyle w:val="20"/>
        <w:jc w:val="right"/>
      </w:pPr>
    </w:p>
    <w:p w:rsidR="00782463" w:rsidRDefault="00782463">
      <w:pPr>
        <w:pStyle w:val="20"/>
        <w:jc w:val="right"/>
      </w:pPr>
      <w:r>
        <w:t>Таблица 4.</w:t>
      </w:r>
    </w:p>
    <w:p w:rsidR="00782463" w:rsidRDefault="00782463">
      <w:pPr>
        <w:pStyle w:val="20"/>
        <w:jc w:val="center"/>
        <w:rPr>
          <w:b/>
        </w:rPr>
      </w:pPr>
      <w:r>
        <w:rPr>
          <w:b/>
        </w:rPr>
        <w:t>Этиологический раздел классификации хронического дуоденита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3935"/>
      </w:tblGrid>
      <w:tr w:rsidR="00782463">
        <w:tc>
          <w:tcPr>
            <w:tcW w:w="308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Этиологические</w:t>
            </w:r>
          </w:p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факторы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Заболевания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Кислотоассоциированный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Ацидопептический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Язва желудка и ДПК,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Нр-ассоциированный гастрит,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патология панкреатобиллиарной системы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Токсический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(элиминационный)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Продукты азотистого обмена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ХПН (терминальная стадия),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подагра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Лекарственный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НПВП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Заболевания, связанные с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длительным приемом НПВП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Изолированный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неспецифический (идиопатический)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 установлены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 выявлены</w:t>
            </w:r>
          </w:p>
        </w:tc>
      </w:tr>
      <w:tr w:rsidR="00782463">
        <w:trPr>
          <w:cantSplit/>
        </w:trPr>
        <w:tc>
          <w:tcPr>
            <w:tcW w:w="9855" w:type="dxa"/>
            <w:gridSpan w:val="3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Особые формы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Хеликобактерный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  <w:lang w:val="en-US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H.pylori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Язва ДПК,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Нр-ассоциированный гастрит,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ЖКБ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Гранулематозный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 установлены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Болезнь Крона,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неспецифический язвенный колит, саркоидоз</w:t>
            </w:r>
          </w:p>
        </w:tc>
      </w:tr>
      <w:tr w:rsidR="00782463">
        <w:trPr>
          <w:cantSplit/>
        </w:trPr>
        <w:tc>
          <w:tcPr>
            <w:tcW w:w="3085" w:type="dxa"/>
            <w:vMerge w:val="restart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Узловой (нодулярный)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 установлены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Болезнь Крона,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неспецифический язвенный колит</w:t>
            </w:r>
          </w:p>
        </w:tc>
      </w:tr>
      <w:tr w:rsidR="00782463">
        <w:trPr>
          <w:cantSplit/>
        </w:trPr>
        <w:tc>
          <w:tcPr>
            <w:tcW w:w="3085" w:type="dxa"/>
            <w:vMerge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Ацидопептический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Кислотоассоциированные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Эозинофильный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Не установленный </w:t>
            </w:r>
          </w:p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аллерген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Эозинофильный гастроэнтерит</w:t>
            </w:r>
          </w:p>
        </w:tc>
      </w:tr>
      <w:tr w:rsidR="00782463">
        <w:tc>
          <w:tcPr>
            <w:tcW w:w="308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Лимфоцитарный</w:t>
            </w:r>
          </w:p>
        </w:tc>
        <w:tc>
          <w:tcPr>
            <w:tcW w:w="28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Глютен (глиадиновая фракция)</w:t>
            </w:r>
          </w:p>
        </w:tc>
        <w:tc>
          <w:tcPr>
            <w:tcW w:w="3935" w:type="dxa"/>
          </w:tcPr>
          <w:p w:rsidR="00782463" w:rsidRDefault="00782463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Целиакия (глютеновая энтеропатия)</w:t>
            </w:r>
          </w:p>
        </w:tc>
      </w:tr>
    </w:tbl>
    <w:p w:rsidR="00782463" w:rsidRDefault="00782463">
      <w:pPr>
        <w:pStyle w:val="20"/>
      </w:pPr>
    </w:p>
    <w:p w:rsidR="00782463" w:rsidRDefault="00782463">
      <w:pPr>
        <w:pStyle w:val="20"/>
      </w:pPr>
      <w:r>
        <w:t xml:space="preserve"> </w:t>
      </w:r>
    </w:p>
    <w:p w:rsidR="00782463" w:rsidRDefault="00782463">
      <w:pPr>
        <w:pStyle w:val="20"/>
        <w:jc w:val="center"/>
        <w:rPr>
          <w:b/>
          <w:lang w:val="en-US"/>
        </w:rPr>
      </w:pPr>
    </w:p>
    <w:p w:rsidR="00782463" w:rsidRDefault="00782463">
      <w:pPr>
        <w:pStyle w:val="20"/>
      </w:pPr>
      <w:r>
        <w:t xml:space="preserve">ХГ у большинства  пациентов не сказывается на общем состоянии больных. Однако,  у больных довольно часто наблюдается астено-вегетативный синдром, характеризующийся  слабостью, раздражительностью, зябкостью, гипергидрозом конечностей, сердечно-сосудистыми нарушениями (кардиалгия, аритмия, артериальная гипотензия). </w:t>
      </w:r>
    </w:p>
    <w:p w:rsidR="00782463" w:rsidRDefault="00782463">
      <w:pPr>
        <w:pStyle w:val="20"/>
      </w:pPr>
      <w:r>
        <w:t>Обычно кожные покровы у этих пациентов чистые, но при наличии хеликобактерной инфекции поражение кожных покровов нередко проявляется аллергической сыпью разного характера. При выраженных деструктивных процессах в слизистой оболочке желудка могут быть признаки железодефицитной анемии: бледность кожных покровов и слизистых, трофические нарушения, субфебрильная температура, систолический шум в сердце.</w:t>
      </w:r>
    </w:p>
    <w:p w:rsidR="00782463" w:rsidRDefault="00782463">
      <w:pPr>
        <w:pStyle w:val="20"/>
      </w:pPr>
      <w:r>
        <w:t>При пальпации области живота нередко  определяется мышечное напряжение и повышенная чувствительность в эпигастральной области.</w:t>
      </w:r>
    </w:p>
    <w:p w:rsidR="00782463" w:rsidRDefault="00782463">
      <w:pPr>
        <w:pStyle w:val="20"/>
      </w:pPr>
      <w:r>
        <w:t xml:space="preserve">ХГ ассоциированный с хеликобактерной инфекцией может проявляться симптомами язвенноподобной диспепсии с выраженными болями в эпигастральной области, «голодными» и  ночными болями. Эти симптомы обусловлены повышенной желудочной секрецией и моторно-эвакуаторными нарушениями, возникающими в результате инфицирования хеликобактером.  </w:t>
      </w:r>
    </w:p>
    <w:p w:rsidR="00782463" w:rsidRDefault="00782463">
      <w:pPr>
        <w:pStyle w:val="20"/>
      </w:pPr>
      <w:r>
        <w:t>Среди хронических гастритов у детей редко встречаются аутоиммунный,  химический, радиационный и другие формы заболевания. В диагностике этих форм кроме специфических эндоскопических и морфологических изменений важную роль играют симптомы, характерные для основного заболевания. Основные дифференциально-диагностические критерии хронических гастритов представлены в таблице 5.</w:t>
      </w:r>
    </w:p>
    <w:p w:rsidR="00782463" w:rsidRDefault="00782463">
      <w:pPr>
        <w:pStyle w:val="20"/>
      </w:pPr>
      <w:r>
        <w:t xml:space="preserve">Изолированное воспаление только слизистой оболочки </w:t>
      </w:r>
      <w:r>
        <w:rPr>
          <w:b/>
          <w:i/>
        </w:rPr>
        <w:t>12-перстной кишки (дуодениты)</w:t>
      </w:r>
      <w:r>
        <w:t xml:space="preserve"> встречается не  часто, обычное имеет место сочетанное поражение желудка и 12-перстной кишки. В связи с этим нет четких диагностических  симптомов изолированного дуоденита.</w:t>
      </w:r>
    </w:p>
    <w:p w:rsidR="00782463" w:rsidRDefault="00782463">
      <w:pPr>
        <w:pStyle w:val="20"/>
      </w:pPr>
    </w:p>
    <w:p w:rsidR="00782463" w:rsidRDefault="00782463">
      <w:pPr>
        <w:pStyle w:val="20"/>
      </w:pPr>
    </w:p>
    <w:p w:rsidR="00782463" w:rsidRDefault="00782463">
      <w:pPr>
        <w:pStyle w:val="20"/>
        <w:jc w:val="right"/>
      </w:pPr>
      <w:r>
        <w:t xml:space="preserve">Таблица 5.  </w:t>
      </w:r>
    </w:p>
    <w:p w:rsidR="00782463" w:rsidRDefault="00782463">
      <w:pPr>
        <w:pStyle w:val="20"/>
        <w:jc w:val="center"/>
        <w:rPr>
          <w:b/>
        </w:rPr>
      </w:pPr>
      <w:r>
        <w:rPr>
          <w:b/>
        </w:rPr>
        <w:t xml:space="preserve">Критерии диагностики НР ассоциированного и аутоиммунного </w:t>
      </w:r>
    </w:p>
    <w:p w:rsidR="00782463" w:rsidRDefault="00782463">
      <w:pPr>
        <w:pStyle w:val="20"/>
        <w:jc w:val="center"/>
        <w:rPr>
          <w:b/>
        </w:rPr>
      </w:pPr>
      <w:r>
        <w:rPr>
          <w:b/>
        </w:rPr>
        <w:t>хронических гастритов</w:t>
      </w:r>
    </w:p>
    <w:p w:rsidR="00782463" w:rsidRDefault="00782463">
      <w:pPr>
        <w:pStyle w:val="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782463">
        <w:tc>
          <w:tcPr>
            <w:tcW w:w="328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НР-ассоциированный хронический гастрит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Аутоиммунный хронический гастрит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Приемущественная </w:t>
            </w:r>
          </w:p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локализация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антрум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 xml:space="preserve"> дно, тело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Воспаление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выражено, гастрит активный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 выражено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Наличие эрозий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очень часто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редко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НР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есть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нет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Антитела к париетальным клеткам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нет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есть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Антитела к внутреннему фактору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нет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есть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Гипергастринемия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незначительная или уровень гастрина в норме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выражена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Развитие В</w:t>
            </w:r>
            <w:r>
              <w:rPr>
                <w:b/>
                <w:i/>
                <w:vertAlign w:val="subscript"/>
              </w:rPr>
              <w:t>12</w:t>
            </w:r>
            <w:r>
              <w:rPr>
                <w:b/>
                <w:i/>
              </w:rPr>
              <w:t>-дефицитной анемии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нет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есть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Гипоацидность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любой тип секреции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выражена</w:t>
            </w:r>
          </w:p>
        </w:tc>
      </w:tr>
      <w:tr w:rsidR="00782463"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Сочетание с язвенной болезнью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очень часто</w:t>
            </w:r>
          </w:p>
        </w:tc>
        <w:tc>
          <w:tcPr>
            <w:tcW w:w="3285" w:type="dxa"/>
          </w:tcPr>
          <w:p w:rsidR="00782463" w:rsidRDefault="00782463">
            <w:pPr>
              <w:pStyle w:val="20"/>
              <w:ind w:firstLine="0"/>
              <w:jc w:val="center"/>
            </w:pPr>
            <w:r>
              <w:t>крайне редко</w:t>
            </w:r>
          </w:p>
        </w:tc>
      </w:tr>
    </w:tbl>
    <w:p w:rsidR="00782463" w:rsidRDefault="00782463">
      <w:pPr>
        <w:pStyle w:val="20"/>
        <w:rPr>
          <w:b/>
        </w:rPr>
      </w:pPr>
    </w:p>
    <w:p w:rsidR="00782463" w:rsidRDefault="00782463">
      <w:pPr>
        <w:pStyle w:val="20"/>
        <w:rPr>
          <w:b/>
        </w:rPr>
      </w:pPr>
    </w:p>
    <w:p w:rsidR="00782463" w:rsidRDefault="00782463">
      <w:pPr>
        <w:pStyle w:val="20"/>
        <w:rPr>
          <w:b/>
        </w:rPr>
      </w:pPr>
      <w:r>
        <w:t xml:space="preserve">Язвенная болезнь занимает одно из ведущих мест в гастроэнтерологии. </w:t>
      </w:r>
      <w:r>
        <w:rPr>
          <w:b/>
          <w:i/>
        </w:rPr>
        <w:t>Язвенная болезнь</w:t>
      </w:r>
      <w:r>
        <w:t xml:space="preserve"> – хронически протекающее заболевание, характерным признаком которого является образование в период обострения язв в гастродуоденальной зоне. Критерии диагноза представлены в таблице 6.</w:t>
      </w:r>
    </w:p>
    <w:p w:rsidR="00782463" w:rsidRDefault="00782463">
      <w:pPr>
        <w:pStyle w:val="20"/>
      </w:pPr>
    </w:p>
    <w:p w:rsidR="00782463" w:rsidRDefault="00782463">
      <w:pPr>
        <w:pStyle w:val="20"/>
      </w:pPr>
    </w:p>
    <w:p w:rsidR="00782463" w:rsidRDefault="00782463">
      <w:pPr>
        <w:pStyle w:val="20"/>
        <w:jc w:val="right"/>
      </w:pPr>
      <w:r>
        <w:rPr>
          <w:caps/>
        </w:rPr>
        <w:t>Т</w:t>
      </w:r>
      <w:r>
        <w:t>аблица 6.</w:t>
      </w:r>
    </w:p>
    <w:p w:rsidR="00782463" w:rsidRDefault="00782463">
      <w:pPr>
        <w:pStyle w:val="20"/>
        <w:jc w:val="center"/>
        <w:rPr>
          <w:b/>
          <w:caps/>
        </w:rPr>
      </w:pPr>
      <w:r>
        <w:rPr>
          <w:b/>
          <w:caps/>
        </w:rPr>
        <w:t>Критерии диагноза язвенной болезни</w:t>
      </w:r>
    </w:p>
    <w:p w:rsidR="00782463" w:rsidRDefault="00782463">
      <w:pPr>
        <w:pStyle w:val="20"/>
        <w:jc w:val="center"/>
        <w:rPr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1. Групповое определение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</w:pPr>
            <w:r>
              <w:rPr>
                <w:caps/>
              </w:rPr>
              <w:t>Я</w:t>
            </w:r>
            <w:r>
              <w:t>звенная болезнь</w:t>
            </w:r>
          </w:p>
        </w:tc>
      </w:tr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2. Характеристика течения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</w:pPr>
            <w:r>
              <w:t>обычное,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рецидивирующее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осложненное</w:t>
            </w:r>
          </w:p>
        </w:tc>
      </w:tr>
      <w:tr w:rsidR="00782463">
        <w:trPr>
          <w:trHeight w:val="1037"/>
        </w:trPr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3. Характеристика фазы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 xml:space="preserve">    течения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</w:pPr>
            <w:r>
              <w:t>обострение, полная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или неполная ремиссия</w:t>
            </w:r>
          </w:p>
        </w:tc>
      </w:tr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 xml:space="preserve">4. Определение локализации 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 xml:space="preserve">    язвы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для желудка</w:t>
            </w:r>
            <w:r>
              <w:rPr>
                <w:i/>
              </w:rPr>
              <w:t>: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кардиальная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медиогастральная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антральная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пилорическая</w:t>
            </w:r>
          </w:p>
          <w:p w:rsidR="00782463" w:rsidRDefault="00782463">
            <w:pPr>
              <w:pStyle w:val="20"/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12-ти перстная кишка</w:t>
            </w:r>
            <w:r>
              <w:rPr>
                <w:i/>
              </w:rPr>
              <w:t>: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пилоробульбарная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бульбарная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постбульбарная</w:t>
            </w:r>
          </w:p>
        </w:tc>
      </w:tr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5.Характеристика размеров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для желудка: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 xml:space="preserve">до </w:t>
            </w:r>
            <w:smartTag w:uri="urn:schemas-microsoft-com:office:smarttags" w:element="metricconverter">
              <w:smartTagPr>
                <w:attr w:name="ProductID" w:val="1,0 см"/>
              </w:smartTagPr>
              <w:r>
                <w:t>1,0 см</w:t>
              </w:r>
            </w:smartTag>
            <w:r>
              <w:t xml:space="preserve"> обычная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 w:rsidRPr="00EE469F">
              <w:t>&gt;1,0 &lt;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t>1,5 см</w:t>
              </w:r>
            </w:smartTag>
            <w:r>
              <w:t xml:space="preserve"> большая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 w:rsidRPr="00EE469F">
              <w:t>&gt;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EE469F">
                <w:t>1,5</w:t>
              </w:r>
              <w:r>
                <w:t xml:space="preserve"> см</w:t>
              </w:r>
            </w:smartTag>
            <w:r>
              <w:t xml:space="preserve">  гигантская</w:t>
            </w:r>
          </w:p>
          <w:p w:rsidR="00782463" w:rsidRDefault="00782463">
            <w:pPr>
              <w:pStyle w:val="20"/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для 12-ти перстной кишки: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 xml:space="preserve">до </w:t>
            </w:r>
            <w:smartTag w:uri="urn:schemas-microsoft-com:office:smarttags" w:element="metricconverter">
              <w:smartTagPr>
                <w:attr w:name="ProductID" w:val="0,5 см"/>
              </w:smartTagPr>
              <w:r>
                <w:t>0,5 см</w:t>
              </w:r>
            </w:smartTag>
            <w:r>
              <w:t xml:space="preserve"> обычная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 w:rsidRPr="00EE469F">
              <w:t>&gt;0,5&lt;</w:t>
            </w:r>
            <w:r>
              <w:t>1,0 большая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 w:rsidRPr="00EE469F">
              <w:t>&gt;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EE469F">
                <w:t xml:space="preserve">1,0 </w:t>
              </w:r>
              <w:r>
                <w:t>см</w:t>
              </w:r>
            </w:smartTag>
            <w:r>
              <w:t xml:space="preserve"> гигантская</w:t>
            </w:r>
          </w:p>
        </w:tc>
      </w:tr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6.Характеристика осложнений или угрозы их развития. Если было ранее, указывается с наличием в анамнезе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</w:pPr>
            <w:r>
              <w:t>кровотечение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пенетрация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малигнизация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перфорация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стеноз</w:t>
            </w:r>
          </w:p>
        </w:tc>
      </w:tr>
      <w:tr w:rsidR="00782463">
        <w:tc>
          <w:tcPr>
            <w:tcW w:w="4361" w:type="dxa"/>
          </w:tcPr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 xml:space="preserve">7.Характеристика </w:t>
            </w:r>
          </w:p>
          <w:p w:rsidR="00782463" w:rsidRDefault="00782463">
            <w:pPr>
              <w:pStyle w:val="20"/>
              <w:ind w:firstLine="0"/>
              <w:rPr>
                <w:b/>
              </w:rPr>
            </w:pPr>
            <w:r>
              <w:rPr>
                <w:b/>
              </w:rPr>
              <w:t>сопутствующего перипроцесса</w:t>
            </w:r>
          </w:p>
        </w:tc>
        <w:tc>
          <w:tcPr>
            <w:tcW w:w="5493" w:type="dxa"/>
          </w:tcPr>
          <w:p w:rsidR="00782463" w:rsidRDefault="00782463">
            <w:pPr>
              <w:pStyle w:val="20"/>
              <w:spacing w:line="240" w:lineRule="auto"/>
              <w:ind w:firstLine="0"/>
            </w:pPr>
            <w:r>
              <w:t>периульцерит</w:t>
            </w:r>
          </w:p>
          <w:p w:rsidR="00782463" w:rsidRDefault="00782463">
            <w:pPr>
              <w:pStyle w:val="20"/>
              <w:spacing w:line="240" w:lineRule="auto"/>
              <w:ind w:firstLine="0"/>
            </w:pPr>
            <w:r>
              <w:t>перидуоденит</w:t>
            </w:r>
          </w:p>
        </w:tc>
      </w:tr>
    </w:tbl>
    <w:p w:rsidR="00782463" w:rsidRDefault="00782463">
      <w:pPr>
        <w:pStyle w:val="20"/>
        <w:rPr>
          <w:caps/>
        </w:rPr>
      </w:pPr>
    </w:p>
    <w:p w:rsidR="00782463" w:rsidRDefault="00782463">
      <w:pPr>
        <w:pStyle w:val="20"/>
        <w:rPr>
          <w:caps/>
        </w:rPr>
      </w:pPr>
    </w:p>
    <w:p w:rsidR="00782463" w:rsidRDefault="00782463">
      <w:pPr>
        <w:pStyle w:val="20"/>
      </w:pPr>
      <w:r>
        <w:rPr>
          <w:b/>
        </w:rPr>
        <w:t>Клиника язвенной болезни.</w:t>
      </w:r>
      <w:r>
        <w:t xml:space="preserve"> У детей и подростков проявления ЯБ разнообразны и зависят от стадии болезни. На выраженность клинической картины влияют также пол, возраст, локализация и величина язвенного дефекта, а также время года.</w:t>
      </w:r>
    </w:p>
    <w:p w:rsidR="00782463" w:rsidRDefault="00782463">
      <w:pPr>
        <w:pStyle w:val="20"/>
      </w:pPr>
      <w:r>
        <w:t>Ведущим симптомом ЯБ является боль. Для язвы 12 перстной кишки характерны «голодные» боли (натощак или спустя 1-1,5 часа после еды), которые проходят обычно после приема пищи. У подавляющего большинства детей отмечаются «ночные» боли. По характеру – боли разнообразные: приступообразные, режущие, колющие и т.д. Они могут возникать внезапно, иррадиировать в спину, правое плечо, лопатку. Боли чаще возникают и локализуются в эпигастральной области и справа от средней линии живота.  При пальпации выявляются болезненность, симптом Менделя.</w:t>
      </w:r>
    </w:p>
    <w:p w:rsidR="00782463" w:rsidRDefault="00782463">
      <w:pPr>
        <w:pStyle w:val="20"/>
      </w:pPr>
      <w:r>
        <w:t>Частым проявлением ЯБ является рвота, которая возникает без предшествующей тошноты, на высоте болей, часто  от них и от приема пищи. Изжога, срыгивание, отрыжка наблюдающиеся при ЯБ, не являются характерными признаками, а служат проявлением недостаточности кардиального отдела желудка или пищевода.</w:t>
      </w:r>
    </w:p>
    <w:p w:rsidR="00782463" w:rsidRDefault="00782463">
      <w:pPr>
        <w:pStyle w:val="20"/>
      </w:pPr>
      <w:r>
        <w:t>Аппетит у пациентов чаще всего сохранен, иногда даже усилен. Если приступы болей связаны с приемом пищи, то у детей наблюдается страх перед едой. Язык чистый, но может быть обложен белым налетом, влажный.</w:t>
      </w:r>
    </w:p>
    <w:p w:rsidR="00782463" w:rsidRDefault="00782463">
      <w:pPr>
        <w:pStyle w:val="20"/>
      </w:pPr>
      <w:r>
        <w:t>Запоры отмечаются чаще всего в период обострения. Причины их – щадящий характер пищи, постельный режим, и нервно-мышечная дистония толстого кишечника.</w:t>
      </w:r>
    </w:p>
    <w:p w:rsidR="00782463" w:rsidRDefault="00782463">
      <w:pPr>
        <w:pStyle w:val="20"/>
      </w:pPr>
      <w:r>
        <w:t>Отмечаются признаки вегетативной дисфункции чаще ваготонического характера, артериальная гипотензия, потливость, влажность ладоней, брадикардия.</w:t>
      </w:r>
    </w:p>
    <w:p w:rsidR="00782463" w:rsidRDefault="00782463">
      <w:pPr>
        <w:pStyle w:val="20"/>
      </w:pPr>
      <w:r>
        <w:t xml:space="preserve">Клинические проявления наиболее ярко выражены в 1 стадии, когда имеются  значительные функциональные изменения  слизистой оболочки. Во </w:t>
      </w:r>
      <w:r>
        <w:rPr>
          <w:lang w:val="en-US"/>
        </w:rPr>
        <w:t>II</w:t>
      </w:r>
      <w:r>
        <w:t xml:space="preserve"> стадии, когда намечаются признаки эпителизации дефекта (обычно через 2-3 недели), основные клинические симптомы ЯБ ослабевают. Через 5-6 недель происходит полное заживление луковичных язв (Ш</w:t>
      </w:r>
      <w:r w:rsidRPr="00EE469F">
        <w:t xml:space="preserve"> </w:t>
      </w:r>
      <w:r>
        <w:t>ст.). Для пациентов в этой стадии  болезни характерны резкие боли натощак или поздно вечером, обычно боли без четкой локализации. При соблюдении этапного лечения  у пациентов через 6- 12 месяцев не определяется активности процесса, как клинически так и при эндоскопическом их  обследовании.</w:t>
      </w:r>
    </w:p>
    <w:p w:rsidR="00782463" w:rsidRDefault="00782463">
      <w:pPr>
        <w:pStyle w:val="20"/>
      </w:pPr>
      <w:r>
        <w:rPr>
          <w:i/>
        </w:rPr>
        <w:t>Внелуковичные или постбульбарные язвы</w:t>
      </w:r>
      <w:r>
        <w:t xml:space="preserve"> в отличие от язв луковицы характеризуются более тяжелыми, атипичным и осложненным течением. Обычно упорные боли,  особенно  ночью, от которых дети просыпаются. Наблюдается  тошнота, рвота и другие диспептические расстройства.</w:t>
      </w:r>
    </w:p>
    <w:p w:rsidR="00782463" w:rsidRDefault="00782463">
      <w:pPr>
        <w:pStyle w:val="20"/>
        <w:rPr>
          <w:b/>
        </w:rPr>
      </w:pPr>
      <w:r>
        <w:rPr>
          <w:i/>
        </w:rPr>
        <w:t xml:space="preserve"> </w:t>
      </w:r>
      <w:r>
        <w:rPr>
          <w:b/>
        </w:rPr>
        <w:t>Лечение.</w:t>
      </w:r>
    </w:p>
    <w:p w:rsidR="00782463" w:rsidRDefault="00782463">
      <w:pPr>
        <w:pStyle w:val="20"/>
      </w:pPr>
      <w:r>
        <w:t>В настоящее время одним из ведущих этиологических факторов хронических гастритов и язвенной болезни является хеликобактерная инфекция. Разработаны и апробированы эффективные схемы эрадикации (приложение 2), которые включают ряд групп препаратов.</w:t>
      </w:r>
    </w:p>
    <w:p w:rsidR="00782463" w:rsidRDefault="00782463">
      <w:pPr>
        <w:pStyle w:val="20"/>
        <w:numPr>
          <w:ilvl w:val="0"/>
          <w:numId w:val="14"/>
        </w:numPr>
      </w:pPr>
      <w:r>
        <w:t>Антибактериальные:</w:t>
      </w:r>
    </w:p>
    <w:p w:rsidR="00782463" w:rsidRDefault="00782463">
      <w:pPr>
        <w:pStyle w:val="20"/>
        <w:numPr>
          <w:ilvl w:val="0"/>
          <w:numId w:val="16"/>
        </w:numPr>
      </w:pPr>
      <w:r>
        <w:t>макролиды</w:t>
      </w:r>
    </w:p>
    <w:p w:rsidR="00782463" w:rsidRDefault="00782463">
      <w:pPr>
        <w:pStyle w:val="20"/>
        <w:numPr>
          <w:ilvl w:val="0"/>
          <w:numId w:val="16"/>
        </w:numPr>
      </w:pPr>
      <w:r>
        <w:t>полусинтетические пенициллины</w:t>
      </w:r>
    </w:p>
    <w:p w:rsidR="00782463" w:rsidRDefault="00782463">
      <w:pPr>
        <w:pStyle w:val="20"/>
        <w:numPr>
          <w:ilvl w:val="0"/>
          <w:numId w:val="16"/>
        </w:numPr>
      </w:pPr>
      <w:r>
        <w:t>нитрофураны</w:t>
      </w:r>
    </w:p>
    <w:p w:rsidR="00782463" w:rsidRDefault="00782463">
      <w:pPr>
        <w:pStyle w:val="20"/>
        <w:numPr>
          <w:ilvl w:val="0"/>
          <w:numId w:val="16"/>
        </w:numPr>
      </w:pPr>
      <w:r>
        <w:t>противопротозойные</w:t>
      </w:r>
    </w:p>
    <w:p w:rsidR="00782463" w:rsidRDefault="00782463">
      <w:pPr>
        <w:pStyle w:val="20"/>
        <w:numPr>
          <w:ilvl w:val="0"/>
          <w:numId w:val="14"/>
        </w:numPr>
      </w:pPr>
      <w:r>
        <w:t>Антисекреторные .</w:t>
      </w:r>
    </w:p>
    <w:p w:rsidR="00782463" w:rsidRDefault="00782463">
      <w:pPr>
        <w:pStyle w:val="20"/>
        <w:numPr>
          <w:ilvl w:val="0"/>
          <w:numId w:val="14"/>
        </w:numPr>
      </w:pPr>
      <w:r>
        <w:t>Цитопротекторы.</w:t>
      </w:r>
    </w:p>
    <w:p w:rsidR="00782463" w:rsidRDefault="00782463">
      <w:pPr>
        <w:pStyle w:val="20"/>
      </w:pPr>
      <w:r>
        <w:t xml:space="preserve">В связи с изменением резистентности хеликобактера к ранее используемым антибактериальным препаратам (полусинтетические пенициллины, нитрофураны и т.д.) в настоящее время наиболее эффективным антибиотиком является представитель группы макролидов </w:t>
      </w:r>
      <w:r>
        <w:rPr>
          <w:b/>
          <w:i/>
        </w:rPr>
        <w:t>Фромилид</w:t>
      </w:r>
      <w:r>
        <w:rPr>
          <w:i/>
        </w:rPr>
        <w:t xml:space="preserve"> </w:t>
      </w:r>
      <w:r>
        <w:rPr>
          <w:b/>
          <w:i/>
        </w:rPr>
        <w:t>(кларитромицин)</w:t>
      </w:r>
      <w:r>
        <w:t xml:space="preserve">, выпускаемый фирмой </w:t>
      </w:r>
      <w:r>
        <w:rPr>
          <w:lang w:val="en-US"/>
        </w:rPr>
        <w:t>KRKA</w:t>
      </w:r>
      <w:r>
        <w:t>. Форма выпуска препарата таблетки по 250 мг и 500 мг. В схемах эридикационной терапии он применяется у детей в дозе 7,5 мг/кг массы (максимальная доза 500 мг в сутки), у подростков – по 500 мг 2 раза в сутки.</w:t>
      </w:r>
    </w:p>
    <w:p w:rsidR="00782463" w:rsidRDefault="00782463">
      <w:pPr>
        <w:pStyle w:val="20"/>
      </w:pPr>
      <w:r>
        <w:t>Фромилид (кларитромицин) устойчив  к действию соляной кислоты желудка, быстро всасывается в желудочно-кишечном тракте независимо от приема пищи, биодоступность его у детей при назначении в дозе 7,5 мг/кг составляет 52-55%. Пиковая концентрация в плазме крови и ПФК (площадь фармакокинетической кривой) возрастают при приеме препарата во время еды на 28% и 42% соответственно. Помимо этого, кларитромицин ингибирует метаболизм ИПП (омепразола), а  последний в свою очередь, ингибирует метаболизм кларитромицина, следствием чего является увеличение концентрации обоих препаратов в плазме крови и возникновение кумулятивного эффекта при их применении.</w:t>
      </w:r>
    </w:p>
    <w:p w:rsidR="00782463" w:rsidRDefault="00782463">
      <w:pPr>
        <w:pStyle w:val="20"/>
      </w:pPr>
      <w:r>
        <w:t xml:space="preserve">Приоритет кларитромицина по отношению к другим представителям макролидов объясняется более высокой активностью этого препарата по отношению к </w:t>
      </w:r>
      <w:r>
        <w:rPr>
          <w:lang w:val="en-US"/>
        </w:rPr>
        <w:t>H</w:t>
      </w:r>
      <w:r w:rsidRPr="00EE469F">
        <w:t>.</w:t>
      </w:r>
      <w:r>
        <w:rPr>
          <w:lang w:val="en-US"/>
        </w:rPr>
        <w:t>pylori</w:t>
      </w:r>
      <w:r>
        <w:t xml:space="preserve"> при сравнительно равной биодоступности.</w:t>
      </w:r>
    </w:p>
    <w:p w:rsidR="00782463" w:rsidRDefault="00782463">
      <w:pPr>
        <w:pStyle w:val="20"/>
      </w:pPr>
      <w:r>
        <w:t>При лечении детей и подростков с воспалительными и деструктивными заболеваниями средних отделов желудочно-кишечного тракта рекомендуется применение препаратов различных групп (приложение 1). Выбор препарата, длительность применения его определяется индивидуально для каждого пациента: учитывается возраст, степень поражения, распространенность вовлечения в процесс других органов и систем.</w:t>
      </w:r>
    </w:p>
    <w:p w:rsidR="00782463" w:rsidRDefault="00782463">
      <w:pPr>
        <w:pStyle w:val="20"/>
      </w:pPr>
      <w:r>
        <w:t xml:space="preserve">После выписки из стационара дети продолжают курс назначенного лечения. Наблюдаются диспансерно: при хроническом гастрите осматриваются на первом году 2 раза в год, а при язвенной болезни ДПК – 1 раз в квартал.  В последующем – осмотр 2 раза в год. Во время диспансерного наблюдения 2 раза в год (весной и осенью) проводятся курсы противорецидивного лечения с использованием антацидов, препаратов, обладающих репаративными свойствами, а также витаминных и антиоксидантных комплексов. На этапе реабилитации  в частности могут быть рекомендованы витаминно-минеральные комплексы фирмы </w:t>
      </w:r>
      <w:r>
        <w:rPr>
          <w:lang w:val="en-US"/>
        </w:rPr>
        <w:t>KRKA</w:t>
      </w:r>
      <w:r>
        <w:t>: дуовит, пиковит.</w:t>
      </w:r>
    </w:p>
    <w:p w:rsidR="00782463" w:rsidRDefault="00782463">
      <w:pPr>
        <w:pStyle w:val="20"/>
      </w:pPr>
      <w:r>
        <w:rPr>
          <w:b/>
          <w:i/>
        </w:rPr>
        <w:t>Дуовит и пиковит</w:t>
      </w:r>
      <w:r>
        <w:t xml:space="preserve"> это витаминно-минеральные препараты. Витаминные компоненты представлены витаминами группы В (В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6</w:t>
      </w:r>
      <w:r>
        <w:t>, пантотеновой кислотой, никотинамидом), которые участвуют в обмене углеводов, жиров и белков в функционировании нервной системы. Кроме витаминов в группы В в препарат включены витамины А, Д,С,Е, которые способствуют развитию эпителиальных клеток, защищают мембраны клеток от повреждений. Минералы и олигоэлементы способствуют  нормализации регуляторных механизмов организма, улучшают процессы репарации слизистых органов желудочно-кишечного тракта.</w:t>
      </w: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Pr="00EE469F" w:rsidRDefault="00782463">
      <w:pPr>
        <w:pStyle w:val="20"/>
        <w:ind w:left="720" w:firstLine="0"/>
      </w:pPr>
    </w:p>
    <w:p w:rsidR="00782463" w:rsidRDefault="00782463">
      <w:pPr>
        <w:pStyle w:val="a3"/>
        <w:jc w:val="right"/>
        <w:rPr>
          <w:b/>
          <w:i/>
          <w:sz w:val="20"/>
        </w:rPr>
      </w:pPr>
    </w:p>
    <w:p w:rsidR="00782463" w:rsidRDefault="00782463">
      <w:pPr>
        <w:pStyle w:val="a3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 1</w:t>
      </w:r>
    </w:p>
    <w:p w:rsidR="00782463" w:rsidRDefault="00782463">
      <w:pPr>
        <w:pStyle w:val="a3"/>
        <w:jc w:val="right"/>
        <w:rPr>
          <w:b/>
          <w:i/>
          <w:sz w:val="20"/>
        </w:rPr>
      </w:pPr>
    </w:p>
    <w:p w:rsidR="00782463" w:rsidRDefault="00782463">
      <w:pPr>
        <w:pStyle w:val="a3"/>
        <w:jc w:val="center"/>
        <w:rPr>
          <w:b/>
        </w:rPr>
      </w:pPr>
      <w:r>
        <w:rPr>
          <w:b/>
        </w:rPr>
        <w:t>СРЕДСТВА, СНИЖАЮЩИЕ АКТИВНОСТЬ КИСЛОТНО-ПЕПТИЧЕСКОГО ФАКТОРА</w:t>
      </w:r>
    </w:p>
    <w:p w:rsidR="00782463" w:rsidRDefault="00782463">
      <w:pPr>
        <w:pStyle w:val="a3"/>
        <w:rPr>
          <w:b/>
        </w:rPr>
      </w:pPr>
    </w:p>
    <w:p w:rsidR="00782463" w:rsidRDefault="00782463">
      <w:pPr>
        <w:pStyle w:val="a3"/>
        <w:ind w:left="700" w:firstLine="0"/>
        <w:jc w:val="center"/>
        <w:rPr>
          <w:b/>
          <w:i/>
          <w:sz w:val="24"/>
          <w:lang w:val="be-BY"/>
        </w:rPr>
      </w:pPr>
      <w:r>
        <w:rPr>
          <w:b/>
          <w:i/>
          <w:sz w:val="24"/>
          <w:lang w:val="en-US"/>
        </w:rPr>
        <w:t>I</w:t>
      </w:r>
      <w:r>
        <w:rPr>
          <w:b/>
          <w:i/>
          <w:sz w:val="24"/>
          <w:lang w:val="be-BY"/>
        </w:rPr>
        <w:t>.АНТАЦИДЫ</w:t>
      </w:r>
    </w:p>
    <w:p w:rsidR="00782463" w:rsidRDefault="00782463">
      <w:pPr>
        <w:pStyle w:val="a3"/>
        <w:ind w:left="700" w:firstLine="0"/>
        <w:jc w:val="center"/>
        <w:rPr>
          <w:b/>
          <w:i/>
          <w:sz w:val="24"/>
          <w:u w:val="single"/>
        </w:rPr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098"/>
        <w:gridCol w:w="1900"/>
        <w:gridCol w:w="2646"/>
      </w:tblGrid>
      <w:tr w:rsidR="00782463">
        <w:tc>
          <w:tcPr>
            <w:tcW w:w="1510" w:type="dxa"/>
          </w:tcPr>
          <w:p w:rsidR="00782463" w:rsidRDefault="00782463">
            <w:pPr>
              <w:pStyle w:val="1"/>
              <w:rPr>
                <w:i/>
              </w:rPr>
            </w:pPr>
            <w:r>
              <w:rPr>
                <w:i/>
              </w:rPr>
              <w:t>Торговое название</w:t>
            </w:r>
          </w:p>
        </w:tc>
        <w:tc>
          <w:tcPr>
            <w:tcW w:w="3098" w:type="dxa"/>
          </w:tcPr>
          <w:p w:rsidR="00782463" w:rsidRDefault="0078246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Активное вещество</w:t>
            </w:r>
          </w:p>
        </w:tc>
        <w:tc>
          <w:tcPr>
            <w:tcW w:w="1900" w:type="dxa"/>
          </w:tcPr>
          <w:p w:rsidR="00782463" w:rsidRDefault="00782463">
            <w:pPr>
              <w:pStyle w:val="2"/>
              <w:rPr>
                <w:i/>
                <w:sz w:val="24"/>
              </w:rPr>
            </w:pPr>
            <w:r>
              <w:rPr>
                <w:i/>
                <w:sz w:val="24"/>
              </w:rPr>
              <w:t>Форма выпуска</w:t>
            </w:r>
          </w:p>
        </w:tc>
        <w:tc>
          <w:tcPr>
            <w:tcW w:w="2646" w:type="dxa"/>
          </w:tcPr>
          <w:p w:rsidR="00782463" w:rsidRDefault="00782463">
            <w:pPr>
              <w:pStyle w:val="2"/>
              <w:rPr>
                <w:i/>
                <w:sz w:val="24"/>
                <w:lang w:val="be-BY"/>
              </w:rPr>
            </w:pPr>
            <w:r>
              <w:rPr>
                <w:i/>
                <w:sz w:val="24"/>
              </w:rPr>
              <w:t>Дозы</w:t>
            </w:r>
          </w:p>
        </w:tc>
      </w:tr>
      <w:tr w:rsidR="00782463">
        <w:trPr>
          <w:cantSplit/>
        </w:trPr>
        <w:tc>
          <w:tcPr>
            <w:tcW w:w="1510" w:type="dxa"/>
          </w:tcPr>
          <w:p w:rsidR="00782463" w:rsidRDefault="0078246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be-BY"/>
              </w:rPr>
              <w:t>А</w:t>
            </w:r>
            <w:r>
              <w:rPr>
                <w:b/>
                <w:i/>
                <w:sz w:val="24"/>
                <w:lang w:val="en-US"/>
              </w:rPr>
              <w:t>lmagel</w:t>
            </w:r>
          </w:p>
        </w:tc>
        <w:tc>
          <w:tcPr>
            <w:tcW w:w="3098" w:type="dxa"/>
          </w:tcPr>
          <w:p w:rsidR="00782463" w:rsidRDefault="00782463">
            <w:pPr>
              <w:pStyle w:val="a4"/>
            </w:pPr>
            <w:r>
              <w:t>В 5 мл:алюминия гидроксид 300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магния гидроксид 100 мг</w:t>
            </w:r>
          </w:p>
        </w:tc>
        <w:tc>
          <w:tcPr>
            <w:tcW w:w="1900" w:type="dxa"/>
            <w:vMerge w:val="restart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 170 мл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 200 мл</w:t>
            </w:r>
          </w:p>
        </w:tc>
        <w:tc>
          <w:tcPr>
            <w:tcW w:w="2646" w:type="dxa"/>
            <w:vMerge w:val="restart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По 1 дозированной ложке (5 мл) 4 раза в день через 1 час после еды и перед сном</w:t>
            </w:r>
          </w:p>
        </w:tc>
      </w:tr>
      <w:tr w:rsidR="00782463">
        <w:trPr>
          <w:cantSplit/>
        </w:trPr>
        <w:tc>
          <w:tcPr>
            <w:tcW w:w="1510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Almagel A</w:t>
            </w:r>
          </w:p>
        </w:tc>
        <w:tc>
          <w:tcPr>
            <w:tcW w:w="3098" w:type="dxa"/>
          </w:tcPr>
          <w:p w:rsidR="00782463" w:rsidRDefault="00782463">
            <w:pPr>
              <w:pStyle w:val="a4"/>
            </w:pPr>
            <w:r>
              <w:t>В 5 мл:алюминия гидроксид 300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магния гидроксид 100 мг,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бензокаин 100 мг</w:t>
            </w:r>
          </w:p>
        </w:tc>
        <w:tc>
          <w:tcPr>
            <w:tcW w:w="1900" w:type="dxa"/>
            <w:vMerge/>
          </w:tcPr>
          <w:p w:rsidR="00782463" w:rsidRDefault="00782463">
            <w:pPr>
              <w:rPr>
                <w:sz w:val="28"/>
              </w:rPr>
            </w:pPr>
          </w:p>
        </w:tc>
        <w:tc>
          <w:tcPr>
            <w:tcW w:w="2646" w:type="dxa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  <w:tr w:rsidR="00782463">
        <w:tc>
          <w:tcPr>
            <w:tcW w:w="151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  <w:lang w:val="be-BY"/>
              </w:rPr>
              <w:t>А</w:t>
            </w:r>
            <w:r>
              <w:rPr>
                <w:b/>
                <w:i/>
                <w:sz w:val="24"/>
                <w:lang w:val="en-US"/>
              </w:rPr>
              <w:t>lmagel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lang w:val="en-US"/>
              </w:rPr>
              <w:t>Neo</w:t>
            </w:r>
          </w:p>
        </w:tc>
        <w:tc>
          <w:tcPr>
            <w:tcW w:w="3098" w:type="dxa"/>
          </w:tcPr>
          <w:p w:rsidR="00782463" w:rsidRDefault="00782463">
            <w:pPr>
              <w:pStyle w:val="a4"/>
            </w:pPr>
            <w:r>
              <w:t>В 5 мл:алюминия гидроксид 340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магния гидроксид 395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симетикон 36 мг</w:t>
            </w:r>
          </w:p>
        </w:tc>
        <w:tc>
          <w:tcPr>
            <w:tcW w:w="19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 170 мл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 200 мл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-пакет  10 мл</w:t>
            </w:r>
          </w:p>
        </w:tc>
        <w:tc>
          <w:tcPr>
            <w:tcW w:w="264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Детям старше 12 лет по 1 дозированной ложке (5 мл) 4 раза в день через 1 час после еды и перед сном</w:t>
            </w:r>
          </w:p>
        </w:tc>
      </w:tr>
      <w:tr w:rsidR="00782463">
        <w:tc>
          <w:tcPr>
            <w:tcW w:w="1510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Gastal</w:t>
            </w:r>
          </w:p>
        </w:tc>
        <w:tc>
          <w:tcPr>
            <w:tcW w:w="3098" w:type="dxa"/>
          </w:tcPr>
          <w:p w:rsidR="00782463" w:rsidRDefault="00782463">
            <w:pPr>
              <w:pStyle w:val="a4"/>
            </w:pPr>
            <w:r>
              <w:t>алюминия гидроксида-магния карбоната гель высушенный 450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магния гидроксид 300 мг</w:t>
            </w:r>
          </w:p>
        </w:tc>
        <w:tc>
          <w:tcPr>
            <w:tcW w:w="19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</w:t>
            </w:r>
          </w:p>
        </w:tc>
        <w:tc>
          <w:tcPr>
            <w:tcW w:w="264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По ½-1 таблетке 4-6 раз в сутки через 1 час после еды и перед сном</w:t>
            </w:r>
          </w:p>
        </w:tc>
      </w:tr>
      <w:tr w:rsidR="00782463">
        <w:tc>
          <w:tcPr>
            <w:tcW w:w="1510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Maalox</w:t>
            </w:r>
          </w:p>
        </w:tc>
        <w:tc>
          <w:tcPr>
            <w:tcW w:w="3098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В 1 табл.: алюминия гидроксид 400 мг, магния гидроксид 400 мг;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В 15 мл сусп.: алюминия гидроксид 525 мг, магния гидроксид 600 мг</w:t>
            </w:r>
          </w:p>
        </w:tc>
        <w:tc>
          <w:tcPr>
            <w:tcW w:w="19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таблетки жевательные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250 мл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-пакет 15 мл</w:t>
            </w:r>
          </w:p>
        </w:tc>
        <w:tc>
          <w:tcPr>
            <w:tcW w:w="2646" w:type="dxa"/>
          </w:tcPr>
          <w:p w:rsidR="00782463" w:rsidRDefault="00782463">
            <w:pPr>
              <w:pStyle w:val="a4"/>
            </w:pPr>
            <w:r>
              <w:t>Дети раннего возраста: 0,2 мг/кг 4 раза в сутки;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старше 4 лет: по 5-15 мл 2-4 раза в сутки и на ночь;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старше 10 лет: по 1 таблетке 2-4 раза в день и на ночь</w:t>
            </w:r>
          </w:p>
        </w:tc>
      </w:tr>
      <w:tr w:rsidR="00782463">
        <w:tc>
          <w:tcPr>
            <w:tcW w:w="1510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Phosphalugel</w:t>
            </w:r>
          </w:p>
        </w:tc>
        <w:tc>
          <w:tcPr>
            <w:tcW w:w="3098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В 1 пакете: алюминия фосфат </w:t>
            </w:r>
            <w:smartTag w:uri="urn:schemas-microsoft-com:office:smarttags" w:element="metricconverter">
              <w:smartTagPr>
                <w:attr w:name="ProductID" w:val="10,4 г"/>
              </w:smartTagPr>
              <w:r>
                <w:rPr>
                  <w:sz w:val="24"/>
                </w:rPr>
                <w:t>10,4 г</w:t>
              </w:r>
            </w:smartTag>
          </w:p>
        </w:tc>
        <w:tc>
          <w:tcPr>
            <w:tcW w:w="19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пакет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rPr>
                  <w:sz w:val="24"/>
                </w:rPr>
                <w:t>16 г</w:t>
              </w:r>
            </w:smartTag>
            <w:r>
              <w:rPr>
                <w:sz w:val="24"/>
              </w:rPr>
              <w:t xml:space="preserve"> </w:t>
            </w:r>
          </w:p>
        </w:tc>
        <w:tc>
          <w:tcPr>
            <w:tcW w:w="264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По ½ пакета 2-3 раза в день через 1-2 часа после еды</w:t>
            </w:r>
          </w:p>
        </w:tc>
      </w:tr>
    </w:tbl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</w:p>
    <w:p w:rsidR="00782463" w:rsidRDefault="00782463">
      <w:pPr>
        <w:rPr>
          <w:b/>
          <w:i/>
          <w:sz w:val="24"/>
          <w:u w:val="single"/>
        </w:rPr>
      </w:pPr>
    </w:p>
    <w:p w:rsidR="00782463" w:rsidRDefault="00782463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  <w:lang w:val="en-US"/>
        </w:rPr>
        <w:t>II</w:t>
      </w:r>
      <w:r>
        <w:rPr>
          <w:b/>
          <w:i/>
          <w:sz w:val="24"/>
          <w:u w:val="single"/>
        </w:rPr>
        <w:t xml:space="preserve"> АНТИСЕКРЕТОРНЫЕ</w:t>
      </w:r>
    </w:p>
    <w:p w:rsidR="00782463" w:rsidRDefault="00782463">
      <w:pPr>
        <w:ind w:left="700"/>
        <w:jc w:val="center"/>
        <w:rPr>
          <w:b/>
          <w:i/>
          <w:sz w:val="24"/>
          <w:u w:val="single"/>
        </w:rPr>
      </w:pPr>
    </w:p>
    <w:p w:rsidR="00782463" w:rsidRDefault="00782463">
      <w:pPr>
        <w:ind w:left="700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lang w:val="en-US"/>
        </w:rPr>
        <w:t>II</w:t>
      </w:r>
      <w:r>
        <w:rPr>
          <w:rFonts w:ascii="Arial" w:hAnsi="Arial"/>
          <w:b/>
          <w:i/>
          <w:sz w:val="24"/>
        </w:rPr>
        <w:t>А. Блокаторы Н</w:t>
      </w:r>
      <w:r>
        <w:rPr>
          <w:rFonts w:ascii="Arial" w:hAnsi="Arial"/>
          <w:b/>
          <w:i/>
          <w:sz w:val="24"/>
          <w:vertAlign w:val="subscript"/>
        </w:rPr>
        <w:t>2</w:t>
      </w:r>
      <w:r>
        <w:rPr>
          <w:rFonts w:ascii="Arial" w:hAnsi="Arial"/>
          <w:b/>
          <w:i/>
          <w:sz w:val="24"/>
        </w:rPr>
        <w:t>-гистаминорецепторов</w:t>
      </w:r>
    </w:p>
    <w:p w:rsidR="00782463" w:rsidRDefault="00782463">
      <w:pPr>
        <w:ind w:left="700"/>
        <w:jc w:val="center"/>
        <w:rPr>
          <w:rFonts w:ascii="Arial" w:hAnsi="Arial"/>
          <w:b/>
          <w:i/>
          <w:sz w:val="24"/>
        </w:rPr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700"/>
        <w:gridCol w:w="37"/>
        <w:gridCol w:w="3509"/>
      </w:tblGrid>
      <w:tr w:rsidR="00782463">
        <w:tc>
          <w:tcPr>
            <w:tcW w:w="1908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Торговое</w:t>
            </w:r>
          </w:p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название</w:t>
            </w:r>
          </w:p>
        </w:tc>
        <w:tc>
          <w:tcPr>
            <w:tcW w:w="3700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Форма выпуска</w:t>
            </w:r>
          </w:p>
        </w:tc>
        <w:tc>
          <w:tcPr>
            <w:tcW w:w="3546" w:type="dxa"/>
            <w:gridSpan w:val="2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Дозы</w:t>
            </w:r>
          </w:p>
        </w:tc>
      </w:tr>
      <w:tr w:rsidR="00782463">
        <w:trPr>
          <w:cantSplit/>
        </w:trPr>
        <w:tc>
          <w:tcPr>
            <w:tcW w:w="9154" w:type="dxa"/>
            <w:gridSpan w:val="4"/>
          </w:tcPr>
          <w:p w:rsidR="00782463" w:rsidRDefault="0078246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Cimetidine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таблетки, покрытые оболочкой, 200 мг</w:t>
            </w:r>
          </w:p>
        </w:tc>
        <w:tc>
          <w:tcPr>
            <w:tcW w:w="3546" w:type="dxa"/>
            <w:gridSpan w:val="2"/>
            <w:vMerge w:val="restart"/>
          </w:tcPr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В педиатрической практике не применяются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Histodyl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200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-ампулы 2 мл(200мг)</w:t>
            </w:r>
          </w:p>
        </w:tc>
        <w:tc>
          <w:tcPr>
            <w:tcW w:w="3546" w:type="dxa"/>
            <w:gridSpan w:val="2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  <w:tr w:rsidR="00782463">
        <w:trPr>
          <w:cantSplit/>
        </w:trPr>
        <w:tc>
          <w:tcPr>
            <w:tcW w:w="9154" w:type="dxa"/>
            <w:gridSpan w:val="4"/>
          </w:tcPr>
          <w:p w:rsidR="00782463" w:rsidRDefault="0078246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II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Ranitidine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таблетки, покрытые оболочкой, 150 мг; 300 мг</w:t>
            </w:r>
          </w:p>
        </w:tc>
        <w:tc>
          <w:tcPr>
            <w:tcW w:w="3546" w:type="dxa"/>
            <w:gridSpan w:val="2"/>
            <w:vMerge w:val="restart"/>
          </w:tcPr>
          <w:p w:rsidR="00782463" w:rsidRDefault="00782463">
            <w:pPr>
              <w:pStyle w:val="1"/>
            </w:pPr>
          </w:p>
          <w:p w:rsidR="00782463" w:rsidRDefault="00782463">
            <w:pPr>
              <w:pStyle w:val="1"/>
              <w:jc w:val="left"/>
            </w:pPr>
            <w:r>
              <w:t xml:space="preserve">По 75 мг 2 раза в день (утром и </w:t>
            </w:r>
          </w:p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вечером)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Ranisan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таблетки, покрытые оболочкой, 150 мг</w:t>
            </w:r>
          </w:p>
        </w:tc>
        <w:tc>
          <w:tcPr>
            <w:tcW w:w="3546" w:type="dxa"/>
            <w:gridSpan w:val="2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Ranigast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таблетки, покрытые оболочкой, 75 мг; 150 мг</w:t>
            </w:r>
          </w:p>
        </w:tc>
        <w:tc>
          <w:tcPr>
            <w:tcW w:w="3546" w:type="dxa"/>
            <w:gridSpan w:val="2"/>
            <w:vMerge w:val="restart"/>
          </w:tcPr>
          <w:p w:rsidR="00782463" w:rsidRDefault="00782463">
            <w:pPr>
              <w:pStyle w:val="1"/>
            </w:pPr>
          </w:p>
          <w:p w:rsidR="00782463" w:rsidRDefault="00782463">
            <w:pPr>
              <w:pStyle w:val="1"/>
            </w:pPr>
          </w:p>
          <w:p w:rsidR="00782463" w:rsidRDefault="00782463">
            <w:pPr>
              <w:pStyle w:val="1"/>
              <w:jc w:val="left"/>
            </w:pPr>
            <w:r>
              <w:t xml:space="preserve">По 75 мг 2 раза в день (утром и 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вечером)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Histac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-таблетки, покрытые оболочкой, 75 мг; 150 мг; 300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шипучие быстрорастворимые 150 мг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-ампулы 2 мл (50 мг)</w:t>
            </w:r>
          </w:p>
        </w:tc>
        <w:tc>
          <w:tcPr>
            <w:tcW w:w="3546" w:type="dxa"/>
            <w:gridSpan w:val="2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  <w:tr w:rsidR="00782463">
        <w:trPr>
          <w:trHeight w:val="1175"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Zantac</w:t>
            </w:r>
          </w:p>
        </w:tc>
        <w:tc>
          <w:tcPr>
            <w:tcW w:w="37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таблетки 150 мг; 300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шипучие 150 мг; 300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-ампулы 2 мл (50 мг)</w:t>
            </w:r>
          </w:p>
        </w:tc>
        <w:tc>
          <w:tcPr>
            <w:tcW w:w="3546" w:type="dxa"/>
            <w:gridSpan w:val="2"/>
          </w:tcPr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 мг/кг 2 раза в сутки, максимальная суточная доза 300 мг</w:t>
            </w:r>
          </w:p>
        </w:tc>
      </w:tr>
      <w:tr w:rsidR="00782463">
        <w:trPr>
          <w:cantSplit/>
        </w:trPr>
        <w:tc>
          <w:tcPr>
            <w:tcW w:w="9154" w:type="dxa"/>
            <w:gridSpan w:val="4"/>
          </w:tcPr>
          <w:p w:rsidR="00782463" w:rsidRDefault="0078246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III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Famotidine</w:t>
            </w:r>
          </w:p>
        </w:tc>
        <w:tc>
          <w:tcPr>
            <w:tcW w:w="3737" w:type="dxa"/>
            <w:gridSpan w:val="2"/>
            <w:vMerge w:val="restart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таблетки, покрытые оболочкой, 20 мг; 40 мг</w:t>
            </w:r>
          </w:p>
        </w:tc>
        <w:tc>
          <w:tcPr>
            <w:tcW w:w="3509" w:type="dxa"/>
            <w:vMerge w:val="restart"/>
          </w:tcPr>
          <w:p w:rsidR="00782463" w:rsidRDefault="00782463">
            <w:pPr>
              <w:rPr>
                <w:sz w:val="24"/>
              </w:rPr>
            </w:pPr>
            <w:r w:rsidRPr="00EE469F">
              <w:rPr>
                <w:sz w:val="24"/>
              </w:rPr>
              <w:t>20-40 мг в сутки в 1-2 приема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Famocid</w:t>
            </w:r>
          </w:p>
        </w:tc>
        <w:tc>
          <w:tcPr>
            <w:tcW w:w="3737" w:type="dxa"/>
            <w:gridSpan w:val="2"/>
            <w:vMerge/>
          </w:tcPr>
          <w:p w:rsidR="00782463" w:rsidRDefault="00782463">
            <w:pPr>
              <w:rPr>
                <w:sz w:val="28"/>
                <w:lang w:val="en-US"/>
              </w:rPr>
            </w:pPr>
          </w:p>
        </w:tc>
        <w:tc>
          <w:tcPr>
            <w:tcW w:w="3509" w:type="dxa"/>
            <w:vMerge/>
          </w:tcPr>
          <w:p w:rsidR="00782463" w:rsidRDefault="00782463">
            <w:pPr>
              <w:rPr>
                <w:sz w:val="28"/>
                <w:lang w:val="en-US"/>
              </w:rPr>
            </w:pPr>
          </w:p>
        </w:tc>
      </w:tr>
      <w:tr w:rsidR="00782463"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Quamatel</w:t>
            </w:r>
          </w:p>
        </w:tc>
        <w:tc>
          <w:tcPr>
            <w:tcW w:w="3737" w:type="dxa"/>
            <w:gridSpan w:val="2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-таблетки, покрытые оболочкой, 20 мг; 40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-порошок для инъекций 20 мг</w:t>
            </w:r>
          </w:p>
        </w:tc>
        <w:tc>
          <w:tcPr>
            <w:tcW w:w="3509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В педиатрической практике не применяется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Ulfamid</w:t>
            </w:r>
          </w:p>
        </w:tc>
        <w:tc>
          <w:tcPr>
            <w:tcW w:w="3737" w:type="dxa"/>
            <w:gridSpan w:val="2"/>
          </w:tcPr>
          <w:p w:rsidR="00782463" w:rsidRDefault="00782463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>таблетки 20 мг; 40 мг</w:t>
            </w:r>
          </w:p>
        </w:tc>
        <w:tc>
          <w:tcPr>
            <w:tcW w:w="3509" w:type="dxa"/>
            <w:vMerge w:val="restart"/>
          </w:tcPr>
          <w:p w:rsidR="00782463" w:rsidRDefault="00782463">
            <w:pPr>
              <w:rPr>
                <w:sz w:val="28"/>
              </w:rPr>
            </w:pPr>
            <w:r w:rsidRPr="00EE469F">
              <w:rPr>
                <w:sz w:val="24"/>
              </w:rPr>
              <w:t>20-40 мг в сутки в 1-2 приема</w:t>
            </w:r>
          </w:p>
        </w:tc>
      </w:tr>
      <w:tr w:rsidR="00782463">
        <w:trPr>
          <w:cantSplit/>
        </w:trPr>
        <w:tc>
          <w:tcPr>
            <w:tcW w:w="1908" w:type="dxa"/>
          </w:tcPr>
          <w:p w:rsidR="00782463" w:rsidRDefault="0078246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Ulceran</w:t>
            </w:r>
          </w:p>
        </w:tc>
        <w:tc>
          <w:tcPr>
            <w:tcW w:w="3737" w:type="dxa"/>
            <w:gridSpan w:val="2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таблетки, покрытые оболочкой, 20 мг; 40 мг</w:t>
            </w:r>
          </w:p>
        </w:tc>
        <w:tc>
          <w:tcPr>
            <w:tcW w:w="3509" w:type="dxa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</w:tbl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ind w:left="700"/>
        <w:rPr>
          <w:sz w:val="28"/>
        </w:rPr>
      </w:pPr>
    </w:p>
    <w:p w:rsidR="00782463" w:rsidRDefault="00782463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lang w:val="en-US"/>
        </w:rPr>
        <w:t>IIB</w:t>
      </w:r>
      <w:r>
        <w:rPr>
          <w:rFonts w:ascii="Arial" w:hAnsi="Arial"/>
          <w:b/>
          <w:i/>
          <w:sz w:val="24"/>
        </w:rPr>
        <w:t>. Ингибиторы протонной помпы</w:t>
      </w:r>
    </w:p>
    <w:p w:rsidR="00782463" w:rsidRDefault="00782463">
      <w:pPr>
        <w:ind w:firstLine="700"/>
        <w:jc w:val="center"/>
        <w:rPr>
          <w:rFonts w:ascii="Arial" w:hAnsi="Arial"/>
          <w:b/>
          <w:i/>
          <w:sz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3056"/>
        <w:gridCol w:w="2991"/>
      </w:tblGrid>
      <w:tr w:rsidR="00782463">
        <w:tc>
          <w:tcPr>
            <w:tcW w:w="3099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Торговое </w:t>
            </w:r>
          </w:p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название</w:t>
            </w:r>
          </w:p>
        </w:tc>
        <w:tc>
          <w:tcPr>
            <w:tcW w:w="3056" w:type="dxa"/>
          </w:tcPr>
          <w:p w:rsidR="00782463" w:rsidRDefault="00782463">
            <w:pPr>
              <w:pStyle w:val="3"/>
              <w:jc w:val="center"/>
              <w:rPr>
                <w:rFonts w:ascii="Arial" w:hAnsi="Arial"/>
                <w:i/>
                <w:lang w:val="ru-RU"/>
              </w:rPr>
            </w:pPr>
            <w:r>
              <w:rPr>
                <w:i/>
                <w:lang w:val="ru-RU"/>
              </w:rPr>
              <w:t>Форма выпуска</w:t>
            </w:r>
          </w:p>
        </w:tc>
        <w:tc>
          <w:tcPr>
            <w:tcW w:w="2991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Дозы</w:t>
            </w:r>
          </w:p>
        </w:tc>
      </w:tr>
      <w:tr w:rsidR="00782463">
        <w:trPr>
          <w:cantSplit/>
        </w:trPr>
        <w:tc>
          <w:tcPr>
            <w:tcW w:w="9146" w:type="dxa"/>
            <w:gridSpan w:val="3"/>
          </w:tcPr>
          <w:p w:rsidR="00782463" w:rsidRDefault="0078246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b/>
                <w:i/>
                <w:sz w:val="24"/>
                <w:lang w:val="en-US"/>
              </w:rPr>
              <w:t>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rPr>
          <w:cantSplit/>
        </w:trPr>
        <w:tc>
          <w:tcPr>
            <w:tcW w:w="3099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Losec</w:t>
            </w:r>
          </w:p>
        </w:tc>
        <w:tc>
          <w:tcPr>
            <w:tcW w:w="305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таблетки, покрытые оболочкой, 10 мг; 20 мг</w:t>
            </w:r>
          </w:p>
        </w:tc>
        <w:tc>
          <w:tcPr>
            <w:tcW w:w="2991" w:type="dxa"/>
            <w:vMerge w:val="restart"/>
          </w:tcPr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20-40 мг в сутки в 1-2 приема</w:t>
            </w:r>
          </w:p>
        </w:tc>
      </w:tr>
      <w:tr w:rsidR="00782463">
        <w:trPr>
          <w:cantSplit/>
        </w:trPr>
        <w:tc>
          <w:tcPr>
            <w:tcW w:w="3099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Omez</w:t>
            </w:r>
          </w:p>
        </w:tc>
        <w:tc>
          <w:tcPr>
            <w:tcW w:w="3056" w:type="dxa"/>
            <w:vMerge w:val="restart"/>
          </w:tcPr>
          <w:p w:rsidR="00782463" w:rsidRDefault="00782463">
            <w:pPr>
              <w:pStyle w:val="3"/>
              <w:rPr>
                <w:lang w:val="ru-RU"/>
              </w:rPr>
            </w:pPr>
          </w:p>
          <w:p w:rsidR="00782463" w:rsidRDefault="00782463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>капсулы 20 мг</w:t>
            </w:r>
          </w:p>
        </w:tc>
        <w:tc>
          <w:tcPr>
            <w:tcW w:w="2991" w:type="dxa"/>
            <w:vMerge/>
          </w:tcPr>
          <w:p w:rsidR="00782463" w:rsidRDefault="00782463">
            <w:pPr>
              <w:rPr>
                <w:rFonts w:ascii="Arial" w:hAnsi="Arial"/>
                <w:sz w:val="28"/>
              </w:rPr>
            </w:pPr>
          </w:p>
        </w:tc>
      </w:tr>
      <w:tr w:rsidR="00782463">
        <w:trPr>
          <w:cantSplit/>
        </w:trPr>
        <w:tc>
          <w:tcPr>
            <w:tcW w:w="3099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Omeprasol</w:t>
            </w:r>
          </w:p>
        </w:tc>
        <w:tc>
          <w:tcPr>
            <w:tcW w:w="3056" w:type="dxa"/>
            <w:vMerge/>
          </w:tcPr>
          <w:p w:rsidR="00782463" w:rsidRDefault="00782463">
            <w:pPr>
              <w:rPr>
                <w:rFonts w:ascii="Arial" w:hAnsi="Arial"/>
                <w:sz w:val="28"/>
                <w:lang w:val="en-US"/>
              </w:rPr>
            </w:pPr>
          </w:p>
        </w:tc>
        <w:tc>
          <w:tcPr>
            <w:tcW w:w="2991" w:type="dxa"/>
            <w:vMerge/>
          </w:tcPr>
          <w:p w:rsidR="00782463" w:rsidRDefault="00782463">
            <w:pPr>
              <w:rPr>
                <w:rFonts w:ascii="Arial" w:hAnsi="Arial"/>
                <w:sz w:val="28"/>
                <w:lang w:val="en-US"/>
              </w:rPr>
            </w:pPr>
          </w:p>
        </w:tc>
      </w:tr>
      <w:tr w:rsidR="00782463">
        <w:trPr>
          <w:cantSplit/>
          <w:trHeight w:val="230"/>
        </w:trPr>
        <w:tc>
          <w:tcPr>
            <w:tcW w:w="3099" w:type="dxa"/>
            <w:tcBorders>
              <w:bottom w:val="single" w:sz="4" w:space="0" w:color="auto"/>
            </w:tcBorders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Omefez</w:t>
            </w: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782463" w:rsidRDefault="00782463">
            <w:pPr>
              <w:rPr>
                <w:rFonts w:ascii="Arial" w:hAnsi="Arial"/>
                <w:sz w:val="28"/>
                <w:lang w:val="en-US"/>
              </w:rPr>
            </w:pPr>
          </w:p>
        </w:tc>
        <w:tc>
          <w:tcPr>
            <w:tcW w:w="2991" w:type="dxa"/>
            <w:vMerge/>
            <w:tcBorders>
              <w:bottom w:val="single" w:sz="4" w:space="0" w:color="auto"/>
            </w:tcBorders>
          </w:tcPr>
          <w:p w:rsidR="00782463" w:rsidRDefault="00782463">
            <w:pPr>
              <w:rPr>
                <w:rFonts w:ascii="Arial" w:hAnsi="Arial"/>
                <w:sz w:val="28"/>
                <w:lang w:val="en-US"/>
              </w:rPr>
            </w:pPr>
          </w:p>
        </w:tc>
      </w:tr>
      <w:tr w:rsidR="00782463">
        <w:trPr>
          <w:cantSplit/>
        </w:trPr>
        <w:tc>
          <w:tcPr>
            <w:tcW w:w="3099" w:type="dxa"/>
          </w:tcPr>
          <w:p w:rsidR="00782463" w:rsidRDefault="00782463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Lansap</w:t>
            </w:r>
          </w:p>
        </w:tc>
        <w:tc>
          <w:tcPr>
            <w:tcW w:w="3056" w:type="dxa"/>
            <w:vMerge w:val="restart"/>
          </w:tcPr>
          <w:p w:rsidR="00782463" w:rsidRDefault="00782463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sz w:val="24"/>
              </w:rPr>
              <w:t>капсулы</w:t>
            </w:r>
            <w:r>
              <w:rPr>
                <w:sz w:val="24"/>
                <w:lang w:val="en-US"/>
              </w:rPr>
              <w:t xml:space="preserve"> 30 </w:t>
            </w:r>
            <w:r>
              <w:rPr>
                <w:sz w:val="24"/>
              </w:rPr>
              <w:t>мг</w:t>
            </w:r>
          </w:p>
        </w:tc>
        <w:tc>
          <w:tcPr>
            <w:tcW w:w="2991" w:type="dxa"/>
            <w:vMerge/>
          </w:tcPr>
          <w:p w:rsidR="00782463" w:rsidRDefault="00782463">
            <w:pPr>
              <w:rPr>
                <w:rFonts w:ascii="Arial" w:hAnsi="Arial"/>
                <w:sz w:val="28"/>
                <w:lang w:val="en-US"/>
              </w:rPr>
            </w:pPr>
          </w:p>
        </w:tc>
      </w:tr>
      <w:tr w:rsidR="00782463">
        <w:trPr>
          <w:cantSplit/>
        </w:trPr>
        <w:tc>
          <w:tcPr>
            <w:tcW w:w="3099" w:type="dxa"/>
          </w:tcPr>
          <w:p w:rsidR="00782463" w:rsidRDefault="0078246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Acrilans</w:t>
            </w:r>
          </w:p>
        </w:tc>
        <w:tc>
          <w:tcPr>
            <w:tcW w:w="3056" w:type="dxa"/>
            <w:vMerge/>
          </w:tcPr>
          <w:p w:rsidR="00782463" w:rsidRDefault="00782463">
            <w:pPr>
              <w:rPr>
                <w:rFonts w:ascii="Arial" w:hAnsi="Arial"/>
                <w:sz w:val="24"/>
              </w:rPr>
            </w:pPr>
          </w:p>
        </w:tc>
        <w:tc>
          <w:tcPr>
            <w:tcW w:w="2991" w:type="dxa"/>
            <w:vMerge/>
          </w:tcPr>
          <w:p w:rsidR="00782463" w:rsidRDefault="00782463">
            <w:pPr>
              <w:rPr>
                <w:rFonts w:ascii="Arial" w:hAnsi="Arial"/>
                <w:sz w:val="28"/>
              </w:rPr>
            </w:pPr>
          </w:p>
        </w:tc>
      </w:tr>
      <w:tr w:rsidR="00782463">
        <w:trPr>
          <w:cantSplit/>
        </w:trPr>
        <w:tc>
          <w:tcPr>
            <w:tcW w:w="9146" w:type="dxa"/>
            <w:gridSpan w:val="3"/>
          </w:tcPr>
          <w:p w:rsidR="00782463" w:rsidRDefault="0078246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b/>
                <w:i/>
                <w:sz w:val="24"/>
                <w:lang w:val="en-US"/>
              </w:rPr>
              <w:t>II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c>
          <w:tcPr>
            <w:tcW w:w="3099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Pariet</w:t>
            </w:r>
          </w:p>
        </w:tc>
        <w:tc>
          <w:tcPr>
            <w:tcW w:w="3056" w:type="dxa"/>
          </w:tcPr>
          <w:p w:rsidR="00782463" w:rsidRDefault="00782463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 xml:space="preserve">таблетки 10 мг; 20 мг </w:t>
            </w:r>
          </w:p>
        </w:tc>
        <w:tc>
          <w:tcPr>
            <w:tcW w:w="2991" w:type="dxa"/>
          </w:tcPr>
          <w:p w:rsidR="00782463" w:rsidRDefault="0078246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10-20 мг в сутки в 1-2 приема</w:t>
            </w:r>
          </w:p>
        </w:tc>
      </w:tr>
      <w:tr w:rsidR="00782463">
        <w:trPr>
          <w:cantSplit/>
        </w:trPr>
        <w:tc>
          <w:tcPr>
            <w:tcW w:w="9146" w:type="dxa"/>
            <w:gridSpan w:val="3"/>
          </w:tcPr>
          <w:p w:rsidR="00782463" w:rsidRDefault="0078246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b/>
                <w:i/>
                <w:sz w:val="24"/>
                <w:lang w:val="en-US"/>
              </w:rPr>
              <w:t>III</w:t>
            </w:r>
            <w:r>
              <w:rPr>
                <w:b/>
                <w:i/>
                <w:sz w:val="24"/>
              </w:rPr>
              <w:t xml:space="preserve"> поколение</w:t>
            </w:r>
          </w:p>
        </w:tc>
      </w:tr>
      <w:tr w:rsidR="00782463">
        <w:tc>
          <w:tcPr>
            <w:tcW w:w="3099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Nexium</w:t>
            </w:r>
          </w:p>
        </w:tc>
        <w:tc>
          <w:tcPr>
            <w:tcW w:w="3056" w:type="dxa"/>
          </w:tcPr>
          <w:p w:rsidR="00782463" w:rsidRDefault="00782463">
            <w:pPr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таблетки, покрытые оболочкой, 10 мг; 20 мг</w:t>
            </w:r>
          </w:p>
        </w:tc>
        <w:tc>
          <w:tcPr>
            <w:tcW w:w="2991" w:type="dxa"/>
          </w:tcPr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20-40 мг в сутки </w:t>
            </w:r>
          </w:p>
          <w:p w:rsidR="00782463" w:rsidRDefault="0078246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однократно</w:t>
            </w:r>
          </w:p>
        </w:tc>
      </w:tr>
      <w:tr w:rsidR="00782463">
        <w:trPr>
          <w:cantSplit/>
        </w:trPr>
        <w:tc>
          <w:tcPr>
            <w:tcW w:w="9146" w:type="dxa"/>
            <w:gridSpan w:val="3"/>
          </w:tcPr>
          <w:p w:rsidR="00782463" w:rsidRDefault="00782463">
            <w:pPr>
              <w:pStyle w:val="4"/>
              <w:rPr>
                <w:rFonts w:ascii="Arial" w:hAnsi="Arial"/>
                <w:sz w:val="28"/>
              </w:rPr>
            </w:pPr>
            <w:r>
              <w:t>Комбинированные препараты</w:t>
            </w:r>
          </w:p>
        </w:tc>
      </w:tr>
      <w:tr w:rsidR="00782463">
        <w:tc>
          <w:tcPr>
            <w:tcW w:w="3099" w:type="dxa"/>
          </w:tcPr>
          <w:p w:rsidR="00782463" w:rsidRDefault="00782463">
            <w:pPr>
              <w:pStyle w:val="a4"/>
              <w:rPr>
                <w:lang w:val="en-US"/>
              </w:rPr>
            </w:pPr>
            <w:r>
              <w:rPr>
                <w:b/>
                <w:i/>
                <w:lang w:val="en-US"/>
              </w:rPr>
              <w:t>Pylobact</w:t>
            </w:r>
            <w:r>
              <w:rPr>
                <w:lang w:val="en-US"/>
              </w:rPr>
              <w:t xml:space="preserve"> (omeprazole+clarithromycin+</w:t>
            </w:r>
          </w:p>
          <w:p w:rsidR="00782463" w:rsidRDefault="0078246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tinidazole)</w:t>
            </w:r>
          </w:p>
        </w:tc>
        <w:tc>
          <w:tcPr>
            <w:tcW w:w="3056" w:type="dxa"/>
          </w:tcPr>
          <w:p w:rsidR="00782463" w:rsidRPr="00EE469F" w:rsidRDefault="00782463">
            <w:pPr>
              <w:rPr>
                <w:sz w:val="24"/>
              </w:rPr>
            </w:pPr>
            <w:r>
              <w:rPr>
                <w:sz w:val="24"/>
              </w:rPr>
              <w:t>капсула</w:t>
            </w:r>
            <w:r w:rsidRPr="00EE469F">
              <w:rPr>
                <w:sz w:val="24"/>
              </w:rPr>
              <w:t xml:space="preserve"> </w:t>
            </w:r>
            <w:r>
              <w:rPr>
                <w:sz w:val="24"/>
              </w:rPr>
              <w:t>омепразола</w:t>
            </w:r>
            <w:r w:rsidRPr="00EE469F">
              <w:rPr>
                <w:sz w:val="24"/>
              </w:rPr>
              <w:t xml:space="preserve"> 20 </w:t>
            </w:r>
            <w:r>
              <w:rPr>
                <w:sz w:val="24"/>
              </w:rPr>
              <w:t>мг</w:t>
            </w:r>
            <w:r w:rsidRPr="00EE469F">
              <w:rPr>
                <w:sz w:val="24"/>
              </w:rPr>
              <w:t>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таблетка кларитромицина 250 мг,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таблетка тинидазола</w:t>
            </w:r>
          </w:p>
        </w:tc>
        <w:tc>
          <w:tcPr>
            <w:tcW w:w="2991" w:type="dxa"/>
          </w:tcPr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таблетка+1капсула+</w:t>
            </w:r>
          </w:p>
          <w:p w:rsidR="00782463" w:rsidRDefault="00782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капсула 2 раза в сутки, курс 7 дней</w:t>
            </w:r>
          </w:p>
        </w:tc>
      </w:tr>
    </w:tbl>
    <w:p w:rsidR="00782463" w:rsidRDefault="00782463">
      <w:pPr>
        <w:ind w:firstLine="700"/>
        <w:jc w:val="center"/>
        <w:rPr>
          <w:rFonts w:ascii="Arial" w:hAnsi="Arial"/>
          <w:b/>
          <w:i/>
          <w:sz w:val="28"/>
        </w:rPr>
      </w:pPr>
    </w:p>
    <w:p w:rsidR="00782463" w:rsidRDefault="00782463">
      <w:pPr>
        <w:rPr>
          <w:rFonts w:ascii="Arial" w:hAnsi="Arial"/>
          <w:sz w:val="28"/>
        </w:rPr>
      </w:pPr>
    </w:p>
    <w:p w:rsidR="00782463" w:rsidRDefault="00782463">
      <w:pPr>
        <w:pStyle w:val="a3"/>
        <w:jc w:val="center"/>
        <w:rPr>
          <w:b/>
        </w:rPr>
      </w:pPr>
      <w:r>
        <w:rPr>
          <w:b/>
        </w:rPr>
        <w:t xml:space="preserve">СРЕДСТВА, ВЛИЯЮЩИЕ НА МОТОРИКУ ЖКТ – </w:t>
      </w:r>
    </w:p>
    <w:p w:rsidR="00782463" w:rsidRDefault="00782463">
      <w:pPr>
        <w:pStyle w:val="a3"/>
        <w:jc w:val="center"/>
        <w:rPr>
          <w:b/>
        </w:rPr>
      </w:pPr>
      <w:r>
        <w:rPr>
          <w:b/>
        </w:rPr>
        <w:t xml:space="preserve">ПРОКИНЕТИКИ </w:t>
      </w:r>
    </w:p>
    <w:p w:rsidR="00782463" w:rsidRDefault="00782463">
      <w:pPr>
        <w:pStyle w:val="a3"/>
        <w:jc w:val="center"/>
        <w:rPr>
          <w:b/>
        </w:rPr>
      </w:pPr>
      <w:r>
        <w:rPr>
          <w:b/>
        </w:rPr>
        <w:t>(АНТАГОНИСТЫ ДОПАМИНОВЫХ РЕЦЕПТОРОВ)</w:t>
      </w:r>
    </w:p>
    <w:p w:rsidR="00782463" w:rsidRDefault="00782463">
      <w:pPr>
        <w:pStyle w:val="a3"/>
        <w:jc w:val="center"/>
        <w:rPr>
          <w:b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3285"/>
        <w:gridCol w:w="3285"/>
      </w:tblGrid>
      <w:tr w:rsidR="00782463">
        <w:tc>
          <w:tcPr>
            <w:tcW w:w="2576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Торговое</w:t>
            </w:r>
          </w:p>
          <w:p w:rsidR="00782463" w:rsidRDefault="00782463">
            <w:pPr>
              <w:jc w:val="center"/>
              <w:rPr>
                <w:i/>
                <w:sz w:val="28"/>
              </w:rPr>
            </w:pPr>
            <w:r>
              <w:rPr>
                <w:i/>
                <w:sz w:val="24"/>
              </w:rPr>
              <w:t>название</w:t>
            </w:r>
          </w:p>
        </w:tc>
        <w:tc>
          <w:tcPr>
            <w:tcW w:w="3285" w:type="dxa"/>
          </w:tcPr>
          <w:p w:rsidR="00782463" w:rsidRDefault="00782463">
            <w:pPr>
              <w:jc w:val="center"/>
              <w:rPr>
                <w:i/>
                <w:sz w:val="28"/>
              </w:rPr>
            </w:pPr>
            <w:r>
              <w:rPr>
                <w:i/>
                <w:sz w:val="24"/>
              </w:rPr>
              <w:t>Форма выпуска</w:t>
            </w:r>
          </w:p>
        </w:tc>
        <w:tc>
          <w:tcPr>
            <w:tcW w:w="3285" w:type="dxa"/>
          </w:tcPr>
          <w:p w:rsidR="00782463" w:rsidRDefault="00782463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4"/>
              </w:rPr>
              <w:t>Дозы</w:t>
            </w:r>
          </w:p>
        </w:tc>
      </w:tr>
      <w:tr w:rsidR="00782463">
        <w:tc>
          <w:tcPr>
            <w:tcW w:w="2576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Motilium</w:t>
            </w:r>
          </w:p>
        </w:tc>
        <w:tc>
          <w:tcPr>
            <w:tcW w:w="3285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-таблетки, покрытые оболочкой, 10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лингвальные 10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(суспензия) 100 мл (в 5 мл – 5 мг)</w:t>
            </w:r>
          </w:p>
        </w:tc>
        <w:tc>
          <w:tcPr>
            <w:tcW w:w="3285" w:type="dxa"/>
          </w:tcPr>
          <w:p w:rsidR="00782463" w:rsidRDefault="00782463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 xml:space="preserve"> 0,5 мг/кг 3-4 раза в сутки за 15-30 минут до еды и перед сном</w:t>
            </w:r>
          </w:p>
        </w:tc>
      </w:tr>
      <w:tr w:rsidR="00782463">
        <w:trPr>
          <w:cantSplit/>
        </w:trPr>
        <w:tc>
          <w:tcPr>
            <w:tcW w:w="2576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Metoclopramid</w:t>
            </w:r>
          </w:p>
        </w:tc>
        <w:tc>
          <w:tcPr>
            <w:tcW w:w="3285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10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-ампулы 2 мл (10 мг)</w:t>
            </w:r>
          </w:p>
        </w:tc>
        <w:tc>
          <w:tcPr>
            <w:tcW w:w="3285" w:type="dxa"/>
            <w:vMerge w:val="restart"/>
          </w:tcPr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      0,5 мг/кг в сутки</w:t>
            </w:r>
          </w:p>
        </w:tc>
      </w:tr>
      <w:tr w:rsidR="00782463">
        <w:trPr>
          <w:cantSplit/>
        </w:trPr>
        <w:tc>
          <w:tcPr>
            <w:tcW w:w="2576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Reglan</w:t>
            </w:r>
          </w:p>
        </w:tc>
        <w:tc>
          <w:tcPr>
            <w:tcW w:w="3285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10 мг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-флакон (0,1% раствор для приема внутрь) 200 мл: в 5 мл 5 мг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-ампулы 2 мл (10 мг)</w:t>
            </w:r>
          </w:p>
        </w:tc>
        <w:tc>
          <w:tcPr>
            <w:tcW w:w="3285" w:type="dxa"/>
            <w:vMerge/>
          </w:tcPr>
          <w:p w:rsidR="00782463" w:rsidRDefault="00782463">
            <w:pPr>
              <w:rPr>
                <w:sz w:val="28"/>
              </w:rPr>
            </w:pPr>
          </w:p>
        </w:tc>
      </w:tr>
      <w:tr w:rsidR="00782463">
        <w:tc>
          <w:tcPr>
            <w:tcW w:w="2576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Cerucal</w:t>
            </w:r>
          </w:p>
        </w:tc>
        <w:tc>
          <w:tcPr>
            <w:tcW w:w="3285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-таблетки 10 мг</w:t>
            </w:r>
          </w:p>
          <w:p w:rsidR="00782463" w:rsidRDefault="00782463">
            <w:pPr>
              <w:rPr>
                <w:sz w:val="28"/>
              </w:rPr>
            </w:pPr>
            <w:r>
              <w:rPr>
                <w:sz w:val="24"/>
              </w:rPr>
              <w:t>-ампулы 2 мл (10 мг)</w:t>
            </w:r>
          </w:p>
        </w:tc>
        <w:tc>
          <w:tcPr>
            <w:tcW w:w="3285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0,1-0,5 мг/кг в сутки</w:t>
            </w:r>
          </w:p>
        </w:tc>
      </w:tr>
    </w:tbl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pStyle w:val="20"/>
        <w:jc w:val="center"/>
        <w:rPr>
          <w:b/>
        </w:rPr>
      </w:pPr>
      <w:r>
        <w:rPr>
          <w:b/>
        </w:rPr>
        <w:t xml:space="preserve">СРЕДСТВА, ОКАЗЫВАЮЩИЕ ЗАЩИТНОЕ ДЕЙСТВИЕ НА </w:t>
      </w:r>
    </w:p>
    <w:p w:rsidR="00782463" w:rsidRDefault="00782463">
      <w:pPr>
        <w:pStyle w:val="20"/>
        <w:jc w:val="center"/>
      </w:pPr>
      <w:r>
        <w:rPr>
          <w:b/>
        </w:rPr>
        <w:t>СЛИЗИСТУЮ ОБОЛОЧКУ ЖЕЛУДКА И КИШЕЧНИКА</w:t>
      </w:r>
    </w:p>
    <w:p w:rsidR="00782463" w:rsidRDefault="00782463">
      <w:pPr>
        <w:pStyle w:val="20"/>
        <w:jc w:val="center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3300"/>
        <w:gridCol w:w="3646"/>
      </w:tblGrid>
      <w:tr w:rsidR="00782463">
        <w:tc>
          <w:tcPr>
            <w:tcW w:w="2200" w:type="dxa"/>
          </w:tcPr>
          <w:p w:rsidR="00782463" w:rsidRDefault="00782463">
            <w:pPr>
              <w:pStyle w:val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Торговое</w:t>
            </w:r>
          </w:p>
          <w:p w:rsidR="00782463" w:rsidRDefault="00782463">
            <w:pPr>
              <w:jc w:val="center"/>
              <w:rPr>
                <w:sz w:val="28"/>
              </w:rPr>
            </w:pPr>
            <w:r>
              <w:rPr>
                <w:i/>
                <w:sz w:val="24"/>
              </w:rPr>
              <w:t>название</w:t>
            </w:r>
          </w:p>
        </w:tc>
        <w:tc>
          <w:tcPr>
            <w:tcW w:w="3300" w:type="dxa"/>
          </w:tcPr>
          <w:p w:rsidR="00782463" w:rsidRDefault="00782463">
            <w:pPr>
              <w:jc w:val="center"/>
              <w:rPr>
                <w:sz w:val="28"/>
              </w:rPr>
            </w:pPr>
            <w:r>
              <w:rPr>
                <w:i/>
                <w:sz w:val="24"/>
              </w:rPr>
              <w:t>Форма выпуска</w:t>
            </w:r>
          </w:p>
        </w:tc>
        <w:tc>
          <w:tcPr>
            <w:tcW w:w="3646" w:type="dxa"/>
          </w:tcPr>
          <w:p w:rsidR="00782463" w:rsidRDefault="00782463">
            <w:pPr>
              <w:jc w:val="center"/>
              <w:rPr>
                <w:sz w:val="28"/>
                <w:lang w:val="en-US"/>
              </w:rPr>
            </w:pPr>
            <w:r>
              <w:rPr>
                <w:i/>
                <w:sz w:val="24"/>
              </w:rPr>
              <w:t>Дозы</w:t>
            </w:r>
          </w:p>
        </w:tc>
      </w:tr>
      <w:tr w:rsidR="00782463">
        <w:tc>
          <w:tcPr>
            <w:tcW w:w="2200" w:type="dxa"/>
          </w:tcPr>
          <w:p w:rsidR="00782463" w:rsidRDefault="00782463">
            <w:pPr>
              <w:pStyle w:val="3"/>
              <w:rPr>
                <w:b/>
                <w:i/>
              </w:rPr>
            </w:pPr>
            <w:r>
              <w:rPr>
                <w:b/>
                <w:i/>
              </w:rPr>
              <w:t>De-nol</w:t>
            </w:r>
          </w:p>
        </w:tc>
        <w:tc>
          <w:tcPr>
            <w:tcW w:w="33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таблетки 120 </w:t>
            </w:r>
          </w:p>
        </w:tc>
        <w:tc>
          <w:tcPr>
            <w:tcW w:w="364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Дети до 12 лет – 240 мг в сутки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Дети старше 12 лет – по 120 мг 4 раза в сутки за 30 минут до еды и перед сном или 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>по 240 мг 2 раза в сутки за 30 минут до или 2 часа после приема пищи</w:t>
            </w:r>
          </w:p>
        </w:tc>
      </w:tr>
      <w:tr w:rsidR="00782463">
        <w:tc>
          <w:tcPr>
            <w:tcW w:w="2200" w:type="dxa"/>
          </w:tcPr>
          <w:p w:rsidR="00782463" w:rsidRDefault="00782463">
            <w:pPr>
              <w:pStyle w:val="3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Venter</w:t>
            </w:r>
          </w:p>
        </w:tc>
        <w:tc>
          <w:tcPr>
            <w:tcW w:w="3300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таблетки, содержащие </w:t>
            </w:r>
          </w:p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сукральфата </w:t>
            </w:r>
            <w:smartTag w:uri="urn:schemas-microsoft-com:office:smarttags" w:element="metricconverter">
              <w:smartTagPr>
                <w:attr w:name="ProductID" w:val="0,5 г"/>
              </w:smartTagPr>
              <w:r>
                <w:rPr>
                  <w:sz w:val="24"/>
                </w:rPr>
                <w:t>0,5 г</w:t>
              </w:r>
            </w:smartTag>
            <w:r>
              <w:rPr>
                <w:sz w:val="24"/>
              </w:rPr>
              <w:t xml:space="preserve">; </w:t>
            </w:r>
            <w:smartTag w:uri="urn:schemas-microsoft-com:office:smarttags" w:element="metricconverter">
              <w:smartTagPr>
                <w:attr w:name="ProductID" w:val="1,0 г"/>
              </w:smartTagPr>
              <w:r>
                <w:rPr>
                  <w:sz w:val="24"/>
                </w:rPr>
                <w:t>1,0 г</w:t>
              </w:r>
            </w:smartTag>
          </w:p>
        </w:tc>
        <w:tc>
          <w:tcPr>
            <w:tcW w:w="3646" w:type="dxa"/>
          </w:tcPr>
          <w:p w:rsidR="00782463" w:rsidRDefault="00782463">
            <w:pPr>
              <w:rPr>
                <w:sz w:val="24"/>
              </w:rPr>
            </w:pPr>
            <w:r>
              <w:rPr>
                <w:sz w:val="24"/>
              </w:rPr>
              <w:t xml:space="preserve">Детям старше 4 лет по </w:t>
            </w:r>
            <w:smartTag w:uri="urn:schemas-microsoft-com:office:smarttags" w:element="metricconverter">
              <w:smartTagPr>
                <w:attr w:name="ProductID" w:val="0,5 г"/>
              </w:smartTagPr>
              <w:r>
                <w:rPr>
                  <w:sz w:val="24"/>
                </w:rPr>
                <w:t>0,5 г</w:t>
              </w:r>
            </w:smartTag>
            <w:r>
              <w:rPr>
                <w:sz w:val="24"/>
              </w:rPr>
              <w:t xml:space="preserve"> 4 раза в сутки</w:t>
            </w:r>
          </w:p>
        </w:tc>
      </w:tr>
    </w:tbl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jc w:val="center"/>
        <w:rPr>
          <w:b/>
          <w:sz w:val="28"/>
        </w:rPr>
      </w:pPr>
      <w:r>
        <w:rPr>
          <w:b/>
          <w:sz w:val="28"/>
        </w:rPr>
        <w:t xml:space="preserve">АНТИБАКТЕРИАЛЬНЫЕ ПРЕПАРАТЫ ИСПОЛЬЗУЕМЫЕ ПРИ ЛЕЧЕНИИ </w:t>
      </w:r>
      <w:r>
        <w:rPr>
          <w:b/>
          <w:caps/>
          <w:sz w:val="28"/>
          <w:lang w:val="en-US"/>
        </w:rPr>
        <w:t>H</w:t>
      </w:r>
      <w:r w:rsidRPr="00EE469F">
        <w:rPr>
          <w:b/>
          <w:caps/>
          <w:sz w:val="28"/>
        </w:rPr>
        <w:t>.</w:t>
      </w:r>
      <w:r>
        <w:rPr>
          <w:b/>
          <w:caps/>
          <w:sz w:val="28"/>
          <w:lang w:val="en-US"/>
        </w:rPr>
        <w:t>pylori</w:t>
      </w:r>
      <w:r w:rsidRPr="00EE469F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ИНФЕКЦИИ</w:t>
      </w:r>
    </w:p>
    <w:p w:rsidR="00782463" w:rsidRDefault="00782463">
      <w:pPr>
        <w:ind w:firstLine="70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782463">
        <w:tc>
          <w:tcPr>
            <w:tcW w:w="5070" w:type="dxa"/>
          </w:tcPr>
          <w:p w:rsidR="00782463" w:rsidRDefault="00782463">
            <w:pPr>
              <w:pStyle w:val="8"/>
              <w:rPr>
                <w:b w:val="0"/>
                <w:i/>
                <w:smallCaps/>
              </w:rPr>
            </w:pPr>
            <w:r>
              <w:rPr>
                <w:b w:val="0"/>
                <w:i/>
                <w:smallCaps/>
              </w:rPr>
              <w:t>Препараты</w:t>
            </w:r>
          </w:p>
          <w:p w:rsidR="00782463" w:rsidRDefault="00782463">
            <w:pPr>
              <w:rPr>
                <w:i/>
                <w:smallCaps/>
              </w:rPr>
            </w:pPr>
          </w:p>
        </w:tc>
        <w:tc>
          <w:tcPr>
            <w:tcW w:w="4784" w:type="dxa"/>
          </w:tcPr>
          <w:p w:rsidR="00782463" w:rsidRDefault="00782463">
            <w:pPr>
              <w:pStyle w:val="8"/>
              <w:rPr>
                <w:b w:val="0"/>
                <w:i/>
                <w:smallCaps/>
              </w:rPr>
            </w:pPr>
            <w:r>
              <w:rPr>
                <w:b w:val="0"/>
                <w:i/>
                <w:smallCaps/>
              </w:rPr>
              <w:t>Дозировка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Амоксициллин (Флемоксин-солютаб</w:t>
            </w:r>
            <w:r>
              <w:rPr>
                <w:b/>
                <w:i/>
                <w:sz w:val="28"/>
                <w:vertAlign w:val="superscript"/>
              </w:rPr>
              <w:t xml:space="preserve"> </w:t>
            </w:r>
            <w:r>
              <w:rPr>
                <w:b/>
                <w:i/>
                <w:sz w:val="28"/>
              </w:rPr>
              <w:t>)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25-30 мг/кг (</w:t>
            </w:r>
            <w:r>
              <w:rPr>
                <w:sz w:val="28"/>
                <w:lang w:val="en-US"/>
              </w:rPr>
              <w:t>max</w:t>
            </w:r>
            <w:r>
              <w:rPr>
                <w:sz w:val="28"/>
              </w:rPr>
              <w:t>-1 г/сут)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Фромилид</w:t>
            </w:r>
            <w:r>
              <w:rPr>
                <w:b/>
                <w:i/>
                <w:sz w:val="28"/>
                <w:vertAlign w:val="superscript"/>
              </w:rPr>
              <w:t xml:space="preserve"> </w:t>
            </w:r>
            <w:r>
              <w:rPr>
                <w:b/>
                <w:i/>
                <w:sz w:val="28"/>
              </w:rPr>
              <w:t>(Кларитромицин, Клацид)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7,5 мг/кг (</w:t>
            </w:r>
            <w:r>
              <w:rPr>
                <w:sz w:val="28"/>
                <w:lang w:val="en-US"/>
              </w:rPr>
              <w:t>max</w:t>
            </w:r>
            <w:r>
              <w:rPr>
                <w:sz w:val="28"/>
              </w:rPr>
              <w:t>-500 мг/сут)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Рокситромицин (Рулид)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5-8 мг/кг (</w:t>
            </w:r>
            <w:r>
              <w:rPr>
                <w:sz w:val="28"/>
                <w:lang w:val="en-US"/>
              </w:rPr>
              <w:t>max</w:t>
            </w:r>
            <w:r>
              <w:rPr>
                <w:sz w:val="28"/>
              </w:rPr>
              <w:t>-300 мг/сут)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Азитромицин (Сумамед)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10 мг/кг (</w:t>
            </w:r>
            <w:r>
              <w:rPr>
                <w:sz w:val="28"/>
                <w:lang w:val="en-US"/>
              </w:rPr>
              <w:t>max</w:t>
            </w:r>
            <w:r>
              <w:rPr>
                <w:sz w:val="28"/>
              </w:rPr>
              <w:t>-1 г/сут)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Фуразолидон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20 мг/кг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Метронидазол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40 мг/кг</w:t>
            </w:r>
          </w:p>
        </w:tc>
      </w:tr>
      <w:tr w:rsidR="00782463">
        <w:tc>
          <w:tcPr>
            <w:tcW w:w="5070" w:type="dxa"/>
          </w:tcPr>
          <w:p w:rsidR="00782463" w:rsidRDefault="0078246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Нифурател (Макмирор)</w:t>
            </w:r>
          </w:p>
        </w:tc>
        <w:tc>
          <w:tcPr>
            <w:tcW w:w="4784" w:type="dxa"/>
          </w:tcPr>
          <w:p w:rsidR="00782463" w:rsidRDefault="00782463">
            <w:pPr>
              <w:rPr>
                <w:sz w:val="28"/>
              </w:rPr>
            </w:pPr>
            <w:r>
              <w:rPr>
                <w:sz w:val="28"/>
              </w:rPr>
              <w:t>15 мг/кг</w:t>
            </w:r>
          </w:p>
        </w:tc>
      </w:tr>
    </w:tbl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/>
    <w:p w:rsidR="00782463" w:rsidRDefault="00782463">
      <w:pPr>
        <w:pStyle w:val="5"/>
      </w:pPr>
    </w:p>
    <w:p w:rsidR="00782463" w:rsidRDefault="00782463">
      <w:pPr>
        <w:pStyle w:val="5"/>
      </w:pPr>
    </w:p>
    <w:p w:rsidR="00782463" w:rsidRDefault="00782463">
      <w:pPr>
        <w:pStyle w:val="5"/>
      </w:pPr>
      <w:r>
        <w:t>Приложение 2</w:t>
      </w:r>
    </w:p>
    <w:p w:rsidR="00782463" w:rsidRDefault="00782463"/>
    <w:p w:rsidR="00782463" w:rsidRDefault="00782463">
      <w:pPr>
        <w:pStyle w:val="6"/>
        <w:rPr>
          <w:b/>
        </w:rPr>
      </w:pPr>
      <w:r>
        <w:rPr>
          <w:b/>
        </w:rPr>
        <w:t>СХЕМЫ ЛЕЧЕНИЯ ХЕЛИКОБАКТЕРИОЗА У ДЕТЕЙ</w:t>
      </w:r>
    </w:p>
    <w:p w:rsidR="00782463" w:rsidRDefault="00782463"/>
    <w:p w:rsidR="00782463" w:rsidRDefault="00782463">
      <w:pPr>
        <w:pStyle w:val="7"/>
        <w:rPr>
          <w:b/>
          <w:i/>
        </w:rPr>
      </w:pPr>
      <w:r>
        <w:rPr>
          <w:b/>
          <w:i/>
        </w:rPr>
        <w:t>Однонедельная тройная терапия с блокаторами протонной помпы:</w:t>
      </w:r>
    </w:p>
    <w:p w:rsidR="00782463" w:rsidRDefault="00782463">
      <w:pPr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782463" w:rsidRDefault="00782463">
      <w:pPr>
        <w:numPr>
          <w:ilvl w:val="0"/>
          <w:numId w:val="22"/>
        </w:numPr>
        <w:rPr>
          <w:sz w:val="28"/>
        </w:rPr>
      </w:pPr>
      <w:r>
        <w:rPr>
          <w:sz w:val="28"/>
        </w:rPr>
        <w:t xml:space="preserve">      Омепразол</w:t>
      </w:r>
    </w:p>
    <w:p w:rsidR="00782463" w:rsidRDefault="00782463">
      <w:pPr>
        <w:numPr>
          <w:ilvl w:val="1"/>
          <w:numId w:val="21"/>
        </w:numPr>
        <w:tabs>
          <w:tab w:val="num" w:pos="2430"/>
        </w:tabs>
        <w:ind w:left="0" w:firstLine="700"/>
        <w:rPr>
          <w:sz w:val="28"/>
        </w:rPr>
      </w:pPr>
      <w:r>
        <w:rPr>
          <w:sz w:val="28"/>
        </w:rPr>
        <w:t>Фромилид (кларитромицин, азитромицин, рокситромицин)</w:t>
      </w:r>
    </w:p>
    <w:p w:rsidR="00782463" w:rsidRDefault="00782463">
      <w:pPr>
        <w:numPr>
          <w:ilvl w:val="1"/>
          <w:numId w:val="21"/>
        </w:numPr>
        <w:tabs>
          <w:tab w:val="num" w:pos="2430"/>
        </w:tabs>
        <w:ind w:left="0" w:firstLine="700"/>
        <w:rPr>
          <w:sz w:val="28"/>
        </w:rPr>
      </w:pPr>
      <w:r>
        <w:rPr>
          <w:sz w:val="28"/>
        </w:rPr>
        <w:t>Нифурател(фуразолидон)</w:t>
      </w:r>
    </w:p>
    <w:p w:rsidR="00782463" w:rsidRDefault="00782463">
      <w:pPr>
        <w:ind w:left="700" w:hanging="700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782463" w:rsidRDefault="00782463">
      <w:pPr>
        <w:numPr>
          <w:ilvl w:val="0"/>
          <w:numId w:val="23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Омепразол</w:t>
      </w:r>
    </w:p>
    <w:p w:rsidR="00782463" w:rsidRDefault="00782463">
      <w:pPr>
        <w:numPr>
          <w:ilvl w:val="0"/>
          <w:numId w:val="23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Фромилид (кларитромицин, азитромицин, рокситромицин)</w:t>
      </w:r>
    </w:p>
    <w:p w:rsidR="00782463" w:rsidRDefault="00782463">
      <w:pPr>
        <w:numPr>
          <w:ilvl w:val="0"/>
          <w:numId w:val="23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Амоксициллин</w:t>
      </w: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pStyle w:val="a3"/>
        <w:rPr>
          <w:b/>
          <w:i/>
        </w:rPr>
      </w:pPr>
      <w:r>
        <w:rPr>
          <w:b/>
          <w:i/>
        </w:rPr>
        <w:t>Однонедельная тройная терапия с препаратом висмута:</w:t>
      </w:r>
    </w:p>
    <w:p w:rsidR="00782463" w:rsidRDefault="00782463">
      <w:pPr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Субцитрат висмута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Амоксициллин или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Фромилид (кларитромицин, азитромицин, рокситромицин)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Нифурател (фуразолидон)</w:t>
      </w:r>
    </w:p>
    <w:p w:rsidR="00782463" w:rsidRDefault="00782463">
      <w:pPr>
        <w:ind w:left="340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Субцитрат висмута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Фромилид (кларитромицин, азитромицин, рокситромицин)</w:t>
      </w:r>
    </w:p>
    <w:p w:rsidR="00782463" w:rsidRDefault="00782463">
      <w:pPr>
        <w:numPr>
          <w:ilvl w:val="0"/>
          <w:numId w:val="23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Амоксициллин</w:t>
      </w: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pStyle w:val="a3"/>
        <w:rPr>
          <w:b/>
          <w:i/>
        </w:rPr>
      </w:pPr>
      <w:r>
        <w:rPr>
          <w:b/>
          <w:i/>
        </w:rPr>
        <w:t>Однонедельная квадротерапия: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Субцитрат висмута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 xml:space="preserve">Амоксициллин или Фромилид (кларитромицин, азитромицин, </w:t>
      </w:r>
    </w:p>
    <w:p w:rsidR="00782463" w:rsidRDefault="00782463">
      <w:pPr>
        <w:rPr>
          <w:sz w:val="28"/>
        </w:rPr>
      </w:pPr>
      <w:r>
        <w:rPr>
          <w:sz w:val="28"/>
        </w:rPr>
        <w:t xml:space="preserve">                   рокситромицин)</w:t>
      </w:r>
    </w:p>
    <w:p w:rsidR="00782463" w:rsidRDefault="00782463">
      <w:pPr>
        <w:numPr>
          <w:ilvl w:val="0"/>
          <w:numId w:val="24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Нифурател (фуразолидон)</w:t>
      </w:r>
    </w:p>
    <w:p w:rsidR="00782463" w:rsidRDefault="00782463">
      <w:pPr>
        <w:numPr>
          <w:ilvl w:val="0"/>
          <w:numId w:val="23"/>
        </w:numPr>
        <w:tabs>
          <w:tab w:val="num" w:pos="360"/>
        </w:tabs>
        <w:ind w:left="0" w:firstLine="700"/>
        <w:rPr>
          <w:sz w:val="28"/>
        </w:rPr>
      </w:pPr>
      <w:r>
        <w:rPr>
          <w:sz w:val="28"/>
        </w:rPr>
        <w:t>Омепразол (ранитидин)</w:t>
      </w:r>
    </w:p>
    <w:p w:rsidR="00782463" w:rsidRDefault="00782463">
      <w:pPr>
        <w:ind w:firstLine="700"/>
        <w:rPr>
          <w:sz w:val="28"/>
        </w:rPr>
      </w:pPr>
    </w:p>
    <w:p w:rsidR="00782463" w:rsidRDefault="00782463">
      <w:pPr>
        <w:pStyle w:val="a3"/>
      </w:pPr>
      <w:r>
        <w:t>Квадротерапия рекомендуется для лечения штаммов, резистентных к антибиотикам, при неудачном предыдущем лечении или в том случае, когда определение чувствительности штамма микроорганизма не представляется возможным.</w:t>
      </w: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  <w:jc w:val="center"/>
        <w:rPr>
          <w:b/>
          <w:sz w:val="32"/>
        </w:rPr>
      </w:pPr>
      <w:r>
        <w:rPr>
          <w:b/>
          <w:sz w:val="32"/>
        </w:rPr>
        <w:t>ЛИТЕРАТУРА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>Адамян Н.В., Моисеев С.В. Париет (рабепразол) – новое противояз-</w:t>
      </w:r>
    </w:p>
    <w:p w:rsidR="00782463" w:rsidRDefault="00782463">
      <w:pPr>
        <w:pStyle w:val="a3"/>
        <w:ind w:firstLine="0"/>
        <w:jc w:val="both"/>
      </w:pPr>
      <w:r>
        <w:t xml:space="preserve">               венное средство // Мед.новости.- 2002.-№1.-С.57-61.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Аруин Л.И., Григорьев П.Я., Исаков В.А., Яковенко Э.П. Хронический </w:t>
      </w:r>
    </w:p>
    <w:p w:rsidR="00782463" w:rsidRDefault="00782463">
      <w:pPr>
        <w:pStyle w:val="a3"/>
        <w:ind w:firstLine="0"/>
        <w:jc w:val="both"/>
      </w:pPr>
      <w:r>
        <w:t xml:space="preserve">               гастрит.- Амстердам, 1993.-362с.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Аруин Л.И. Новая классификация гастрита // Рос.журн.гастроэнтерол., </w:t>
      </w:r>
    </w:p>
    <w:p w:rsidR="00782463" w:rsidRDefault="00782463">
      <w:pPr>
        <w:pStyle w:val="a3"/>
        <w:ind w:firstLine="0"/>
        <w:jc w:val="both"/>
      </w:pPr>
      <w:r>
        <w:t xml:space="preserve">               гепатол., колопроктол.- 1997.- Т.7, №3.- С.82-85.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Диагностика и лечение инфекции </w:t>
      </w:r>
      <w:r>
        <w:rPr>
          <w:lang w:val="en-US"/>
        </w:rPr>
        <w:t>Helicobacter</w:t>
      </w:r>
      <w:r w:rsidRPr="00EE469F">
        <w:t xml:space="preserve"> </w:t>
      </w:r>
      <w:r>
        <w:rPr>
          <w:lang w:val="en-US"/>
        </w:rPr>
        <w:t>pylori</w:t>
      </w:r>
      <w:r>
        <w:t>: современные представления. Доклад Второй конференции по принятию консенсуса в Маастрихте 21-22 сентября 200 года // Рос.журн. гастроэнтерол. гепатол., колопроктол.-2000.- Т.10.№6.-С.7-9.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Ивашкин В.Т., Мегро Ф., Лапина Т.Л. </w:t>
      </w:r>
      <w:r>
        <w:rPr>
          <w:lang w:val="en-US"/>
        </w:rPr>
        <w:t>Helicobacter</w:t>
      </w:r>
      <w:r w:rsidRPr="00EE469F">
        <w:t xml:space="preserve"> </w:t>
      </w:r>
      <w:r>
        <w:rPr>
          <w:lang w:val="en-US"/>
        </w:rPr>
        <w:t>pylori</w:t>
      </w:r>
      <w:r w:rsidRPr="00EE469F">
        <w:t xml:space="preserve">: революция в гастроэнтерологии.- </w:t>
      </w:r>
      <w:r>
        <w:rPr>
          <w:lang w:val="en-US"/>
        </w:rPr>
        <w:t>М.: Триада-Х, 1999.-255с.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>Ивашкин В.Т., Шептулин А.А. Перспективы применения блокаторов протонного насоса в гастроэнтерологии // Болезни органов пищеварения.-2001.-Т.3, №1.-С.1-6.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Ивашкин В.Т. </w:t>
      </w:r>
      <w:r>
        <w:rPr>
          <w:lang w:val="en-US"/>
        </w:rPr>
        <w:t>Helicobacter</w:t>
      </w:r>
      <w:r w:rsidRPr="00EE469F">
        <w:t xml:space="preserve"> </w:t>
      </w:r>
      <w:r>
        <w:rPr>
          <w:lang w:val="en-US"/>
        </w:rPr>
        <w:t>pylori</w:t>
      </w:r>
      <w:r>
        <w:t xml:space="preserve"> : биологические характеристики, патогенез, перспективы эрадикации // Рос.журн. гастроэнтерол. гепатол., колопроктол.-1997.- Т.7.№1.-С.21-23.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Логинов А.С., Аруин Л.И., Ильченко А.А. Язвенная болезнь и </w:t>
      </w:r>
      <w:r>
        <w:rPr>
          <w:lang w:val="en-US"/>
        </w:rPr>
        <w:t>Helicobacter</w:t>
      </w:r>
      <w:r w:rsidRPr="00EE469F">
        <w:t xml:space="preserve"> </w:t>
      </w:r>
      <w:r>
        <w:rPr>
          <w:lang w:val="en-US"/>
        </w:rPr>
        <w:t>pylori</w:t>
      </w:r>
      <w:r w:rsidRPr="00EE469F">
        <w:t xml:space="preserve">. </w:t>
      </w:r>
      <w:r>
        <w:rPr>
          <w:lang w:val="en-US"/>
        </w:rPr>
        <w:t xml:space="preserve">Новые аспекты патогенетической </w:t>
      </w:r>
      <w:r>
        <w:t xml:space="preserve"> терапии.-М., 1993.-230с.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>Лекции по педиатрии. Т.3.-Гастроэнтерология. Под ред. В.Ф.Демина и др. РГМУ, Москва,  2003г.- 320с.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 xml:space="preserve"> Спрмавочник Видаль. Лекарственные препараты в России.- М.:АстраФармСервис.2003.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>
        <w:t>Ткаченко</w:t>
      </w:r>
      <w:r w:rsidRPr="00EE469F">
        <w:t xml:space="preserve"> Е.И. Оптимальная терапия язвеннной болезни // Клин. фармакол. и тер.- 1999.-Т.8, №1.-11-13.</w:t>
      </w:r>
    </w:p>
    <w:p w:rsidR="00782463" w:rsidRDefault="00782463">
      <w:pPr>
        <w:pStyle w:val="a3"/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</w:pPr>
      <w:r w:rsidRPr="00EE469F">
        <w:t>Конорев М.Р., Литвяков А.М., Крылов Ю.В., Матвеенко М.Е. Хронический дуоденит.-Минск, 2003г.</w:t>
      </w: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</w:pPr>
    </w:p>
    <w:p w:rsidR="00782463" w:rsidRDefault="00782463">
      <w:pPr>
        <w:pStyle w:val="a3"/>
      </w:pPr>
      <w:bookmarkStart w:id="0" w:name="_GoBack"/>
      <w:bookmarkEnd w:id="0"/>
    </w:p>
    <w:sectPr w:rsidR="00782463">
      <w:headerReference w:type="even" r:id="rId7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63" w:rsidRDefault="00782463">
      <w:r>
        <w:separator/>
      </w:r>
    </w:p>
  </w:endnote>
  <w:endnote w:type="continuationSeparator" w:id="0">
    <w:p w:rsidR="00782463" w:rsidRDefault="0078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63" w:rsidRDefault="00782463">
      <w:r>
        <w:separator/>
      </w:r>
    </w:p>
  </w:footnote>
  <w:footnote w:type="continuationSeparator" w:id="0">
    <w:p w:rsidR="00782463" w:rsidRDefault="0078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63" w:rsidRDefault="007824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82463" w:rsidRDefault="007824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1280"/>
    <w:multiLevelType w:val="singleLevel"/>
    <w:tmpl w:val="DE1A19B2"/>
    <w:lvl w:ilvl="0">
      <w:start w:val="1"/>
      <w:numFmt w:val="bullet"/>
      <w:lvlText w:val=""/>
      <w:lvlJc w:val="left"/>
      <w:pPr>
        <w:tabs>
          <w:tab w:val="num" w:pos="1097"/>
        </w:tabs>
        <w:ind w:left="360" w:firstLine="377"/>
      </w:pPr>
      <w:rPr>
        <w:rFonts w:ascii="Symbol" w:hAnsi="Symbol" w:hint="default"/>
      </w:rPr>
    </w:lvl>
  </w:abstractNum>
  <w:abstractNum w:abstractNumId="1">
    <w:nsid w:val="09F07811"/>
    <w:multiLevelType w:val="singleLevel"/>
    <w:tmpl w:val="CBE83988"/>
    <w:lvl w:ilvl="0">
      <w:start w:val="1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C4432C"/>
    <w:multiLevelType w:val="multilevel"/>
    <w:tmpl w:val="78F85838"/>
    <w:lvl w:ilvl="0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17B114D6"/>
    <w:multiLevelType w:val="multilevel"/>
    <w:tmpl w:val="D4B24704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85355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F93131"/>
    <w:multiLevelType w:val="multilevel"/>
    <w:tmpl w:val="AF62E2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C0C3F"/>
    <w:multiLevelType w:val="singleLevel"/>
    <w:tmpl w:val="9AD8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7">
    <w:nsid w:val="27745905"/>
    <w:multiLevelType w:val="multilevel"/>
    <w:tmpl w:val="E9E6D75C"/>
    <w:lvl w:ilvl="0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30C0E85"/>
    <w:multiLevelType w:val="singleLevel"/>
    <w:tmpl w:val="653C40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32F463F"/>
    <w:multiLevelType w:val="multilevel"/>
    <w:tmpl w:val="32CAE4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44EB4"/>
    <w:multiLevelType w:val="singleLevel"/>
    <w:tmpl w:val="17EABADC"/>
    <w:lvl w:ilvl="0">
      <w:start w:val="1"/>
      <w:numFmt w:val="upperRoman"/>
      <w:lvlText w:val="%1."/>
      <w:lvlJc w:val="left"/>
      <w:pPr>
        <w:tabs>
          <w:tab w:val="num" w:pos="2430"/>
        </w:tabs>
        <w:ind w:left="2430" w:hanging="2070"/>
      </w:pPr>
      <w:rPr>
        <w:rFonts w:hint="default"/>
      </w:rPr>
    </w:lvl>
  </w:abstractNum>
  <w:abstractNum w:abstractNumId="11">
    <w:nsid w:val="37B441F0"/>
    <w:multiLevelType w:val="singleLevel"/>
    <w:tmpl w:val="CBE8398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89C6BF8"/>
    <w:multiLevelType w:val="singleLevel"/>
    <w:tmpl w:val="853A7C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9EF4F4A"/>
    <w:multiLevelType w:val="multilevel"/>
    <w:tmpl w:val="1C9A8F1A"/>
    <w:lvl w:ilvl="0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449E1C53"/>
    <w:multiLevelType w:val="multilevel"/>
    <w:tmpl w:val="8DC2E9F6"/>
    <w:lvl w:ilvl="0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46DB7689"/>
    <w:multiLevelType w:val="singleLevel"/>
    <w:tmpl w:val="853A7C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824614B"/>
    <w:multiLevelType w:val="singleLevel"/>
    <w:tmpl w:val="939EC0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D756BC"/>
    <w:multiLevelType w:val="singleLevel"/>
    <w:tmpl w:val="DE1A19B2"/>
    <w:lvl w:ilvl="0">
      <w:start w:val="1"/>
      <w:numFmt w:val="bullet"/>
      <w:lvlText w:val=""/>
      <w:lvlJc w:val="left"/>
      <w:pPr>
        <w:tabs>
          <w:tab w:val="num" w:pos="1097"/>
        </w:tabs>
        <w:ind w:left="360" w:firstLine="377"/>
      </w:pPr>
      <w:rPr>
        <w:rFonts w:ascii="Symbol" w:hAnsi="Symbol" w:hint="default"/>
      </w:rPr>
    </w:lvl>
  </w:abstractNum>
  <w:abstractNum w:abstractNumId="18">
    <w:nsid w:val="50366E9C"/>
    <w:multiLevelType w:val="singleLevel"/>
    <w:tmpl w:val="9AD8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59E5FA7"/>
    <w:multiLevelType w:val="singleLevel"/>
    <w:tmpl w:val="CEB8DE8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0">
    <w:nsid w:val="5B6C0052"/>
    <w:multiLevelType w:val="singleLevel"/>
    <w:tmpl w:val="CCB01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D7345BF"/>
    <w:multiLevelType w:val="singleLevel"/>
    <w:tmpl w:val="CBE83988"/>
    <w:lvl w:ilvl="0">
      <w:start w:val="1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9C16D04"/>
    <w:multiLevelType w:val="multilevel"/>
    <w:tmpl w:val="E64463B4"/>
    <w:lvl w:ilvl="0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3">
    <w:nsid w:val="75324F77"/>
    <w:multiLevelType w:val="singleLevel"/>
    <w:tmpl w:val="9F66816C"/>
    <w:lvl w:ilvl="0"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hint="default"/>
      </w:rPr>
    </w:lvl>
  </w:abstractNum>
  <w:abstractNum w:abstractNumId="24">
    <w:nsid w:val="790E6C7D"/>
    <w:multiLevelType w:val="multilevel"/>
    <w:tmpl w:val="D4B24704"/>
    <w:lvl w:ilvl="0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7BD603A0"/>
    <w:multiLevelType w:val="singleLevel"/>
    <w:tmpl w:val="69A8D4D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3"/>
  </w:num>
  <w:num w:numId="5">
    <w:abstractNumId w:val="10"/>
  </w:num>
  <w:num w:numId="6">
    <w:abstractNumId w:val="19"/>
  </w:num>
  <w:num w:numId="7">
    <w:abstractNumId w:val="18"/>
  </w:num>
  <w:num w:numId="8">
    <w:abstractNumId w:val="6"/>
  </w:num>
  <w:num w:numId="9">
    <w:abstractNumId w:val="25"/>
  </w:num>
  <w:num w:numId="10">
    <w:abstractNumId w:val="20"/>
  </w:num>
  <w:num w:numId="11">
    <w:abstractNumId w:val="1"/>
  </w:num>
  <w:num w:numId="12">
    <w:abstractNumId w:val="21"/>
  </w:num>
  <w:num w:numId="13">
    <w:abstractNumId w:val="0"/>
  </w:num>
  <w:num w:numId="14">
    <w:abstractNumId w:val="8"/>
  </w:num>
  <w:num w:numId="15">
    <w:abstractNumId w:val="17"/>
  </w:num>
  <w:num w:numId="16">
    <w:abstractNumId w:val="11"/>
  </w:num>
  <w:num w:numId="17">
    <w:abstractNumId w:val="13"/>
  </w:num>
  <w:num w:numId="18">
    <w:abstractNumId w:val="7"/>
  </w:num>
  <w:num w:numId="19">
    <w:abstractNumId w:val="14"/>
  </w:num>
  <w:num w:numId="20">
    <w:abstractNumId w:val="5"/>
  </w:num>
  <w:num w:numId="21">
    <w:abstractNumId w:val="3"/>
  </w:num>
  <w:num w:numId="22">
    <w:abstractNumId w:val="24"/>
  </w:num>
  <w:num w:numId="23">
    <w:abstractNumId w:val="9"/>
  </w:num>
  <w:num w:numId="24">
    <w:abstractNumId w:val="2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69F"/>
    <w:rsid w:val="00437285"/>
    <w:rsid w:val="00485E76"/>
    <w:rsid w:val="00611C09"/>
    <w:rsid w:val="00707313"/>
    <w:rsid w:val="00782463"/>
    <w:rsid w:val="008F033C"/>
    <w:rsid w:val="0093309A"/>
    <w:rsid w:val="00942AD5"/>
    <w:rsid w:val="00E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2ADD5812-2DDB-4ECC-8766-8E3384ED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keepNext/>
      <w:ind w:firstLine="700"/>
      <w:jc w:val="right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ind w:firstLine="7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E46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Болезни желудочно-кишечного тракта являются наиболее часто встре-чающимися заболеваниями детского и особенно подросткового возраста</vt:lpstr>
    </vt:vector>
  </TitlesOfParts>
  <Company> </Company>
  <LinksUpToDate>false</LinksUpToDate>
  <CharactersWithSpaces>25082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желудочно-кишечного тракта являются наиболее часто встре-чающимися заболеваниями детского и особенно подросткового возраста</dc:title>
  <dc:subject/>
  <dc:creator>Я</dc:creator>
  <cp:keywords/>
  <cp:lastModifiedBy>Irina</cp:lastModifiedBy>
  <cp:revision>2</cp:revision>
  <cp:lastPrinted>2005-01-28T09:30:00Z</cp:lastPrinted>
  <dcterms:created xsi:type="dcterms:W3CDTF">2014-11-13T17:57:00Z</dcterms:created>
  <dcterms:modified xsi:type="dcterms:W3CDTF">2014-11-13T17:57:00Z</dcterms:modified>
</cp:coreProperties>
</file>