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83" w:rsidRPr="00B64601" w:rsidRDefault="00FB6483" w:rsidP="00FB6483">
      <w:pPr>
        <w:spacing w:before="120"/>
        <w:jc w:val="center"/>
        <w:rPr>
          <w:b/>
          <w:sz w:val="32"/>
        </w:rPr>
      </w:pPr>
      <w:r w:rsidRPr="00B64601">
        <w:rPr>
          <w:b/>
          <w:sz w:val="32"/>
        </w:rPr>
        <w:t>Развитие логистики в странах НАФТА</w:t>
      </w:r>
    </w:p>
    <w:p w:rsidR="00FB6483" w:rsidRPr="00B64601" w:rsidRDefault="00FB6483" w:rsidP="00FB6483">
      <w:pPr>
        <w:spacing w:before="120"/>
        <w:jc w:val="center"/>
        <w:rPr>
          <w:sz w:val="28"/>
        </w:rPr>
      </w:pPr>
      <w:r w:rsidRPr="00B64601">
        <w:rPr>
          <w:sz w:val="28"/>
        </w:rPr>
        <w:t>Смирнов И.Г., доктор геогр. наук, профессор,Киевский национальный университет имени Тараса Шевченко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Постановка научной проблемы. Динамичное развитие логистики как новейшего научного направления и молодого вида бизнеса в настоящее время вызывает повышенное внимание. Особенно это касается интеграционных объединений государств</w:t>
      </w:r>
      <w:r>
        <w:t xml:space="preserve">, </w:t>
      </w:r>
      <w:r w:rsidRPr="00B64601">
        <w:t>где эффективные логистические стратегии обеспечивают высокую результативность не только в экономической</w:t>
      </w:r>
      <w:r>
        <w:t xml:space="preserve">, </w:t>
      </w:r>
      <w:r w:rsidRPr="00B64601">
        <w:t>но и в социальной сферах. Значительное внимание зарубежных и украинских исследователей получили логистические стратегии Европейского союза</w:t>
      </w:r>
      <w:r>
        <w:t xml:space="preserve">, </w:t>
      </w:r>
      <w:r w:rsidRPr="00B64601">
        <w:t>известные под общим названием еврологистики. Последняя рассматривается как инфраструктурная основа и интегральная составляющая процессов евроинтеграции</w:t>
      </w:r>
      <w:r>
        <w:t xml:space="preserve">, </w:t>
      </w:r>
      <w:r w:rsidRPr="00B64601">
        <w:t>включает ряд программ и проектов. Логистика играет важную роль и в другом крупнейшем интеграционном объединении мира — Северо-Американской зоне свободной торговли (НАФТА)</w:t>
      </w:r>
      <w:r>
        <w:t xml:space="preserve">, </w:t>
      </w:r>
      <w:r w:rsidRPr="00B64601">
        <w:t>но детального освещения в литературе эти процессы пока не нашли.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Научные источники и публикации по теме исследования включают труды «классиков» мировой логистики Д. Бауерсока и Д. Клосса [1]</w:t>
      </w:r>
      <w:r>
        <w:t xml:space="preserve">, </w:t>
      </w:r>
      <w:r w:rsidRPr="00B64601">
        <w:t>Дж. Стока и Д. Ламберта [2] и других преимущественно зарубежных авторов [3</w:t>
      </w:r>
      <w:r>
        <w:t xml:space="preserve">, </w:t>
      </w:r>
      <w:r w:rsidRPr="00B64601">
        <w:t>4</w:t>
      </w:r>
      <w:r>
        <w:t xml:space="preserve">, </w:t>
      </w:r>
      <w:r w:rsidRPr="00B64601">
        <w:t>5</w:t>
      </w:r>
      <w:r>
        <w:t xml:space="preserve">, </w:t>
      </w:r>
      <w:r w:rsidRPr="00B64601">
        <w:t>6]. Статья также продолжает исследования и публикации автора по глобальной и международной логистике [7</w:t>
      </w:r>
      <w:r>
        <w:t xml:space="preserve">, </w:t>
      </w:r>
      <w:r w:rsidRPr="00B64601">
        <w:t>8; 9; 10]. При подготовке статьи также были использованы материалы американских логистических научных журналов [11; 12; 13; 14] и Интернет-источники [15; 16; 17; 18; 19; 20].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Целью статьи является характеристика развития и современного состояния рынка логистических услуг в странах НАФТА — как по основным компонентам логистики (транспорт и складское хозяйство)</w:t>
      </w:r>
      <w:r>
        <w:t xml:space="preserve">, </w:t>
      </w:r>
      <w:r w:rsidRPr="00B64601">
        <w:t>так и по странам-участницам Северо-Американской зоны свободной торговли — США</w:t>
      </w:r>
      <w:r>
        <w:t xml:space="preserve">, </w:t>
      </w:r>
      <w:r w:rsidRPr="00B64601">
        <w:t>Канаде</w:t>
      </w:r>
      <w:r>
        <w:t xml:space="preserve">, </w:t>
      </w:r>
      <w:r w:rsidRPr="00B64601">
        <w:t>Мексике.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Изложение основного материала. Первый шаг к экономической интеграции в рамках североамериканского региона был сделан 1 января 1989 года принятием Соглашения о свободной торговле между Канадой и США (ФТА — Canada-US Free Trade Agreement)</w:t>
      </w:r>
      <w:r>
        <w:t xml:space="preserve">, </w:t>
      </w:r>
      <w:r w:rsidRPr="00B64601">
        <w:t>которое продолжило тенденции увеличения объемов взаимной торговли</w:t>
      </w:r>
      <w:r>
        <w:t xml:space="preserve">, </w:t>
      </w:r>
      <w:r w:rsidRPr="00B64601">
        <w:t xml:space="preserve">инвестиций и коммерческого кооперирования. Одним из важнейших пунктов Соглашения стала отмена всех тарифов в торговле между США и Канадой в </w:t>
      </w:r>
      <w:smartTag w:uri="urn:schemas-microsoft-com:office:smarttags" w:element="metricconverter">
        <w:smartTagPr>
          <w:attr w:name="ProductID" w:val="1998 г"/>
        </w:smartTagPr>
        <w:r w:rsidRPr="00B64601">
          <w:t>1998 г</w:t>
        </w:r>
      </w:smartTag>
      <w:r>
        <w:t xml:space="preserve">, </w:t>
      </w:r>
      <w:r w:rsidRPr="00B64601">
        <w:t>что весьма существенно</w:t>
      </w:r>
      <w:r>
        <w:t xml:space="preserve">, </w:t>
      </w:r>
      <w:r w:rsidRPr="00B64601">
        <w:t>учитывая то</w:t>
      </w:r>
      <w:r>
        <w:t xml:space="preserve">, </w:t>
      </w:r>
      <w:r w:rsidRPr="00B64601">
        <w:t>что канадские таможенные тарифы были одними из самых высоких среди промышленно развитых стран мира.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ФТА расширила возможности США и Канады продавать товары по заказам федеральной власти обеих стран. Целью подписания соглашения также было уменьшение продолжительности задержек грузов во время их перевозки</w:t>
      </w:r>
      <w:r>
        <w:t xml:space="preserve">, </w:t>
      </w:r>
      <w:r w:rsidRPr="00B64601">
        <w:t>упрощение процессов перемещения сырьевых ресурсов и компонентов непосредственно к местам производства. Кроме того</w:t>
      </w:r>
      <w:r>
        <w:t xml:space="preserve">, </w:t>
      </w:r>
      <w:r w:rsidRPr="00B64601">
        <w:t>Соглашение закрепило относительно либеральные правила регулирования сферы услуг и взаимных инвестиций двух стран: фактически она коснулась более 150 сервисных отраслей</w:t>
      </w:r>
      <w:r>
        <w:t xml:space="preserve">, </w:t>
      </w:r>
      <w:r w:rsidRPr="00B64601">
        <w:t>обслуживающих многие сектора экономики. Учитывая тот факт</w:t>
      </w:r>
      <w:r>
        <w:t xml:space="preserve">, </w:t>
      </w:r>
      <w:r w:rsidRPr="00B64601">
        <w:t>что 70% экспорта Канады приходится на США</w:t>
      </w:r>
      <w:r>
        <w:t xml:space="preserve">, </w:t>
      </w:r>
      <w:r w:rsidRPr="00B64601">
        <w:t>канадские грузоотправители значительно сократили свои логистические расходы за счет упрощения экспортно-импортных операций. Грузоотправители и грузополучатели США также смогли воспользоваться выгодами от свободной торговли</w:t>
      </w:r>
      <w:r>
        <w:t xml:space="preserve">, </w:t>
      </w:r>
      <w:r w:rsidRPr="00B64601">
        <w:t>главным образом сократив продолжительность логистических циклов.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Следующим шагом в экономической интеграции региона стало подписание трехстороннего соглашения о создании Североамериканской зоны свободной торговли — НАФТА (the North American Free Trade Agreement) между США</w:t>
      </w:r>
      <w:r>
        <w:t xml:space="preserve">, </w:t>
      </w:r>
      <w:r w:rsidRPr="00B64601">
        <w:t xml:space="preserve">Канадой и Мексикой. 1 января </w:t>
      </w:r>
      <w:smartTag w:uri="urn:schemas-microsoft-com:office:smarttags" w:element="metricconverter">
        <w:smartTagPr>
          <w:attr w:name="ProductID" w:val="1994 г"/>
        </w:smartTagPr>
        <w:r w:rsidRPr="00B64601">
          <w:t>1994 г</w:t>
        </w:r>
      </w:smartTag>
      <w:r w:rsidRPr="00B64601">
        <w:t>.</w:t>
      </w:r>
      <w:r>
        <w:t xml:space="preserve">, </w:t>
      </w:r>
      <w:r w:rsidRPr="00B64601">
        <w:t>после ратификации законодательными органами трех стран</w:t>
      </w:r>
      <w:r>
        <w:t xml:space="preserve">, </w:t>
      </w:r>
      <w:r w:rsidRPr="00B64601">
        <w:t>североамериканское соглашение о свободной торговле вступило в силу. НАФТА предусматривала поэтапную отмену в течение 15-летнего периода всех таможенных тарифов и нетарифных ограничений в трехсторонней торговле и создание зоны свободной торговли</w:t>
      </w:r>
      <w:r>
        <w:t xml:space="preserve">, </w:t>
      </w:r>
      <w:r w:rsidRPr="00B64601">
        <w:t>которая простирается от Юкона до Юкатана.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Целью двух соглашений (особенно НАФТА) есть повышение конкурентоспособности североамериканского региона по сравнению с Европой и Азией путем: 1) улучшения инвестиционного и торгового климата в регионе; 2) сокращения административных расходов и таможенных процедур во взаимной торговле. Для достижения этой цели создаются новые транспортные пути и стратегические альтернативы</w:t>
      </w:r>
      <w:r>
        <w:t xml:space="preserve">, </w:t>
      </w:r>
      <w:r w:rsidRPr="00B64601">
        <w:t>а также новые партнерства</w:t>
      </w:r>
      <w:r>
        <w:t xml:space="preserve">, </w:t>
      </w:r>
      <w:r w:rsidRPr="00B64601">
        <w:t>облегчающие движение грузопотоков.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НАФТА по-разному повлияла на логистическую интеграцию в США Канаде и Мексике. Ранее производители США организовывали в Канаде местные предприятия</w:t>
      </w:r>
      <w:r>
        <w:t xml:space="preserve">, </w:t>
      </w:r>
      <w:r w:rsidRPr="00B64601">
        <w:t>прежде всего</w:t>
      </w:r>
      <w:r>
        <w:t xml:space="preserve">, </w:t>
      </w:r>
      <w:r w:rsidRPr="00B64601">
        <w:t>для создания эффекта присутствия на рынке. Исходя из выше перечисленного</w:t>
      </w:r>
      <w:r>
        <w:t xml:space="preserve">, </w:t>
      </w:r>
      <w:r w:rsidRPr="00B64601">
        <w:t>НАФТА предусматривает развитие торговых и транспортных потоков в Канаде главным образом в направлении север-юг. Ожидается</w:t>
      </w:r>
      <w:r>
        <w:t xml:space="preserve">, </w:t>
      </w:r>
      <w:r w:rsidRPr="00B64601">
        <w:t>что развитие такого направления позволит эффективно обслуживать больше рынков меньшим количеством логистических предприятий</w:t>
      </w:r>
      <w:r>
        <w:t xml:space="preserve">, </w:t>
      </w:r>
      <w:r w:rsidRPr="00B64601">
        <w:t>причем последние могут сэкономить за счет масштабов деятельности. Разработка направления север-юг открывает компаниям более широкий доступ на массовые рынки по обе стороны канадско-американской границы. Однако большинство канадских компаний все еще больше нацелены на повышение производственной эффективности</w:t>
      </w:r>
      <w:r>
        <w:t xml:space="preserve">, </w:t>
      </w:r>
      <w:r w:rsidRPr="00B64601">
        <w:t>чем на развитие логистики. Проведенные исследования указывают на некоторые изменения в логистическом обслуживании производства и дистрибуции. Так</w:t>
      </w:r>
      <w:r>
        <w:t xml:space="preserve">, </w:t>
      </w:r>
      <w:r w:rsidRPr="00B64601">
        <w:t>усиление конкуренции вследствие деятельности НАФТА побуждает канадские компании к восстановлению и перенятию из США лучших примеров логистической практики</w:t>
      </w:r>
      <w:r>
        <w:t xml:space="preserve">, </w:t>
      </w:r>
      <w:r w:rsidRPr="00B64601">
        <w:t>а также приводит к развитию интеграции между Канадой и США. Существенная интеграция достигнута в сфере транспорта. В предвидении обострения конкуренции на рынке</w:t>
      </w:r>
      <w:r>
        <w:t xml:space="preserve">, </w:t>
      </w:r>
      <w:r w:rsidRPr="00B64601">
        <w:t>некоторые канадские грузоперевозчики прибегли к стратегическому маневру</w:t>
      </w:r>
      <w:r>
        <w:t xml:space="preserve">, </w:t>
      </w:r>
      <w:r w:rsidRPr="00B64601">
        <w:t>дополнив свои традиционные маршруты «восток-запад» маршрутами «север-юг». Канадская железнодорожная компания Canadian National Railway объединила три свои подразделения в США</w:t>
      </w:r>
      <w:r>
        <w:t xml:space="preserve">, </w:t>
      </w:r>
      <w:r w:rsidRPr="00B64601">
        <w:t>для усиления рыночных и операционных возможностей на Среднем Западе и в восточных штатах. Кроме того</w:t>
      </w:r>
      <w:r>
        <w:t xml:space="preserve">, </w:t>
      </w:r>
      <w:r w:rsidRPr="00B64601">
        <w:t>она также вступила в стратегический союз с американскими компаниями Burlington Northern и Norfolk Southern</w:t>
      </w:r>
      <w:r>
        <w:t xml:space="preserve">, </w:t>
      </w:r>
      <w:r w:rsidRPr="00B64601">
        <w:t>обеспечивающих железнодорожное сообщение в северных и южных штатах США. Другая канадская фирма Canadian Pacific Rail System приобрела несколько железных дорог в США и теперь является седьмой по величине железнодорожной компанией в Северной Америке</w:t>
      </w:r>
      <w:r>
        <w:t xml:space="preserve">, </w:t>
      </w:r>
      <w:r w:rsidRPr="00B64601">
        <w:t>обеспечивая сообщение между канадскими побережьями и занимая лидирующую позицию на рынке США. Некоторые перевозчики груза в США и Канаде заключили соглашения</w:t>
      </w:r>
      <w:r>
        <w:t xml:space="preserve">, </w:t>
      </w:r>
      <w:r w:rsidRPr="00B64601">
        <w:t>позволяющие обслуживать автомобильным транспортом больше географических зон Канады. С расширением присутствия на канадском рынке американских фирм United Parcel Service и Roadway Package System</w:t>
      </w:r>
      <w:r>
        <w:t xml:space="preserve">, </w:t>
      </w:r>
      <w:r w:rsidRPr="00B64601">
        <w:t>здесь возросла конкуренция между мелкими (почтовыми) грузоотправителями.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Что касается Мексики</w:t>
      </w:r>
      <w:r>
        <w:t xml:space="preserve">, </w:t>
      </w:r>
      <w:r w:rsidRPr="00B64601">
        <w:t>то компании США создают в Мексике предприятия</w:t>
      </w:r>
      <w:r>
        <w:t xml:space="preserve">, </w:t>
      </w:r>
      <w:r w:rsidRPr="00B64601">
        <w:t>стремясь использовать дешевую рабочую силу и получить доступ на обширный потребительский рынок</w:t>
      </w:r>
      <w:r>
        <w:t xml:space="preserve">, </w:t>
      </w:r>
      <w:r w:rsidRPr="00B64601">
        <w:t>половина которого приходится на людей в возрасте до 20 лет. Основная производственная база в Мексике находится вблизи границы с США</w:t>
      </w:r>
      <w:r>
        <w:t xml:space="preserve">, </w:t>
      </w:r>
      <w:r w:rsidRPr="00B64601">
        <w:t>тогда как основная покупательская способность сосредоточена в центральных районах страны. Именно поэтому главный потенциал роста розничной торговли Мексики</w:t>
      </w:r>
      <w:r>
        <w:t xml:space="preserve">, </w:t>
      </w:r>
      <w:r w:rsidRPr="00B64601">
        <w:t>включая дистрибуции и складское хозяйство</w:t>
      </w:r>
      <w:r>
        <w:t xml:space="preserve">, </w:t>
      </w:r>
      <w:r w:rsidRPr="00B64601">
        <w:t>сконцентрирован в центральных районах страны. Пока что транспортная инфраструктура Мексики не способна обслуживать должным образом крупные товарные потоки между США и центральными районами страны. Под влиянием перечисленных обстоятельств компании США и Канады</w:t>
      </w:r>
      <w:r>
        <w:t xml:space="preserve">, </w:t>
      </w:r>
      <w:r w:rsidRPr="00B64601">
        <w:t>имеющие производственные мощности в Мексике</w:t>
      </w:r>
      <w:r>
        <w:t xml:space="preserve">, </w:t>
      </w:r>
      <w:r w:rsidRPr="00B64601">
        <w:t>сейчас начинают активно организовывать здесь логистические цепи и управлять ими. Следствием этого является то</w:t>
      </w:r>
      <w:r>
        <w:t xml:space="preserve">, </w:t>
      </w:r>
      <w:r w:rsidRPr="00B64601">
        <w:t>что большинство поставщиков останутся в Соединенных Штатах</w:t>
      </w:r>
      <w:r>
        <w:t xml:space="preserve">, </w:t>
      </w:r>
      <w:r w:rsidRPr="00B64601">
        <w:t>производственные предприятия «макиладорас» будут размещаться в приграничных районах Мексики</w:t>
      </w:r>
      <w:r>
        <w:t xml:space="preserve">, </w:t>
      </w:r>
      <w:r w:rsidRPr="00B64601">
        <w:t>а для распределения готовой продукции будут использоваться мощности юго-западных и центральных штатов США. Автомобильные транспортные компании США</w:t>
      </w:r>
      <w:r>
        <w:t xml:space="preserve">, </w:t>
      </w:r>
      <w:r w:rsidRPr="00B64601">
        <w:t>согласно НАФТА</w:t>
      </w:r>
      <w:r>
        <w:t xml:space="preserve">, </w:t>
      </w:r>
      <w:r w:rsidRPr="00B64601">
        <w:t>получили право на осуществление международных грузоперевозок сначала в приграничных штатах Мексики</w:t>
      </w:r>
      <w:r>
        <w:t xml:space="preserve">, </w:t>
      </w:r>
      <w:r w:rsidRPr="00B64601">
        <w:t>а начиная с 1999 года — по всей территории страны. Мексиканские грузоперевозчики получили право на аналогичные операции в США. Кроме того</w:t>
      </w:r>
      <w:r>
        <w:t xml:space="preserve">, </w:t>
      </w:r>
      <w:r w:rsidRPr="00B64601">
        <w:t>Соглашение предусматривает поэтапное устранение барьеров в автобусном сообщении и в потоках иностранных инвестиций транспортных фирм</w:t>
      </w:r>
      <w:r>
        <w:t xml:space="preserve">, </w:t>
      </w:r>
      <w:r w:rsidRPr="00B64601">
        <w:t>а также значительно расширяет возможности американских железных дорог в Мексике. Некоторые специализированные сервисные фирмы начали предоставлять комплексные брокерские услуги. В Мексике построены крупные распределительные центры.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Интеграционные процессы затронули и водный транспорт. Так в условиях интеграции в общую логистическую систему медленные речные суда начали использоваться как передвижные склады. Совершенствование ледокольного оборудование сняло сезонные ограничения для судоходства. В последнее время значительно повысился спрос на выход в залив Святого Лаврентия для связи между рынками и производителями в Мексике</w:t>
      </w:r>
      <w:r>
        <w:t xml:space="preserve">, </w:t>
      </w:r>
      <w:r w:rsidRPr="00B64601">
        <w:t>на Среднем Западе США и в канадских городах Торонто и Монреаль.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Интеграция всех видов транспортно-логистической деятельности в рамках североамериканского континента происходит параллельно с созданием единой логистической информационной системой. Так для упрощения процесса торговли между странами крупнейшие промышленные и логистические компании Канады и Соединенных Штатов начали сотрудничать с таможенными органами в вопросах организации электронного обмена информацией на основе стандарта EDIFACT. Сейчас наиболее часто в EDI используются коммуникационные стандарты ASC Х.12 (стандарт Американского комитета стандартов Х.12)</w:t>
      </w:r>
      <w:r>
        <w:t xml:space="preserve">, </w:t>
      </w:r>
      <w:r w:rsidRPr="00B64601">
        <w:t>стандарты UN / EDIFACT</w:t>
      </w:r>
      <w:r>
        <w:t xml:space="preserve">, </w:t>
      </w:r>
      <w:r w:rsidRPr="00B64601">
        <w:t>TDK / EDIA и другие. Стандарт ASC Х.12 используется в основном в США</w:t>
      </w:r>
      <w:r>
        <w:t xml:space="preserve">, </w:t>
      </w:r>
      <w:r w:rsidRPr="00B64601">
        <w:t>тогда как EDIFACT играет главную роль на региональном и глобальном рынке логистики.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Логистика получила наибольшее практическое развитие на Североамериканском континенте</w:t>
      </w:r>
      <w:r>
        <w:t xml:space="preserve">, </w:t>
      </w:r>
      <w:r w:rsidRPr="00B64601">
        <w:t>прежде всего</w:t>
      </w:r>
      <w:r>
        <w:t xml:space="preserve">, </w:t>
      </w:r>
      <w:r w:rsidRPr="00B64601">
        <w:t xml:space="preserve">в США (рис. 1). Поэтому и общий рынок логистических услуг стран НАФТА достиг значительного развития и в 2ОО6 г. его общая емкость оценивалась в 1310 млрд. долл. США (тогда как в </w:t>
      </w:r>
      <w:smartTag w:uri="urn:schemas-microsoft-com:office:smarttags" w:element="metricconverter">
        <w:smartTagPr>
          <w:attr w:name="ProductID" w:val="1997 г"/>
        </w:smartTagPr>
        <w:r w:rsidRPr="00B64601">
          <w:t>1997 г</w:t>
        </w:r>
      </w:smartTag>
      <w:r w:rsidRPr="00B64601">
        <w:t>. показатель составлял 1035 млрд. долл. США)</w:t>
      </w:r>
      <w:r>
        <w:t xml:space="preserve">, </w:t>
      </w:r>
      <w:r w:rsidRPr="00B64601">
        <w:t>что составляло примерно 9</w:t>
      </w:r>
      <w:r>
        <w:t xml:space="preserve">, </w:t>
      </w:r>
      <w:r w:rsidRPr="00B64601">
        <w:t>9 % ВВП стран Северной Америки. Распределение затрат по видам деятельности — следующее: 809 млрд. долл. США — транспортные услуги; 446 млрд. долл. США — услуги складирования</w:t>
      </w:r>
      <w:r>
        <w:t xml:space="preserve">, </w:t>
      </w:r>
      <w:r w:rsidRPr="00B64601">
        <w:t>55 млрд. долл. США — административные расходы (рис. 2). При этом объем рынка логистических услуг Северной Америки</w:t>
      </w:r>
      <w:r>
        <w:t xml:space="preserve">, </w:t>
      </w:r>
      <w:r w:rsidRPr="00B64601">
        <w:t>предоставляемых крупнейшими специализированными компаниями на условиях аутсорсинга</w:t>
      </w:r>
      <w:r>
        <w:t xml:space="preserve">, </w:t>
      </w:r>
      <w:r w:rsidRPr="00B64601">
        <w:t>составлял в 2ОО6 г. около 113</w:t>
      </w:r>
      <w:r>
        <w:t xml:space="preserve">, </w:t>
      </w:r>
      <w:r w:rsidRPr="00B64601">
        <w:t>6 млрд. долл. США (тогда как в 2003г. — 76</w:t>
      </w:r>
      <w:r>
        <w:t xml:space="preserve">, </w:t>
      </w:r>
      <w:r w:rsidRPr="00B64601">
        <w:t>9 млрд. долл. США).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76.75pt;height:218.25pt">
            <v:imagedata r:id="rId5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Факторы роста спроса на логистические услуги на мировом рынке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46" type="#_x0000_t75" style="width:265.5pt;height:58.5pt">
            <v:imagedata r:id="rId6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Структура расходов на логистику в экономике стран НАФТА в </w:t>
      </w:r>
      <w:smartTag w:uri="urn:schemas-microsoft-com:office:smarttags" w:element="metricconverter">
        <w:smartTagPr>
          <w:attr w:name="ProductID" w:val="2006 г"/>
        </w:smartTagPr>
        <w:r w:rsidRPr="00B64601">
          <w:t>2006 г</w:t>
        </w:r>
      </w:smartTag>
      <w:r w:rsidRPr="00B64601">
        <w:t>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Рассмотрим подробнее составные части (компоненты) транспортно-логистической деятельности в странах НАФТА. Транспортные услуги. Северная Америка имеет достаточно хорошо развитую транспортную систему (рис. 3). Представлены все современные виды транспорта</w:t>
      </w:r>
      <w:r>
        <w:t xml:space="preserve">, </w:t>
      </w:r>
      <w:r w:rsidRPr="00B64601">
        <w:t>которые в полной мере обеспечивают потребности хозяйства</w:t>
      </w:r>
      <w:r>
        <w:t xml:space="preserve">, </w:t>
      </w:r>
      <w:r w:rsidRPr="00B64601">
        <w:t>как на региональном</w:t>
      </w:r>
      <w:r>
        <w:t xml:space="preserve">, </w:t>
      </w:r>
      <w:r w:rsidRPr="00B64601">
        <w:t>так и на мировом уровне. Общая протяженность железных дорог стран НАФТА — достигает 388</w:t>
      </w:r>
      <w:r>
        <w:t xml:space="preserve">, </w:t>
      </w:r>
      <w:r w:rsidRPr="00B64601">
        <w:t>8 тыс. км (транзитные дороги США и Канада имеют протяженность 7</w:t>
      </w:r>
      <w:r>
        <w:t xml:space="preserve">, </w:t>
      </w:r>
      <w:r w:rsidRPr="00B64601">
        <w:t>2 тыс. км); автодорог — 8</w:t>
      </w:r>
      <w:r>
        <w:t xml:space="preserve">, </w:t>
      </w:r>
      <w:r w:rsidRPr="00B64601">
        <w:t>05 млн. км</w:t>
      </w:r>
      <w:r>
        <w:t xml:space="preserve">, </w:t>
      </w:r>
      <w:r w:rsidRPr="00B64601">
        <w:t>внутренних водных путей — 9</w:t>
      </w:r>
      <w:r>
        <w:t xml:space="preserve">, </w:t>
      </w:r>
      <w:r w:rsidRPr="00B64601">
        <w:t>662 тыс. км (Великие озера) и 44</w:t>
      </w:r>
      <w:r>
        <w:t xml:space="preserve">, </w:t>
      </w:r>
      <w:r w:rsidRPr="00B64601">
        <w:t>826 (судоходные реки США и Канады)</w:t>
      </w:r>
      <w:r>
        <w:t xml:space="preserve">, </w:t>
      </w:r>
      <w:r w:rsidRPr="00B64601">
        <w:t>трубопроводов — 2</w:t>
      </w:r>
      <w:r>
        <w:t xml:space="preserve">, </w:t>
      </w:r>
      <w:r w:rsidRPr="00B64601">
        <w:t>69 млн. км. Важнейшие системы морских портов сформировались вокруг Нью-Йорка</w:t>
      </w:r>
      <w:r>
        <w:t xml:space="preserve">, </w:t>
      </w:r>
      <w:r w:rsidRPr="00B64601">
        <w:t>Хьюстона и Лос-Анджелеса. Транспортные услуги на рынке логистики предоставляют многочисленные специализированные перевозчики</w:t>
      </w:r>
      <w:r>
        <w:t xml:space="preserve">, </w:t>
      </w:r>
      <w:r w:rsidRPr="00B64601">
        <w:t>использующие только один вид транспортных средств (железнодорожные</w:t>
      </w:r>
      <w:r>
        <w:t xml:space="preserve">, </w:t>
      </w:r>
      <w:r w:rsidRPr="00B64601">
        <w:t>автомобильные</w:t>
      </w:r>
      <w:r>
        <w:t xml:space="preserve">, </w:t>
      </w:r>
      <w:r w:rsidRPr="00B64601">
        <w:t>воздушные</w:t>
      </w:r>
      <w:r>
        <w:t xml:space="preserve">, </w:t>
      </w:r>
      <w:r w:rsidRPr="00B64601">
        <w:t>водные и др.)</w:t>
      </w:r>
      <w:r>
        <w:t xml:space="preserve">, </w:t>
      </w:r>
      <w:r w:rsidRPr="00B64601">
        <w:t>перевозчики</w:t>
      </w:r>
      <w:r>
        <w:t xml:space="preserve">, </w:t>
      </w:r>
      <w:r w:rsidRPr="00B64601">
        <w:t>практикующие смешанные формы перевозок (мультимодальные) и посредники (брокеры</w:t>
      </w:r>
      <w:r>
        <w:t xml:space="preserve">, </w:t>
      </w:r>
      <w:r w:rsidRPr="00B64601">
        <w:t>экспедиторы и т.п.). Пик развития мультимодальных перевозок пришелся на 1950-е годы</w:t>
      </w:r>
      <w:r>
        <w:t xml:space="preserve">, </w:t>
      </w:r>
      <w:r w:rsidRPr="00B64601">
        <w:t>когда наряду с демонополизацией транспорта</w:t>
      </w:r>
      <w:r>
        <w:t xml:space="preserve">, </w:t>
      </w:r>
      <w:r w:rsidRPr="00B64601">
        <w:t>появились контрейлеры — синтез железнодорожного и автомобильного транспорта. Такая форма транспортировки является весьма эффективной и экономной</w:t>
      </w:r>
      <w:r>
        <w:t xml:space="preserve">, </w:t>
      </w:r>
      <w:r w:rsidRPr="00B64601">
        <w:t>ведь она предусматривает сочетание выгодных характеристик каждого вида транспорта для оптимизации перевозок</w:t>
      </w:r>
      <w:r>
        <w:t xml:space="preserve">, </w:t>
      </w:r>
      <w:r w:rsidRPr="00B64601">
        <w:t>например</w:t>
      </w:r>
      <w:r>
        <w:t xml:space="preserve">, </w:t>
      </w:r>
      <w:r w:rsidRPr="00B64601">
        <w:t>сочетание дешевых железнодорожных перевозок на большие расстояния с гибкостью автомобильного транспорта на коротких маршрутах. Выделяют следующие виды смешанных (контрейлерных) перевозок: автопоезд — железная дорога; наземно-водные перевозки (эта форма перевозок используется как на внутренних водных путях</w:t>
      </w:r>
      <w:r>
        <w:t xml:space="preserve">, </w:t>
      </w:r>
      <w:r w:rsidRPr="00B64601">
        <w:t>так и на прибрежных линиях судоходства и при перемещении груза между Великими озерами и портами на атлантическом побережье США).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После </w:t>
      </w:r>
      <w:smartTag w:uri="urn:schemas-microsoft-com:office:smarttags" w:element="metricconverter">
        <w:smartTagPr>
          <w:attr w:name="ProductID" w:val="1980 г"/>
        </w:smartTagPr>
        <w:r w:rsidRPr="00B64601">
          <w:t>1980 г</w:t>
        </w:r>
      </w:smartTag>
      <w:r w:rsidRPr="00B64601">
        <w:t>. в сфере грузоперевозок Северной Америки уже четко выделились три сегмента: перевозки с полной транзитной нормой (когда вес груза превышает 15 тыс. фунтов)</w:t>
      </w:r>
      <w:r>
        <w:t xml:space="preserve">, </w:t>
      </w:r>
      <w:r w:rsidRPr="00B64601">
        <w:t>перевозки меньше транзитной нормы (вес меньше 15 тыс. фунтов) и специализированные перевозки (доставка посылок и др.).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Прибыли и объемы перевозок каждым видам транспорта в странах НАФТА определяют с помощью стандартного показателя грузооборота</w:t>
      </w:r>
      <w:r>
        <w:t xml:space="preserve">, </w:t>
      </w:r>
      <w:r w:rsidRPr="00B64601">
        <w:t>(тонно-километр) который содержит информацию</w:t>
      </w:r>
      <w:r>
        <w:t xml:space="preserve">, </w:t>
      </w:r>
      <w:r w:rsidRPr="00B64601">
        <w:t>как об объеме грузопотока (в тоннах)</w:t>
      </w:r>
      <w:r>
        <w:t xml:space="preserve">, </w:t>
      </w:r>
      <w:r w:rsidRPr="00B64601">
        <w:t>так и о расстоянии перевозок (в километрах). Величину этого показателя получают при умножении веса груза в каждом рейсе на длину маршрута.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49" type="#_x0000_t75" style="width:3in;height:282.75pt">
            <v:imagedata r:id="rId7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Транспортная система стран НАФТА 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 1970-х гг. на рынке транспортных услуг Северной Америки начали свою деятельность специализированные почтовые компании</w:t>
      </w:r>
      <w:r>
        <w:t xml:space="preserve">, </w:t>
      </w:r>
      <w:r w:rsidRPr="00B64601">
        <w:t>осуществлявшие доставку посылок и мелких грузов. Сейчас это крупные компании</w:t>
      </w:r>
      <w:r>
        <w:t xml:space="preserve">, </w:t>
      </w:r>
      <w:r w:rsidRPr="00B64601">
        <w:t>способные обеспечить мультимодальные перевозки. При этом в доставке тарно-штучных грузов различают стандартное (базовое) и срочное обслуживание на особых условиях. Базовые услуги по доставке мелких грузов предоставляют многие компании в коммерческих зонах</w:t>
      </w:r>
      <w:r>
        <w:t xml:space="preserve">, </w:t>
      </w:r>
      <w:r w:rsidRPr="00B64601">
        <w:t>прилегающих к большим городам (метрополиям). Другие компании осуществляют доставку мелких грузов внутри штатов и между штатами. Среди наиболее известных в США — United Parcel Service (UPS)</w:t>
      </w:r>
      <w:r>
        <w:t xml:space="preserve">, </w:t>
      </w:r>
      <w:r w:rsidRPr="00B64601">
        <w:t>Почтовая служба США (US. Postal Service)</w:t>
      </w:r>
      <w:r>
        <w:t xml:space="preserve">, </w:t>
      </w:r>
      <w:r w:rsidRPr="00B64601">
        <w:t>Roadway Package System</w:t>
      </w:r>
      <w:r>
        <w:t xml:space="preserve">, </w:t>
      </w:r>
      <w:r w:rsidRPr="00B64601">
        <w:t>OH Logistics и др. Предоставление базовых услуг дает возможность осуществлять торговлю по каталогам</w:t>
      </w:r>
      <w:r>
        <w:t xml:space="preserve">, </w:t>
      </w:r>
      <w:r w:rsidRPr="00B64601">
        <w:t>когда покупатели делают заказы по почте</w:t>
      </w:r>
      <w:r>
        <w:t xml:space="preserve">, </w:t>
      </w:r>
      <w:r w:rsidRPr="00B64601">
        <w:t xml:space="preserve">по телефону или через Интернет и получают товары прямо домой. На североамериканском рынке логистики такие услуги предоставляют UPS и Почтовая служба США. 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Особые услуги по доставке мелких грузов с 1970-х гг. начали предоставлять несколько перевозчиков</w:t>
      </w:r>
      <w:r>
        <w:t xml:space="preserve">, </w:t>
      </w:r>
      <w:r w:rsidRPr="00B64601">
        <w:t>среди которых Federal Express (Fed Ex)</w:t>
      </w:r>
      <w:r>
        <w:t xml:space="preserve">, </w:t>
      </w:r>
      <w:r w:rsidRPr="00B64601">
        <w:t>Roadway</w:t>
      </w:r>
      <w:r>
        <w:t xml:space="preserve">, </w:t>
      </w:r>
      <w:r w:rsidRPr="00B64601">
        <w:t>Emery Worldwide и DHL. Большинство компаний</w:t>
      </w:r>
      <w:r>
        <w:t xml:space="preserve">, </w:t>
      </w:r>
      <w:r w:rsidRPr="00B64601">
        <w:t>оказывающих стандартные услуги</w:t>
      </w:r>
      <w:r>
        <w:t xml:space="preserve">, </w:t>
      </w:r>
      <w:r w:rsidRPr="00B64601">
        <w:t>предлагают также и специальные услуги. Так</w:t>
      </w:r>
      <w:r>
        <w:t xml:space="preserve">, </w:t>
      </w:r>
      <w:r w:rsidRPr="00B64601">
        <w:t>компания UPS осуществляет доставку в течение суток-двух после отправки</w:t>
      </w:r>
      <w:r>
        <w:t xml:space="preserve">, </w:t>
      </w:r>
      <w:r w:rsidRPr="00B64601">
        <w:t xml:space="preserve">а Почтовая служба США предоставляет возможность приоритетной доставки. В </w:t>
      </w:r>
      <w:smartTag w:uri="urn:schemas-microsoft-com:office:smarttags" w:element="metricconverter">
        <w:smartTagPr>
          <w:attr w:name="ProductID" w:val="1973 г"/>
        </w:smartTagPr>
        <w:r w:rsidRPr="00B64601">
          <w:t>1973 г</w:t>
        </w:r>
      </w:smartTag>
      <w:r w:rsidRPr="00B64601">
        <w:t>. компания Federal Express первой занялась доставкой мелких грузов «на следующий день» (англ. overnight) после сдачи посылки в любую точку страны. Впоследствии кроме специализированных фирм</w:t>
      </w:r>
      <w:r>
        <w:t xml:space="preserve">, </w:t>
      </w:r>
      <w:r w:rsidRPr="00B64601">
        <w:t>таких как FedEx</w:t>
      </w:r>
      <w:r>
        <w:t xml:space="preserve">, </w:t>
      </w:r>
      <w:r w:rsidRPr="00B64601">
        <w:t>UPS</w:t>
      </w:r>
      <w:r>
        <w:t xml:space="preserve">, </w:t>
      </w:r>
      <w:r w:rsidRPr="00B64601">
        <w:t>Emery Worldwide</w:t>
      </w:r>
      <w:r>
        <w:t xml:space="preserve">, </w:t>
      </w:r>
      <w:r w:rsidRPr="00B64601">
        <w:t>Airborne Courier и Purolator Courier</w:t>
      </w:r>
      <w:r>
        <w:t xml:space="preserve">, </w:t>
      </w:r>
      <w:r w:rsidRPr="00B64601">
        <w:t>такие услуги начали предоставлять крупные авто- и авиакомпании. Они работают по следующему принципу: все грузы свозятся на узловой сортировочный центр</w:t>
      </w:r>
      <w:r>
        <w:t xml:space="preserve">, </w:t>
      </w:r>
      <w:r w:rsidRPr="00B64601">
        <w:t>а оттуда рассылаются по адресам в разных направлениях.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Услуги складирования. В трех секторах рынка складских услуг Северной Америки действуют компании</w:t>
      </w:r>
      <w:r>
        <w:t xml:space="preserve">, </w:t>
      </w:r>
      <w:r w:rsidRPr="00B64601">
        <w:t>занимающиеся дистрибуцией и складированием</w:t>
      </w:r>
      <w:r>
        <w:t xml:space="preserve">, </w:t>
      </w:r>
      <w:r w:rsidRPr="00B64601">
        <w:t>это — частные центры распределения (дистрибьюторские центры)</w:t>
      </w:r>
      <w:r>
        <w:t xml:space="preserve">, </w:t>
      </w:r>
      <w:r w:rsidRPr="00B64601">
        <w:t>3PL-провайдеры и рефрижераторные склады. Емкость североамериканского коммерческого рынка складских услуг</w:t>
      </w:r>
      <w:r>
        <w:t xml:space="preserve">, </w:t>
      </w:r>
      <w:r w:rsidRPr="00B64601">
        <w:t>предоставляемых 3PL-операторами</w:t>
      </w:r>
      <w:r>
        <w:t xml:space="preserve">, </w:t>
      </w:r>
      <w:r w:rsidRPr="00B64601">
        <w:t>оценивается в 32</w:t>
      </w:r>
      <w:r>
        <w:t xml:space="preserve">, </w:t>
      </w:r>
      <w:r w:rsidRPr="00B64601">
        <w:t>8 млрд. долл. США чистого дохода (2007г.). Насчитывается около 900 операторов складских услуг с общим размером складских помещений 957 млн. квадратных футов (</w:t>
      </w:r>
      <w:smartTag w:uri="urn:schemas-microsoft-com:office:smarttags" w:element="metricconverter">
        <w:smartTagPr>
          <w:attr w:name="ProductID" w:val="1 фут"/>
        </w:smartTagPr>
        <w:r w:rsidRPr="00B64601">
          <w:t>1 фут</w:t>
        </w:r>
      </w:smartTag>
      <w:r w:rsidRPr="00B64601">
        <w:t xml:space="preserve"> = 30</w:t>
      </w:r>
      <w:r>
        <w:t xml:space="preserve">, </w:t>
      </w:r>
      <w:smartTag w:uri="urn:schemas-microsoft-com:office:smarttags" w:element="metricconverter">
        <w:smartTagPr>
          <w:attr w:name="ProductID" w:val="48 см"/>
        </w:smartTagPr>
        <w:r w:rsidRPr="00B64601">
          <w:t>48 см</w:t>
        </w:r>
      </w:smartTag>
      <w:r w:rsidRPr="00B64601">
        <w:t>). Крупнейшие 25 из них представлены в табл. 1. Более 66% американского рынка приходится на контрактное складирование</w:t>
      </w:r>
      <w:r>
        <w:t xml:space="preserve">, </w:t>
      </w:r>
      <w:r w:rsidRPr="00B64601">
        <w:t>при этом 54% контрактов заключается на три года</w:t>
      </w:r>
      <w:r>
        <w:t xml:space="preserve">, </w:t>
      </w:r>
      <w:r w:rsidRPr="00B64601">
        <w:t>22% — на пять лет. Контрактный склад сочетает в себе лучшие черты частных складов и складов общего пользования. Стоимость услуг является более дешевой по сравнению со складами общего пользования</w:t>
      </w:r>
      <w:r>
        <w:t xml:space="preserve">, </w:t>
      </w:r>
      <w:r w:rsidRPr="00B64601">
        <w:t>что обусловлено продолжительностью отношений и совместным участием в рисках. Также могут предоставляться преимущества</w:t>
      </w:r>
      <w:r>
        <w:t xml:space="preserve">, </w:t>
      </w:r>
      <w:r w:rsidRPr="00B64601">
        <w:t>связанные с экономией за счет масштабов деятельности. Как правило</w:t>
      </w:r>
      <w:r>
        <w:t xml:space="preserve">, </w:t>
      </w:r>
      <w:r w:rsidRPr="00B64601">
        <w:t>контрактные склады обслуживают клиентов одной отрасли (торговля бакалейными товарами и т.п.).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1.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Крупнейшие компании Северной Америки</w:t>
      </w:r>
      <w:r>
        <w:t xml:space="preserve">, </w:t>
      </w:r>
      <w:r w:rsidRPr="00B64601">
        <w:t>предоставляющие услуги складирования (упорядоченные по величине складской площади) [18]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582"/>
        <w:gridCol w:w="1696"/>
        <w:gridCol w:w="1222"/>
        <w:gridCol w:w="1373"/>
        <w:gridCol w:w="1383"/>
        <w:gridCol w:w="1408"/>
      </w:tblGrid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Ранг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Компания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Количество складов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Общая складская площадь в пределах Северной Америки в 2006 году (млн. футов. кв.)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Средняя площадь склада (млн. кв. футов)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Валовой доход в 2006 году (млн. долл. США)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Средний доход на 1 млн. кв. футов (млн. долл. США)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DHL/Exel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573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143.0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0.25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8200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57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Landstar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110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72.0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0.65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683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Total Logistics Control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83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37.0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0.45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356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UPS SCS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1238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35.0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0.03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7706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220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Caterpillar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27.0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0.26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2400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89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UTi Worldwide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210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26.0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0.12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3561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137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GENCO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24.8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0.29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514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APL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162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24.5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0.15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1310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AmeriCold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102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23.0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850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37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Ozburn-Hessey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92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21.4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660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1 1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Kenco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21.0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0.22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12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MBX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51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20.0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0.39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BAX Global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58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19.0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0.33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2899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14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Jacobson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18.5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0.19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375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Ryder System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184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18.3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0.10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2597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142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16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CEVA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76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17.9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0.24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1100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17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Nippon Express USA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150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0.10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4000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267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18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Eagle Global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87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0.17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3200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213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19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Warehouse Specialists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47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0.32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93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20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DSC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0.43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200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21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NFI Industries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70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14.5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0.21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718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22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Kuehne &amp; Nagel NA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60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14.0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0.23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2812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201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23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Menlo Worldwide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84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0.15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1356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24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Penske Logistics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135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10.5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0.08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3050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290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25</w:t>
            </w:r>
          </w:p>
        </w:tc>
        <w:tc>
          <w:tcPr>
            <w:tcW w:w="81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Nissin Int’l Transport USA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75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10.0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0.13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250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25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337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Всего</w:t>
            </w:r>
          </w:p>
        </w:tc>
        <w:tc>
          <w:tcPr>
            <w:tcW w:w="8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</w:t>
            </w:r>
            <w:r>
              <w:t xml:space="preserve">, </w:t>
            </w:r>
            <w:r w:rsidRPr="00B64601">
              <w:t>062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670.4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0.16</w:t>
            </w:r>
          </w:p>
        </w:tc>
        <w:tc>
          <w:tcPr>
            <w:tcW w:w="7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49250</w:t>
            </w:r>
          </w:p>
        </w:tc>
        <w:tc>
          <w:tcPr>
            <w:tcW w:w="72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105</w:t>
            </w:r>
          </w:p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Операторы контрактных составов значительно расширяют круг своих услуг</w:t>
      </w:r>
      <w:r>
        <w:t xml:space="preserve">, </w:t>
      </w:r>
      <w:r w:rsidRPr="00B64601">
        <w:t>включая в него</w:t>
      </w:r>
      <w:r>
        <w:t xml:space="preserve">, </w:t>
      </w:r>
      <w:r w:rsidRPr="00B64601">
        <w:t>кроме собственно складирования</w:t>
      </w:r>
      <w:r>
        <w:t xml:space="preserve">, </w:t>
      </w:r>
      <w:r w:rsidRPr="00B64601">
        <w:t>большое количество других логистических операций: транспортировку</w:t>
      </w:r>
      <w:r>
        <w:t xml:space="preserve">, </w:t>
      </w:r>
      <w:r w:rsidRPr="00B64601">
        <w:t>управление запасами</w:t>
      </w:r>
      <w:r>
        <w:t xml:space="preserve">, </w:t>
      </w:r>
      <w:r w:rsidRPr="00B64601">
        <w:t>обслуживание потребителей и утилизацию возвращенной продукции. Глобализация торговли и увеличения длины маршрутов транспортировки товаров значительно увеличивают значимость складских услуг с добавленной стоимостью. Сервис с добавленной стоимостью может ориентироваться главным образом на упаковку (собственно упаковка</w:t>
      </w:r>
      <w:r>
        <w:t xml:space="preserve">, </w:t>
      </w:r>
      <w:r w:rsidRPr="00B64601">
        <w:t>замена тары) и (или) производство (осуществление завершающих этапов производства</w:t>
      </w:r>
      <w:r>
        <w:t xml:space="preserve">, </w:t>
      </w:r>
      <w:r w:rsidRPr="00B64601">
        <w:t>доработка конечной продукции согласно специальных требований заказчика</w:t>
      </w:r>
      <w:r>
        <w:t xml:space="preserve">, </w:t>
      </w:r>
      <w:r w:rsidRPr="00B64601">
        <w:t>улучшения ее технических характеристик). Еще одна разновидность услуг с добавленной стоимостью — управление температурным режимом хранения продукции и защита коммерческой тайны.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Таким образом</w:t>
      </w:r>
      <w:r>
        <w:t xml:space="preserve">, </w:t>
      </w:r>
      <w:r w:rsidRPr="00B64601">
        <w:t>на североамериканском рынке логистических услуг специализированные фирмы выполняют несколько базовых функций: во-первых</w:t>
      </w:r>
      <w:r>
        <w:t xml:space="preserve">, </w:t>
      </w:r>
      <w:r w:rsidRPr="00B64601">
        <w:t>они непосредственно осуществляют предоставление складских и транспортных услуг</w:t>
      </w:r>
      <w:r>
        <w:t xml:space="preserve">, </w:t>
      </w:r>
      <w:r w:rsidRPr="00B64601">
        <w:t>для чего им нужны складские комплексы</w:t>
      </w:r>
      <w:r>
        <w:t xml:space="preserve">, </w:t>
      </w:r>
      <w:r w:rsidRPr="00B64601">
        <w:t>терминалы и подвижной состав; во-вторых</w:t>
      </w:r>
      <w:r>
        <w:t xml:space="preserve">, </w:t>
      </w:r>
      <w:r w:rsidRPr="00B64601">
        <w:t>они занимаются организацией логистического процесса в зависимости от потребностей конкретного клиента. По классификационной схеме американской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Консалтинговой компании Armstrong &amp; Associates Inc</w:t>
      </w:r>
      <w:r>
        <w:t xml:space="preserve">, </w:t>
      </w:r>
      <w:r w:rsidRPr="00B64601">
        <w:t>в логистическом бизнесе аутсорсинга Северной Америки выделяют несколько типов логистических провайдеров (классификация относится к компаниям</w:t>
      </w:r>
      <w:r>
        <w:t xml:space="preserve">, </w:t>
      </w:r>
      <w:r w:rsidRPr="00B64601">
        <w:t>которые зарегистрированы в Северной Америке):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Non-asset domestic transportation management (DTM-NA) — транспортные компании</w:t>
      </w:r>
      <w:r>
        <w:t xml:space="preserve">, </w:t>
      </w:r>
      <w:r w:rsidRPr="00B64601">
        <w:t>которые организуют перевозку в пределах Северной Америки и не владеют реальными активами;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Non-asset international transportation management (ITM-NA) транспортные компании</w:t>
      </w:r>
      <w:r>
        <w:t xml:space="preserve">, </w:t>
      </w:r>
      <w:r w:rsidRPr="00B64601">
        <w:t>которые организуют перевозку между Северной Америкой и другими регионами мира и не владеют реальными активами;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Asset-based (U.S.) dedicated contract carriage (DCC-AB) — транспортные компании</w:t>
      </w:r>
      <w:r>
        <w:t xml:space="preserve">, </w:t>
      </w:r>
      <w:r w:rsidRPr="00B64601">
        <w:t>владеющие подвижным составом и имеющие в штате водителей и транспортных менеджеров (обычно работают по договорам сроком от 1 до 7 лет);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Asset-based value-added warehousing/distribution (VAWD-AB) — складские компании</w:t>
      </w:r>
      <w:r>
        <w:t xml:space="preserve">, </w:t>
      </w:r>
      <w:r w:rsidRPr="00B64601">
        <w:t>обладающие складскими терминалами и дистрибутивными центрами (обычно работают на основе долгосрочных договоров);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Software – компании провайдеры программного обеспечения.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Компании</w:t>
      </w:r>
      <w:r>
        <w:t xml:space="preserve">, </w:t>
      </w:r>
      <w:r w:rsidRPr="00B64601">
        <w:t>владеющие реальными активами</w:t>
      </w:r>
      <w:r>
        <w:t xml:space="preserve">, </w:t>
      </w:r>
      <w:r w:rsidRPr="00B64601">
        <w:t>будь то складские комплексы или подвижной состав; специализируются в основном на предоставлении соответствующих складских и транспортных услуг. При этом компании</w:t>
      </w:r>
      <w:r>
        <w:t xml:space="preserve">, </w:t>
      </w:r>
      <w:r w:rsidRPr="00B64601">
        <w:t>которые не владеют реальными активами</w:t>
      </w:r>
      <w:r>
        <w:t xml:space="preserve">, </w:t>
      </w:r>
      <w:r w:rsidRPr="00B64601">
        <w:t>занимаются не только экспедированием</w:t>
      </w:r>
      <w:r>
        <w:t xml:space="preserve">, </w:t>
      </w:r>
      <w:r w:rsidRPr="00B64601">
        <w:t>так они часто берут на себя функции создания и оптимизации интегрированной логистической цепи.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Первые специализированные компании</w:t>
      </w:r>
      <w:r>
        <w:t xml:space="preserve">, </w:t>
      </w:r>
      <w:r w:rsidRPr="00B64601">
        <w:t>которые профессионально занимались оказанием логистических услуг в Северной Америке</w:t>
      </w:r>
      <w:r>
        <w:t xml:space="preserve">, </w:t>
      </w:r>
      <w:r w:rsidRPr="00B64601">
        <w:t>появились в 1980-х гг. С тех пор объемы продаж логистических услуг неуклонно росли. Например</w:t>
      </w:r>
      <w:r>
        <w:t xml:space="preserve">, </w:t>
      </w:r>
      <w:r w:rsidRPr="00B64601">
        <w:t xml:space="preserve">в </w:t>
      </w:r>
      <w:smartTag w:uri="urn:schemas-microsoft-com:office:smarttags" w:element="metricconverter">
        <w:smartTagPr>
          <w:attr w:name="ProductID" w:val="2000 г"/>
        </w:smartTagPr>
        <w:r w:rsidRPr="00B64601">
          <w:t>2000 г</w:t>
        </w:r>
      </w:smartTag>
      <w:r w:rsidRPr="00B64601">
        <w:t>.</w:t>
      </w:r>
      <w:r>
        <w:t xml:space="preserve">, </w:t>
      </w:r>
      <w:r w:rsidRPr="00B64601">
        <w:t>емкость рынка выросла на 24%</w:t>
      </w:r>
      <w:r>
        <w:t xml:space="preserve">, </w:t>
      </w:r>
      <w:r w:rsidRPr="00B64601">
        <w:t>по сравнению с 1999г. Увеличение объема продаж логистических услуг специализированных фирм на североамериканском рынке показано на рис. 4. Как видим</w:t>
      </w:r>
      <w:r>
        <w:t xml:space="preserve">, </w:t>
      </w:r>
      <w:r w:rsidRPr="00B64601">
        <w:t xml:space="preserve">суммарный объем продаж логистических услуг в Северной Америке в </w:t>
      </w:r>
      <w:smartTag w:uri="urn:schemas-microsoft-com:office:smarttags" w:element="metricconverter">
        <w:smartTagPr>
          <w:attr w:name="ProductID" w:val="2003 г"/>
        </w:smartTagPr>
        <w:r w:rsidRPr="00B64601">
          <w:t>2003 г</w:t>
        </w:r>
      </w:smartTag>
      <w:r w:rsidRPr="00B64601">
        <w:t>. составил 76</w:t>
      </w:r>
      <w:r>
        <w:t xml:space="preserve">, </w:t>
      </w:r>
      <w:r w:rsidRPr="00B64601">
        <w:t>9 млрд. долл. США</w:t>
      </w:r>
      <w:r>
        <w:t xml:space="preserve">, </w:t>
      </w:r>
      <w:r w:rsidRPr="00B64601">
        <w:t xml:space="preserve">а в </w:t>
      </w:r>
      <w:smartTag w:uri="urn:schemas-microsoft-com:office:smarttags" w:element="metricconverter">
        <w:smartTagPr>
          <w:attr w:name="ProductID" w:val="2006 г"/>
        </w:smartTagPr>
        <w:r w:rsidRPr="00B64601">
          <w:t>2006 г</w:t>
        </w:r>
      </w:smartTag>
      <w:r w:rsidRPr="00B64601">
        <w:t>.</w:t>
      </w:r>
      <w:r>
        <w:t xml:space="preserve">, </w:t>
      </w:r>
      <w:r w:rsidRPr="00B64601">
        <w:t>по сравнению с 2003 годом</w:t>
      </w:r>
      <w:r>
        <w:t xml:space="preserve">, </w:t>
      </w:r>
      <w:r w:rsidRPr="00B64601">
        <w:t>этот показатель вырос на 32</w:t>
      </w:r>
      <w:r>
        <w:t xml:space="preserve">, </w:t>
      </w:r>
      <w:r w:rsidRPr="00B64601">
        <w:t>3%</w:t>
      </w:r>
      <w:r>
        <w:t xml:space="preserve">, </w:t>
      </w:r>
      <w:r w:rsidRPr="00B64601">
        <w:t>и достиг 113</w:t>
      </w:r>
      <w:r>
        <w:t xml:space="preserve">, </w:t>
      </w:r>
      <w:r w:rsidRPr="00B64601">
        <w:t>6 млрд. долл. США. Распределение этого объема по типам логистических провайдеров имеет следующий вид (рис.5)</w:t>
      </w:r>
      <w:r>
        <w:t xml:space="preserve">, </w:t>
      </w:r>
      <w:r w:rsidRPr="00B64601">
        <w:t>из чего можно сделать вывод</w:t>
      </w:r>
      <w:r>
        <w:t xml:space="preserve">, </w:t>
      </w:r>
      <w:r w:rsidRPr="00B64601">
        <w:t>что наибольшую прибыль получают компании</w:t>
      </w:r>
      <w:r>
        <w:t xml:space="preserve">, </w:t>
      </w:r>
      <w:r w:rsidRPr="00B64601">
        <w:t>которые не имеют реальных активов. Именно на их долю приходится значительная часть дохода</w:t>
      </w:r>
      <w:r>
        <w:t xml:space="preserve">, </w:t>
      </w:r>
      <w:r w:rsidRPr="00B64601">
        <w:t>что свидетельствует об успехе этого вида бизнеса в странах НАФТА.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52" type="#_x0000_t75" style="width:181.5pt;height:78pt">
            <v:imagedata r:id="rId8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Динамика объема Североамериканского рынка логистических услуг</w:t>
      </w:r>
      <w:r>
        <w:t xml:space="preserve">, </w:t>
      </w:r>
      <w:r w:rsidRPr="00B64601">
        <w:t>млрд. долл. США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55" type="#_x0000_t75" style="width:242.25pt;height:99pt">
            <v:imagedata r:id="rId9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Динамика объема рынка логистических услуг стран НАФТА по типам логистических провайдеров</w:t>
      </w:r>
      <w:r>
        <w:t xml:space="preserve">, </w:t>
      </w:r>
      <w:r w:rsidRPr="00B64601">
        <w:t>млрд. долл. США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 Североамериканском рынке логистических услуг все более распространенной становится деятельность 4РL-компаний</w:t>
      </w:r>
      <w:r>
        <w:t xml:space="preserve">, </w:t>
      </w:r>
      <w:r w:rsidRPr="00B64601">
        <w:t>не обладающих материальными активами</w:t>
      </w:r>
      <w:r>
        <w:t xml:space="preserve">, </w:t>
      </w:r>
      <w:r w:rsidRPr="00B64601">
        <w:t>но координирующих деятельность ЗРL-компаний. Основными факторами</w:t>
      </w:r>
      <w:r>
        <w:t xml:space="preserve">, </w:t>
      </w:r>
      <w:r w:rsidRPr="00B64601">
        <w:t>способствующими развитию североамериканского рынка 4РL-услуг</w:t>
      </w:r>
      <w:r>
        <w:t xml:space="preserve">, </w:t>
      </w:r>
      <w:r w:rsidRPr="00B64601">
        <w:t>является увеличение потребности в более сложных логистических услугах</w:t>
      </w:r>
      <w:r>
        <w:t xml:space="preserve">, </w:t>
      </w:r>
      <w:r w:rsidRPr="00B64601">
        <w:t>расширение спроса на профессиональные логистические знания и эффективные методы</w:t>
      </w:r>
      <w:r>
        <w:t xml:space="preserve">, </w:t>
      </w:r>
      <w:r w:rsidRPr="00B64601">
        <w:t>глобализация мировой экономики и стремление заказчиков к разделению рисков (и доходов соответственно) с провайдером услуг. 4РL-услуги могут предоставлять ЗРL-компании</w:t>
      </w:r>
      <w:r>
        <w:t xml:space="preserve">, </w:t>
      </w:r>
      <w:r w:rsidRPr="00B64601">
        <w:t>фирмы консалтингового и технологического профиля.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Консалтинговая фирма Armstrong &amp; Associates Inc. оценивает емкость Североамериканского рынка логистических услуг</w:t>
      </w:r>
      <w:r>
        <w:t xml:space="preserve">, </w:t>
      </w:r>
      <w:r w:rsidRPr="00B64601">
        <w:t>предоставляемых специализированными компаниями на условиях аутсорсинга</w:t>
      </w:r>
      <w:r>
        <w:t xml:space="preserve">, </w:t>
      </w:r>
      <w:r w:rsidRPr="00B64601">
        <w:t>в 113</w:t>
      </w:r>
      <w:r>
        <w:t xml:space="preserve">, </w:t>
      </w:r>
      <w:r w:rsidRPr="00B64601">
        <w:t>6 млрд. долл. США. Крупнейшими специализированными фирмами в данной сфере деятельности являются следующие фирмы США: UPS Supply Chain Solutions</w:t>
      </w:r>
      <w:r>
        <w:t xml:space="preserve">, </w:t>
      </w:r>
      <w:r w:rsidRPr="00B64601">
        <w:t>С. Н. Robinson Worldwide</w:t>
      </w:r>
      <w:r>
        <w:t xml:space="preserve">, </w:t>
      </w:r>
      <w:r w:rsidRPr="00B64601">
        <w:t>Menlo Worldwide</w:t>
      </w:r>
      <w:r>
        <w:t xml:space="preserve">, </w:t>
      </w:r>
      <w:r w:rsidRPr="00B64601">
        <w:t xml:space="preserve">Expeditors International of Washington Inc. и Penske Logistics. Общий оборот перечисленных пяти компаний в </w:t>
      </w:r>
      <w:smartTag w:uri="urn:schemas-microsoft-com:office:smarttags" w:element="metricconverter">
        <w:smartTagPr>
          <w:attr w:name="ProductID" w:val="2002 г"/>
        </w:smartTagPr>
        <w:r w:rsidRPr="00B64601">
          <w:t>2002 г</w:t>
        </w:r>
      </w:smartTag>
      <w:r w:rsidRPr="00B64601">
        <w:t>. составил 19</w:t>
      </w:r>
      <w:r>
        <w:t xml:space="preserve">, </w:t>
      </w:r>
      <w:r w:rsidRPr="00B64601">
        <w:t>3 млрд. долл. США</w:t>
      </w:r>
      <w:r>
        <w:t xml:space="preserve">, </w:t>
      </w:r>
      <w:r w:rsidRPr="00B64601">
        <w:t xml:space="preserve">а </w:t>
      </w:r>
      <w:smartTag w:uri="urn:schemas-microsoft-com:office:smarttags" w:element="metricconverter">
        <w:smartTagPr>
          <w:attr w:name="ProductID" w:val="2006 г"/>
        </w:smartTagPr>
        <w:r w:rsidRPr="00B64601">
          <w:t>2006 г</w:t>
        </w:r>
      </w:smartTag>
      <w:r w:rsidRPr="00B64601">
        <w:t>. вырос до 24</w:t>
      </w:r>
      <w:r>
        <w:t xml:space="preserve">, </w:t>
      </w:r>
      <w:r w:rsidRPr="00B64601">
        <w:t>6 млрд. долл. США (это примерно четвертая часть объема всего рынка логистических услуг США). По данным Канадского бюро статистики</w:t>
      </w:r>
      <w:r>
        <w:t xml:space="preserve">, </w:t>
      </w:r>
      <w:r w:rsidRPr="00B64601">
        <w:t>рынок ЗРL-провайдеров Северной Америки в течение следующих 5 лет будет расти на 10-15 %.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Приводим список 12 крупнейших по объему валового дохода 3PL-провайдеров</w:t>
      </w:r>
      <w:r>
        <w:t xml:space="preserve">, </w:t>
      </w:r>
      <w:r w:rsidRPr="00B64601">
        <w:t>действующих на рынке логистических услуг Северной Америки</w:t>
      </w:r>
      <w:r>
        <w:t xml:space="preserve">, </w:t>
      </w:r>
      <w:r w:rsidRPr="00B64601">
        <w:t xml:space="preserve">с указанием их валового и чистого дохода от логистики за </w:t>
      </w:r>
      <w:smartTag w:uri="urn:schemas-microsoft-com:office:smarttags" w:element="metricconverter">
        <w:smartTagPr>
          <w:attr w:name="ProductID" w:val="2006 г"/>
        </w:smartTagPr>
        <w:r w:rsidRPr="00B64601">
          <w:t>2006 г</w:t>
        </w:r>
      </w:smartTag>
      <w:r w:rsidRPr="00B64601">
        <w:t>. в млн. долл. США (табл. 2).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2.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Крупнейшие ЗРL-провайдеры Северной Америки по величине доходов от логистики (</w:t>
      </w:r>
      <w:smartTag w:uri="urn:schemas-microsoft-com:office:smarttags" w:element="metricconverter">
        <w:smartTagPr>
          <w:attr w:name="ProductID" w:val="2006 г"/>
        </w:smartTagPr>
        <w:r w:rsidRPr="00B64601">
          <w:t>2006 г</w:t>
        </w:r>
      </w:smartTag>
      <w:r w:rsidRPr="00B64601">
        <w:t>.) [18]</w:t>
      </w:r>
    </w:p>
    <w:tbl>
      <w:tblPr>
        <w:tblW w:w="0" w:type="auto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4215"/>
        <w:gridCol w:w="1635"/>
        <w:gridCol w:w="2370"/>
      </w:tblGrid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№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Компания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Валовой доход от логистики</w:t>
            </w:r>
            <w:r>
              <w:t xml:space="preserve">, </w:t>
            </w:r>
            <w:r w:rsidRPr="00B64601">
              <w:t xml:space="preserve">млн. долл. </w:t>
            </w:r>
          </w:p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США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Чистый доход от логистики</w:t>
            </w:r>
            <w:r>
              <w:t xml:space="preserve">, </w:t>
            </w:r>
            <w:r w:rsidRPr="00B64601">
              <w:t>млн. долл. США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UPS Supply Chain Solutions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  <w:r>
              <w:t xml:space="preserve">, </w:t>
            </w:r>
            <w:r w:rsidRPr="00B64601">
              <w:t>931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5</w:t>
            </w:r>
            <w:r>
              <w:t xml:space="preserve">, </w:t>
            </w:r>
            <w:r w:rsidRPr="00B64601">
              <w:t>681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  <w:rPr>
                <w:lang w:val="en-US"/>
              </w:rPr>
            </w:pPr>
            <w:r w:rsidRPr="00B64601">
              <w:rPr>
                <w:lang w:val="en-US"/>
              </w:rPr>
              <w:t xml:space="preserve">DHL &amp; Exel Logistics (The </w:t>
            </w:r>
            <w:smartTag w:uri="urn:schemas-microsoft-com:office:smarttags" w:element="place">
              <w:smartTag w:uri="urn:schemas-microsoft-com:office:smarttags" w:element="country-region">
                <w:r w:rsidRPr="00B64601">
                  <w:rPr>
                    <w:lang w:val="en-US"/>
                  </w:rPr>
                  <w:t>Americas</w:t>
                </w:r>
              </w:smartTag>
            </w:smartTag>
            <w:r w:rsidRPr="00B64601">
              <w:rPr>
                <w:lang w:val="en-US"/>
              </w:rPr>
              <w:t>)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  <w:r>
              <w:t xml:space="preserve">, </w:t>
            </w:r>
            <w:r w:rsidRPr="00B64601">
              <w:t>200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</w:t>
            </w:r>
            <w:r>
              <w:t xml:space="preserve">, </w:t>
            </w:r>
            <w:r w:rsidRPr="00B64601">
              <w:t>800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С. Н. Robinson Worldwide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</w:t>
            </w:r>
            <w:r>
              <w:t xml:space="preserve">, </w:t>
            </w:r>
            <w:r w:rsidRPr="00B64601">
              <w:t>600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100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4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  <w:rPr>
                <w:lang w:val="en-US"/>
              </w:rPr>
            </w:pPr>
            <w:r w:rsidRPr="00B64601">
              <w:rPr>
                <w:lang w:val="en-US"/>
              </w:rPr>
              <w:t>Expeditors Int’l of Washington, Inc.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4</w:t>
            </w:r>
            <w:r>
              <w:t xml:space="preserve">, </w:t>
            </w:r>
            <w:r w:rsidRPr="00B64601">
              <w:t>626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283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5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UTi Worldwide Inc.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</w:t>
            </w:r>
            <w:r>
              <w:t xml:space="preserve">, </w:t>
            </w:r>
            <w:r w:rsidRPr="00B64601">
              <w:t>561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224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EGL Eagle Global Logistics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</w:t>
            </w:r>
            <w:r>
              <w:t xml:space="preserve">, </w:t>
            </w:r>
            <w:r w:rsidRPr="00B64601">
              <w:t>200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010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7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Penske Logistics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</w:t>
            </w:r>
            <w:r>
              <w:t xml:space="preserve">, </w:t>
            </w:r>
            <w:r w:rsidRPr="00B64601">
              <w:t>050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0</w:t>
            </w:r>
            <w:r>
              <w:t xml:space="preserve">, </w:t>
            </w:r>
            <w:r w:rsidRPr="00B64601">
              <w:t>899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  <w:rPr>
                <w:lang w:val="en-US"/>
              </w:rPr>
            </w:pPr>
            <w:r w:rsidRPr="00B64601">
              <w:rPr>
                <w:lang w:val="en-US"/>
              </w:rPr>
              <w:t xml:space="preserve">Kuehne + Nagel Contract Logistics, </w:t>
            </w:r>
            <w:smartTag w:uri="urn:schemas-microsoft-com:office:smarttags" w:element="place">
              <w:r w:rsidRPr="00B64601">
                <w:rPr>
                  <w:lang w:val="en-US"/>
                </w:rPr>
                <w:t>North America</w:t>
              </w:r>
            </w:smartTag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</w:t>
            </w:r>
            <w:r>
              <w:t xml:space="preserve">, </w:t>
            </w:r>
            <w:r w:rsidRPr="00B64601">
              <w:t>812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0</w:t>
            </w:r>
            <w:r>
              <w:t xml:space="preserve">, </w:t>
            </w:r>
            <w:r w:rsidRPr="00B64601">
              <w:t>625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Ryder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</w:t>
            </w:r>
            <w:r>
              <w:t xml:space="preserve">, </w:t>
            </w:r>
            <w:r w:rsidRPr="00B64601">
              <w:t>597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732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Caterpillar Logistics Services</w:t>
            </w:r>
            <w:r>
              <w:t xml:space="preserve">, </w:t>
            </w:r>
            <w:r w:rsidRPr="00B64601">
              <w:t>Inc.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</w:t>
            </w:r>
            <w:r>
              <w:t xml:space="preserve">, </w:t>
            </w:r>
            <w:r w:rsidRPr="00B64601">
              <w:t>400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600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11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Schenker</w:t>
            </w:r>
            <w:r>
              <w:t xml:space="preserve">, </w:t>
            </w:r>
            <w:r w:rsidRPr="00B64601">
              <w:t>Inc. (N.A.)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</w:t>
            </w:r>
            <w:r>
              <w:t xml:space="preserve">, </w:t>
            </w:r>
            <w:r w:rsidRPr="00B64601">
              <w:t>140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0</w:t>
            </w:r>
            <w:r>
              <w:t xml:space="preserve">, </w:t>
            </w:r>
            <w:r w:rsidRPr="00B64601">
              <w:t>600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12</w:t>
            </w: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Schneider Dedicated Operations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556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</w:t>
            </w:r>
            <w:r>
              <w:t xml:space="preserve">, </w:t>
            </w:r>
            <w:r w:rsidRPr="00B64601">
              <w:t>556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5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</w:p>
        </w:tc>
        <w:tc>
          <w:tcPr>
            <w:tcW w:w="421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Всего</w:t>
            </w:r>
          </w:p>
        </w:tc>
        <w:tc>
          <w:tcPr>
            <w:tcW w:w="16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49</w:t>
            </w:r>
            <w:r>
              <w:t xml:space="preserve">, </w:t>
            </w:r>
            <w:r w:rsidRPr="00B64601">
              <w:t>673</w:t>
            </w:r>
          </w:p>
        </w:tc>
        <w:tc>
          <w:tcPr>
            <w:tcW w:w="237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24</w:t>
            </w:r>
            <w:r>
              <w:t xml:space="preserve">, </w:t>
            </w:r>
            <w:r w:rsidRPr="00B64601">
              <w:t>110</w:t>
            </w:r>
          </w:p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По мнению западных специалистов</w:t>
      </w:r>
      <w:r>
        <w:t xml:space="preserve">, </w:t>
      </w:r>
      <w:r w:rsidRPr="00B64601">
        <w:t>единственной 4РL-компанией в узком смысле является Vector SCM — совместное предприятие General Motors Corp. i Menlo Worldwide (филиалы CNF</w:t>
      </w:r>
      <w:r>
        <w:t xml:space="preserve">, </w:t>
      </w:r>
      <w:r w:rsidRPr="00B64601">
        <w:t>Inc.). В настоящее время она управляет всеми логистическими операциями General Motors (около 6 млрд. USD ежегодно)</w:t>
      </w:r>
      <w:r>
        <w:t xml:space="preserve">, </w:t>
      </w:r>
      <w:r w:rsidRPr="00B64601">
        <w:t>осуществляет операции в более чем 200 странах</w:t>
      </w:r>
      <w:r>
        <w:t xml:space="preserve">, </w:t>
      </w:r>
      <w:r w:rsidRPr="00B64601">
        <w:t>работает с более чем 12 тыс. поставщиков и обслуживает 70 автосборочных заводов и 12</w:t>
      </w:r>
      <w:r>
        <w:t xml:space="preserve">, </w:t>
      </w:r>
      <w:r w:rsidRPr="00B64601">
        <w:t>5 тыс. дилеров по всему миру. Ежедневно Vector SCM обрабатывает потоки материалов и комплектующих в объеме 82 тыс. т</w:t>
      </w:r>
      <w:r>
        <w:t xml:space="preserve">, </w:t>
      </w:r>
      <w:r w:rsidRPr="00B64601">
        <w:t>а также 5</w:t>
      </w:r>
      <w:r>
        <w:t xml:space="preserve">, </w:t>
      </w:r>
      <w:r w:rsidRPr="00B64601">
        <w:t>3 тыс. отгрузок запчастей для вторичного рынка и 35 тыс. готовых автомобилей. Ежегодный оборот компании составляет около 120 млн. долл. США</w:t>
      </w:r>
      <w:r>
        <w:t xml:space="preserve">, </w:t>
      </w:r>
      <w:r w:rsidRPr="00B64601">
        <w:t>ее доходы определяются как процент от экономии логистических затрат General Motors. Наряду с Vector SCM крупнейшими компаниями такого рода являются UPS</w:t>
      </w:r>
      <w:r>
        <w:t xml:space="preserve">, </w:t>
      </w:r>
      <w:r w:rsidRPr="00B64601">
        <w:t>FedEx</w:t>
      </w:r>
      <w:r>
        <w:t xml:space="preserve">, </w:t>
      </w:r>
      <w:r w:rsidRPr="00B64601">
        <w:t>DHL и Exel</w:t>
      </w:r>
      <w:r>
        <w:t xml:space="preserve">, </w:t>
      </w:r>
      <w:r w:rsidRPr="00B64601">
        <w:t>а также логистические подразделения таких груп</w:t>
      </w:r>
      <w:r>
        <w:t xml:space="preserve">, </w:t>
      </w:r>
      <w:r w:rsidRPr="00B64601">
        <w:t>как Penske</w:t>
      </w:r>
      <w:r>
        <w:t xml:space="preserve">, </w:t>
      </w:r>
      <w:r w:rsidRPr="00B64601">
        <w:t>Ryder</w:t>
      </w:r>
      <w:r>
        <w:t xml:space="preserve">, </w:t>
      </w:r>
      <w:r w:rsidRPr="00B64601">
        <w:t>Schneider</w:t>
      </w:r>
      <w:r>
        <w:t xml:space="preserve">, </w:t>
      </w:r>
      <w:r w:rsidRPr="00B64601">
        <w:t>TNT</w:t>
      </w:r>
      <w:r>
        <w:t xml:space="preserve">, </w:t>
      </w:r>
      <w:r w:rsidRPr="00B64601">
        <w:t>APL</w:t>
      </w:r>
      <w:r>
        <w:t xml:space="preserve">, </w:t>
      </w:r>
      <w:r w:rsidRPr="00B64601">
        <w:t>Maersk и Caterpillar.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Касается транспортных услуг</w:t>
      </w:r>
      <w:r>
        <w:t xml:space="preserve">, </w:t>
      </w:r>
      <w:r w:rsidRPr="00B64601">
        <w:t>то услуги перевозки грузов с полной транзитной нормой предоставляют такие крупные фирмы</w:t>
      </w:r>
      <w:r>
        <w:t xml:space="preserve">, </w:t>
      </w:r>
      <w:r w:rsidRPr="00B64601">
        <w:t>как B. Hunt и Schielder National; с неполной транзитной нормой — Yellow Freight</w:t>
      </w:r>
      <w:r>
        <w:t xml:space="preserve">, </w:t>
      </w:r>
      <w:r w:rsidRPr="00B64601">
        <w:t>Consolidated Freightways</w:t>
      </w:r>
      <w:r>
        <w:t xml:space="preserve">, </w:t>
      </w:r>
      <w:r w:rsidRPr="00B64601">
        <w:t>TNT Freightways. Сегмент специализированных перевозок представляют компании</w:t>
      </w:r>
      <w:r>
        <w:t xml:space="preserve">, </w:t>
      </w:r>
      <w:r w:rsidRPr="00B64601">
        <w:t>занимающиеся доставкой посылок и других почтовых отправлений</w:t>
      </w:r>
      <w:r>
        <w:t xml:space="preserve">, </w:t>
      </w:r>
      <w:r w:rsidRPr="00B64601">
        <w:t>такие как UPS и FedEx. На рынке авиаперевозок стран НАФТА ведущие позиции принадлежат компаниям FedEx и UPS Overnight</w:t>
      </w:r>
      <w:r>
        <w:t xml:space="preserve">, </w:t>
      </w:r>
      <w:r w:rsidRPr="00B64601">
        <w:t>а на рынке железнодорожных перевозок лидирует Union Pacific</w:t>
      </w:r>
      <w:r>
        <w:t xml:space="preserve">, </w:t>
      </w:r>
      <w:r w:rsidRPr="00B64601">
        <w:t>Canada North и Canada Pacific.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 Североамериканском рынке складских услуг на сегодняшний день компании United Parcel Service (UPS) и Caterpillar остаются лидерами среди частных складских операторов</w:t>
      </w:r>
      <w:r>
        <w:t xml:space="preserve">, </w:t>
      </w:r>
      <w:r w:rsidRPr="00B64601">
        <w:t>DHL-Exel Supply Chain</w:t>
      </w:r>
      <w:r>
        <w:t xml:space="preserve">, </w:t>
      </w:r>
      <w:r w:rsidRPr="00B64601">
        <w:t>(ранее известная как Exel) — крупнейшим ЗРL-оператором (с общим доходом в области контрактной логистики 3</w:t>
      </w:r>
      <w:r>
        <w:t xml:space="preserve">, </w:t>
      </w:r>
      <w:r w:rsidRPr="00B64601">
        <w:t>4 млрд. долл. США в год)</w:t>
      </w:r>
      <w:r>
        <w:t xml:space="preserve">, </w:t>
      </w:r>
      <w:r w:rsidRPr="00B64601">
        <w:t>а фирма AmeriCold Logistics все еще располагает крупнейшими объемами рефрижераторных складов. Среди крупнейших канадских операторов — Congebec</w:t>
      </w:r>
      <w:r>
        <w:t xml:space="preserve">, </w:t>
      </w:r>
      <w:r w:rsidRPr="00B64601">
        <w:t>находящийся в Квебеке; мексиканских — Frialsa Frigorificos (обе компании являются операторами рефрижераторных складов). В последнее время значительно распространены услуги так называемых промежуточных складов (англ. — Cross-dock warehouses)</w:t>
      </w:r>
      <w:r>
        <w:t xml:space="preserve">, </w:t>
      </w:r>
      <w:r w:rsidRPr="00B64601">
        <w:t>которые</w:t>
      </w:r>
      <w:r>
        <w:t xml:space="preserve">, </w:t>
      </w:r>
      <w:r w:rsidRPr="00B64601">
        <w:t>главным образом</w:t>
      </w:r>
      <w:r>
        <w:t xml:space="preserve">, </w:t>
      </w:r>
      <w:r w:rsidRPr="00B64601">
        <w:t>используются для перегрузки груза с одного транспортного средства на другое. К операторам</w:t>
      </w:r>
      <w:r>
        <w:t xml:space="preserve">, </w:t>
      </w:r>
      <w:r w:rsidRPr="00B64601">
        <w:t>предоставляющим подобные услуги принадлежат компании ВАХ</w:t>
      </w:r>
      <w:r>
        <w:t xml:space="preserve">, </w:t>
      </w:r>
      <w:r w:rsidRPr="00B64601">
        <w:t>EGL</w:t>
      </w:r>
      <w:r>
        <w:t xml:space="preserve">, </w:t>
      </w:r>
      <w:r w:rsidRPr="00B64601">
        <w:t>Inc. and Expeditors.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Средняя площадь складов общего пользования в Северной Америке составляет 315 тыс. кв. футов. В отдельных регионах Соединенных Штатов площадь колеблется от 265</w:t>
      </w:r>
      <w:r>
        <w:t xml:space="preserve">, </w:t>
      </w:r>
      <w:r w:rsidRPr="00B64601">
        <w:t>000 до 375</w:t>
      </w:r>
      <w:r>
        <w:t xml:space="preserve">, </w:t>
      </w:r>
      <w:r w:rsidRPr="00B64601">
        <w:t>000 квадратных футов. Наибольший спрос на складские услуги характерен для Центрального и Западного регионов США</w:t>
      </w:r>
      <w:r>
        <w:t xml:space="preserve">, </w:t>
      </w:r>
      <w:r w:rsidRPr="00B64601">
        <w:t>а также для региона Среднего Запада.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Особенности использования геопространственного и картографического подхода в транспортно-логистической деятельности американских 3PL-провайдеров можно рассмотреть на примере компании Ozburn-Hessey Logistic. Корпоративную территориальную организацию ее логистической системы</w:t>
      </w:r>
      <w:r>
        <w:t xml:space="preserve">, </w:t>
      </w:r>
      <w:r w:rsidRPr="00B64601">
        <w:t>а именно: прохождение логистических коммуникаций и размещение логистических терминалов на территории Соединенных Штатов</w:t>
      </w:r>
      <w:r>
        <w:t xml:space="preserve">, </w:t>
      </w:r>
      <w:r w:rsidRPr="00B64601">
        <w:t>отражают корпоративные карты минимальных сроков перевозок с неполной транзитной нормой (LTL Transit)</w:t>
      </w:r>
      <w:r>
        <w:t xml:space="preserve">, </w:t>
      </w:r>
      <w:r w:rsidRPr="00B64601">
        <w:t>который осуществляет компания ОН Logistics (рис. 6</w:t>
      </w:r>
      <w:r>
        <w:t xml:space="preserve">, </w:t>
      </w:r>
      <w:r w:rsidRPr="00B64601">
        <w:t>7)</w:t>
      </w:r>
      <w:r>
        <w:t xml:space="preserve">, </w:t>
      </w:r>
      <w:r w:rsidRPr="00B64601">
        <w:t>от главного дистрибуционного центра в Чикаго.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58" type="#_x0000_t75" style="width:198.75pt;height:172.5pt">
            <v:imagedata r:id="rId10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Минимальные сроки перевозок с неполной транзитной нормой (LTL Transit)</w:t>
      </w:r>
      <w:r>
        <w:t xml:space="preserve">, </w:t>
      </w:r>
      <w:r w:rsidRPr="00B64601">
        <w:t>который осуществляет компания ОН Logistics</w:t>
      </w:r>
      <w:r>
        <w:t xml:space="preserve">, </w:t>
      </w:r>
      <w:r w:rsidRPr="00B64601">
        <w:t>от главного дистрибуционного центра в Чикаго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Сроки доставки мелких грузов</w:t>
      </w:r>
      <w:r>
        <w:t xml:space="preserve">, </w:t>
      </w:r>
      <w:r w:rsidRPr="00B64601">
        <w:t>которая входит в число базовых транспортно-логистических услуг</w:t>
      </w:r>
      <w:r>
        <w:t xml:space="preserve">, </w:t>
      </w:r>
      <w:r w:rsidRPr="00B64601">
        <w:t>иллюстрирует картосхема минимальных сроков доставки посылок компанией ОН Logistics от главного дистрибуционного центра в Чикаго (рис. 7). Из картосхемы видно</w:t>
      </w:r>
      <w:r>
        <w:t xml:space="preserve">, </w:t>
      </w:r>
      <w:r w:rsidRPr="00B64601">
        <w:t xml:space="preserve">что компания установила минимальные сроки доставки посылок в пределах страны от одного до семи дней. Наибольшую продолжительность имеет доставка посылок на Гавайи. 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61" type="#_x0000_t75" style="width:198.75pt;height:162pt">
            <v:imagedata r:id="rId11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Минимальные сроки доставки посылок компанией ОН Logistics от главного дистрибуционного центра в Чикаго 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Рассмотрим особенности развития логистики в странах-участницах НАФТА. По данным американских специалистов по операционному менеджменту отраслевая структура экономики США выглядит следующим образом: обрабатывающая промышленность – 18 %</w:t>
      </w:r>
      <w:r>
        <w:t xml:space="preserve">, </w:t>
      </w:r>
      <w:r w:rsidRPr="00B64601">
        <w:t>аграрные добывающие отрасли и строительство – 6 %</w:t>
      </w:r>
      <w:r>
        <w:t xml:space="preserve">, </w:t>
      </w:r>
      <w:r w:rsidRPr="00B64601">
        <w:t>сфера услуг – 76 % (сюда относится государственно-управленческий сектор</w:t>
      </w:r>
      <w:r>
        <w:t xml:space="preserve">, </w:t>
      </w:r>
      <w:r w:rsidRPr="00B64601">
        <w:t>сектор питания</w:t>
      </w:r>
      <w:r>
        <w:t xml:space="preserve">, </w:t>
      </w:r>
      <w:r w:rsidRPr="00B64601">
        <w:t>риэлтерский</w:t>
      </w:r>
      <w:r>
        <w:t xml:space="preserve">, </w:t>
      </w:r>
      <w:r w:rsidRPr="00B64601">
        <w:t>страховой</w:t>
      </w:r>
      <w:r>
        <w:t xml:space="preserve">, </w:t>
      </w:r>
      <w:r w:rsidRPr="00B64601">
        <w:t>торговля</w:t>
      </w:r>
      <w:r>
        <w:t xml:space="preserve">, </w:t>
      </w:r>
      <w:r w:rsidRPr="00B64601">
        <w:t>транспорт</w:t>
      </w:r>
      <w:r>
        <w:t xml:space="preserve">, </w:t>
      </w:r>
      <w:r w:rsidRPr="00B64601">
        <w:t>медицина</w:t>
      </w:r>
      <w:r>
        <w:t xml:space="preserve">, </w:t>
      </w:r>
      <w:r w:rsidRPr="00B64601">
        <w:t>ремонт и обслуживание).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США. Результаты исследований</w:t>
      </w:r>
      <w:r>
        <w:t xml:space="preserve">, </w:t>
      </w:r>
      <w:r w:rsidRPr="00B64601">
        <w:t>проведенных американскими специалистами по логистическому менеджменту</w:t>
      </w:r>
      <w:r>
        <w:t xml:space="preserve">, </w:t>
      </w:r>
      <w:r w:rsidRPr="00B64601">
        <w:t>позволяют сделать вывод</w:t>
      </w:r>
      <w:r>
        <w:t xml:space="preserve">, </w:t>
      </w:r>
      <w:r w:rsidRPr="00B64601">
        <w:t>что операции связанные с логистикой</w:t>
      </w:r>
      <w:r>
        <w:t xml:space="preserve">, </w:t>
      </w:r>
      <w:r w:rsidRPr="00B64601">
        <w:t>занимают в обрабатывающей промышленности от 24% до 32%</w:t>
      </w:r>
      <w:r>
        <w:t xml:space="preserve">, </w:t>
      </w:r>
      <w:r w:rsidRPr="00B64601">
        <w:t>в строительстве</w:t>
      </w:r>
      <w:r>
        <w:t xml:space="preserve">, </w:t>
      </w:r>
      <w:r w:rsidRPr="00B64601">
        <w:t>горнодобывающей и других отраслях — от 17 до 26 %</w:t>
      </w:r>
      <w:r>
        <w:t xml:space="preserve">, </w:t>
      </w:r>
      <w:r w:rsidRPr="00B64601">
        <w:t>в сфере услуг — четвертую часть. Компании США были первыми в мире по применению логистических подходов с целью оптимизации взаимосвязей своих предприятий с партнерами по бизнесу. Так</w:t>
      </w:r>
      <w:r>
        <w:t xml:space="preserve">, </w:t>
      </w:r>
      <w:r w:rsidRPr="00B64601">
        <w:t>еще в 1920-х гг. элементы современной логистической системы «Точно в срок» (JIT) применялись на заводах Форда в Детройте с полным циклом производства автомобилей.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Современное развитие рынка логистических услуг в США несколько отличается от Европы</w:t>
      </w:r>
      <w:r>
        <w:t xml:space="preserve">, </w:t>
      </w:r>
      <w:r w:rsidRPr="00B64601">
        <w:t>где логистические фирмы ищут пути развития в условиях евроинтеграции</w:t>
      </w:r>
      <w:r>
        <w:t xml:space="preserve">, </w:t>
      </w:r>
      <w:r w:rsidRPr="00B64601">
        <w:t>и Азии</w:t>
      </w:r>
      <w:r>
        <w:t xml:space="preserve">, </w:t>
      </w:r>
      <w:r w:rsidRPr="00B64601">
        <w:t>где государственные границы еще сильно влияют на логистические решения. После создания НАФТА образовался самый большой по территории регион мира со свободным движением товаров. Это создало хозяйственную среду</w:t>
      </w:r>
      <w:r>
        <w:t xml:space="preserve">, </w:t>
      </w:r>
      <w:r w:rsidRPr="00B64601">
        <w:t>в которой компании могут без всяких ограничений выбирать оптимальные варианты размещения производственных мощностей и сбытовых зон</w:t>
      </w:r>
      <w:r>
        <w:t xml:space="preserve">, </w:t>
      </w:r>
      <w:r w:rsidRPr="00B64601">
        <w:t>и</w:t>
      </w:r>
      <w:r>
        <w:t xml:space="preserve">, </w:t>
      </w:r>
      <w:r w:rsidRPr="00B64601">
        <w:t>таким образом</w:t>
      </w:r>
      <w:r>
        <w:t xml:space="preserve">, </w:t>
      </w:r>
      <w:r w:rsidRPr="00B64601">
        <w:t>стимулировало поиск эффективных логистических решений. Перед производителями США встал вопрос — выполнять логистические операции самостоятельно или обратится к услугам специализированных логистических фирм. По словам Дж.Т.Менцера</w:t>
      </w:r>
      <w:r>
        <w:t xml:space="preserve">, </w:t>
      </w:r>
      <w:r w:rsidRPr="00B64601">
        <w:t>профессора логистики университета Теннесси</w:t>
      </w:r>
      <w:r>
        <w:t xml:space="preserve">, </w:t>
      </w:r>
      <w:r w:rsidRPr="00B64601">
        <w:t>компании обнаружили</w:t>
      </w:r>
      <w:r>
        <w:t xml:space="preserve">, </w:t>
      </w:r>
      <w:r w:rsidRPr="00B64601">
        <w:t>что применяя эффективные логистические решения</w:t>
      </w:r>
      <w:r>
        <w:t xml:space="preserve">, </w:t>
      </w:r>
      <w:r w:rsidRPr="00B64601">
        <w:t>они могут сократить объем запасов на 40%. Поэтому все больше американских промышленных и торговых корпораций инвестируют в логистику.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 данным Совета по логистическому менеджменту более 70% крупнейших корпораций США пользуются услугами специализированных логистических фирм. Причем компании ищут единого логистического оператора</w:t>
      </w:r>
      <w:r>
        <w:t xml:space="preserve">, </w:t>
      </w:r>
      <w:r w:rsidRPr="00B64601">
        <w:t>которому можно было бы доверить всю совокупность операций по поставке или сбыту определенных товаров. Поэтому на логистическом рынке США также происходит слияние фирм и образование более мощных структур</w:t>
      </w:r>
      <w:r>
        <w:t xml:space="preserve">, </w:t>
      </w:r>
      <w:r w:rsidRPr="00B64601">
        <w:t>примером чего является приобретение компанией «Federal Express» фирмы «Caliber System» вместе с ее логистическим подразделением за 2</w:t>
      </w:r>
      <w:r>
        <w:t xml:space="preserve">, </w:t>
      </w:r>
      <w:r w:rsidRPr="00B64601">
        <w:t>7 млрд. долл. США. Еще одна причина</w:t>
      </w:r>
      <w:r>
        <w:t xml:space="preserve">, </w:t>
      </w:r>
      <w:r w:rsidRPr="00B64601">
        <w:t>почему промышленные и торговые компании США все чаще прибегают к услугам специализированных логистических фирм</w:t>
      </w:r>
      <w:r>
        <w:t xml:space="preserve">, </w:t>
      </w:r>
      <w:r w:rsidRPr="00B64601">
        <w:t>— растущая сложность логистических решений в условиях применения электронной техники и Интернет.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64" type="#_x0000_t75" style="width:418.5pt;height:573pt">
            <v:imagedata r:id="rId12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Классификация логистических услуг предложенная Комиссией США по международной торговле (United States International Trade Commission) 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Поэтому в США активно развивается следующая ступень развития логистических услуг — это фирмы-консультанты по вопросам логистики (или 4PL). Классификация логистических услуг согласно Комиссии США по международной торговле представлена на рис. 8.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 результатам исследований Armstong &amp; Associates и Piper Jaffray общие логистические затраты в США в 1998 году составляли 898 млрд. долл. США</w:t>
      </w:r>
      <w:r>
        <w:t xml:space="preserve">, </w:t>
      </w:r>
      <w:r w:rsidRPr="00B64601">
        <w:t>из них примерно две трети можно было потенциально передать специализированным логистическим фирмам или ЗРL-провайдерам. То есть наявный и потенциальный рынок аутсорсинга (3PL) в США составлял на 1998г. 606 млрд. долл. США. Структура рынка логистики в США представлена на рис. 9. Доходы 3PL провайдеров в 2001г. по данным Armstrong and Associates составили 56 млрд. долл. США. На протяжении последних 20 лет доходы 3PL провайдеров выросли в 27 раз. По оценкам экспертов</w:t>
      </w:r>
      <w:r>
        <w:t xml:space="preserve">, </w:t>
      </w:r>
      <w:r w:rsidRPr="00B64601">
        <w:t>динамика роста рынка 3PL услуг в США составляет 18%</w:t>
      </w:r>
      <w:r>
        <w:t xml:space="preserve"> - </w:t>
      </w:r>
      <w:r w:rsidRPr="00B64601">
        <w:t>22% в год.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67" type="#_x0000_t75" style="width:259.5pt;height:110.25pt">
            <v:imagedata r:id="rId13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Структура рынка логистики США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Расходы на логистику в бизнес-секторе национальной экономики США сопоставимы с расходами на здравоохранение. Они еще в </w:t>
      </w:r>
      <w:smartTag w:uri="urn:schemas-microsoft-com:office:smarttags" w:element="metricconverter">
        <w:smartTagPr>
          <w:attr w:name="ProductID" w:val="2000 г"/>
        </w:smartTagPr>
        <w:r w:rsidRPr="00B64601">
          <w:t>2000 г</w:t>
        </w:r>
      </w:smartTag>
      <w:r w:rsidRPr="00B64601">
        <w:t>. превысили 1 трлн. долл. США</w:t>
      </w:r>
      <w:r>
        <w:t xml:space="preserve">, </w:t>
      </w:r>
      <w:r w:rsidRPr="00B64601">
        <w:t>и</w:t>
      </w:r>
      <w:r>
        <w:t xml:space="preserve">, </w:t>
      </w:r>
      <w:r w:rsidRPr="00B64601">
        <w:t>несмотря на снижение в 2001-2003 гг.</w:t>
      </w:r>
      <w:r>
        <w:t xml:space="preserve">, </w:t>
      </w:r>
      <w:r w:rsidRPr="00B64601">
        <w:t xml:space="preserve">имеют общую тенденцию к дальнейшему росту. Так </w:t>
      </w:r>
      <w:smartTag w:uri="urn:schemas-microsoft-com:office:smarttags" w:element="metricconverter">
        <w:smartTagPr>
          <w:attr w:name="ProductID" w:val="2004 г"/>
        </w:smartTagPr>
        <w:r w:rsidRPr="00B64601">
          <w:t>2004 г</w:t>
        </w:r>
      </w:smartTag>
      <w:r w:rsidRPr="00B64601">
        <w:t>. они составили 1027 млрд. долл. США</w:t>
      </w:r>
      <w:r>
        <w:t xml:space="preserve">, </w:t>
      </w:r>
      <w:r w:rsidRPr="00B64601">
        <w:t xml:space="preserve">а 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</w:t>
      </w:r>
      <w:r>
        <w:t xml:space="preserve">, </w:t>
      </w:r>
      <w:r w:rsidRPr="00B64601">
        <w:t xml:space="preserve">по сравнению с </w:t>
      </w:r>
      <w:smartTag w:uri="urn:schemas-microsoft-com:office:smarttags" w:element="metricconverter">
        <w:smartTagPr>
          <w:attr w:name="ProductID" w:val="1998 г"/>
        </w:smartTagPr>
        <w:r w:rsidRPr="00B64601">
          <w:t>1998 г</w:t>
        </w:r>
      </w:smartTag>
      <w:r>
        <w:t xml:space="preserve">, </w:t>
      </w:r>
      <w:r w:rsidRPr="00B64601">
        <w:t>выросли на 22</w:t>
      </w:r>
      <w:r>
        <w:t xml:space="preserve">, </w:t>
      </w:r>
      <w:r w:rsidRPr="00B64601">
        <w:t>1 % и достигли 1183 млрд. долл. США (табл. 3)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3.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Абсолютные и относительные затраты на логистику в экономике США в 1990-2005 гг. (в текущих ценах) [11]</w:t>
      </w:r>
    </w:p>
    <w:tbl>
      <w:tblPr>
        <w:tblW w:w="7890" w:type="dxa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99"/>
        <w:gridCol w:w="2197"/>
        <w:gridCol w:w="2334"/>
      </w:tblGrid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Год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ВВП США</w:t>
            </w:r>
            <w:r>
              <w:t xml:space="preserve">, </w:t>
            </w:r>
          </w:p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млрд. долл.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Расходы на</w:t>
            </w:r>
          </w:p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логистику</w:t>
            </w:r>
            <w:r>
              <w:t xml:space="preserve">, </w:t>
            </w:r>
            <w:r w:rsidRPr="00B64601">
              <w:t xml:space="preserve">млрд. долл. </w:t>
            </w:r>
          </w:p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дол. США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 xml:space="preserve">Доля расходов на логистику в ВВП (%) 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1990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5804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659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11</w:t>
            </w:r>
            <w:r>
              <w:t xml:space="preserve">, </w:t>
            </w:r>
            <w:r w:rsidRPr="00B64601">
              <w:t>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1991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5996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635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6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1992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6338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636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1993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6657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660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</w:t>
            </w:r>
            <w:r>
              <w:t xml:space="preserve">, </w:t>
            </w:r>
            <w:r w:rsidRPr="00B64601">
              <w:t>9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1994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7072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712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1995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7398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773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1996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7817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801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1997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8304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850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1998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8747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898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1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1999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9268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922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</w:t>
            </w:r>
            <w:r>
              <w:t xml:space="preserve">, </w:t>
            </w:r>
            <w:r w:rsidRPr="00B64601">
              <w:t>9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2000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9817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1007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  <w:r>
              <w:t xml:space="preserve">, </w:t>
            </w:r>
            <w:r w:rsidRPr="00B64601">
              <w:t>3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2001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10128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966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</w:t>
            </w:r>
            <w:r>
              <w:t xml:space="preserve">, </w:t>
            </w:r>
            <w:r w:rsidRPr="00B64601">
              <w:t>5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2002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10487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917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  <w:r>
              <w:t xml:space="preserve">, </w:t>
            </w:r>
            <w:r w:rsidRPr="00B64601">
              <w:t>7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2003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11004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947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  <w:r>
              <w:t xml:space="preserve">, </w:t>
            </w:r>
            <w:r w:rsidRPr="00B64601">
              <w:t>6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2004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11735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1027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  <w:r>
              <w:t xml:space="preserve">, </w:t>
            </w:r>
            <w:r w:rsidRPr="00B64601">
              <w:t>8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2005</w:t>
            </w:r>
          </w:p>
        </w:tc>
        <w:tc>
          <w:tcPr>
            <w:tcW w:w="193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12490</w:t>
            </w:r>
          </w:p>
        </w:tc>
        <w:tc>
          <w:tcPr>
            <w:tcW w:w="24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1183</w:t>
            </w:r>
          </w:p>
        </w:tc>
        <w:tc>
          <w:tcPr>
            <w:tcW w:w="291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</w:t>
            </w:r>
            <w:r>
              <w:t xml:space="preserve">, </w:t>
            </w:r>
            <w:r w:rsidRPr="00B64601">
              <w:t>5</w:t>
            </w:r>
          </w:p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Наибольший удельный вес в структуре логистических издержек в экономике США приходится на расходы по содержанию запасов и транспортные расходы</w:t>
      </w:r>
      <w:r>
        <w:t xml:space="preserve">, </w:t>
      </w:r>
      <w:r w:rsidRPr="00B64601">
        <w:t>на которые</w:t>
      </w:r>
      <w:r>
        <w:t xml:space="preserve">, </w:t>
      </w:r>
      <w:r w:rsidRPr="00B64601">
        <w:t xml:space="preserve">начиная с </w:t>
      </w:r>
      <w:smartTag w:uri="urn:schemas-microsoft-com:office:smarttags" w:element="metricconverter">
        <w:smartTagPr>
          <w:attr w:name="ProductID" w:val="1990 г"/>
        </w:smartTagPr>
        <w:r w:rsidRPr="00B64601">
          <w:t>1990 г</w:t>
        </w:r>
      </w:smartTag>
      <w:r w:rsidRPr="00B64601">
        <w:t>.</w:t>
      </w:r>
      <w:r>
        <w:t xml:space="preserve">, </w:t>
      </w:r>
      <w:r w:rsidRPr="00B64601">
        <w:t>вместе приходится более 95 %. Так</w:t>
      </w:r>
      <w:r>
        <w:t xml:space="preserve">, </w:t>
      </w:r>
      <w:r w:rsidRPr="00B64601"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 доля логистических затрат на содержание запасов составила — 33</w:t>
      </w:r>
      <w:r>
        <w:t xml:space="preserve">, </w:t>
      </w:r>
      <w:r w:rsidRPr="00B64601">
        <w:t>2 %</w:t>
      </w:r>
      <w:r>
        <w:t xml:space="preserve">, </w:t>
      </w:r>
      <w:r w:rsidRPr="00B64601">
        <w:t>транспортных — 62</w:t>
      </w:r>
      <w:r>
        <w:t xml:space="preserve">, </w:t>
      </w:r>
      <w:r w:rsidRPr="00B64601">
        <w:t>9 %</w:t>
      </w:r>
      <w:r>
        <w:t xml:space="preserve">, </w:t>
      </w:r>
      <w:r w:rsidRPr="00B64601">
        <w:t>(вместе 96</w:t>
      </w:r>
      <w:r>
        <w:t xml:space="preserve">, </w:t>
      </w:r>
      <w:r w:rsidRPr="00B64601">
        <w:t>1 %)</w:t>
      </w:r>
      <w:r>
        <w:t xml:space="preserve">, </w:t>
      </w:r>
      <w:r w:rsidRPr="00B64601">
        <w:t>административных — 3</w:t>
      </w:r>
      <w:r>
        <w:t xml:space="preserve">, </w:t>
      </w:r>
      <w:r w:rsidRPr="00B64601">
        <w:t>9 %. Динамику структуры логистических издержек в США можно проиллюстрировать с помощью графической интерпретации статистических данных (рис. 10).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70" type="#_x0000_t75" style="width:309pt;height:129.75pt">
            <v:imagedata r:id="rId14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Динамика структуры расходов на логистику в экономике США с 1990 по 2005 гг.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В аутсорсинговом логистическом бизнесе США</w:t>
      </w:r>
      <w:r>
        <w:t xml:space="preserve">, </w:t>
      </w:r>
      <w:r w:rsidRPr="00B64601">
        <w:t>равно как и в других странах мира</w:t>
      </w:r>
      <w:r>
        <w:t xml:space="preserve">, </w:t>
      </w:r>
      <w:r w:rsidRPr="00B64601">
        <w:t>действуют две основные группы специализированных фирм: с собственным парком транспортных средств</w:t>
      </w:r>
      <w:r>
        <w:t xml:space="preserve">, </w:t>
      </w:r>
      <w:r w:rsidRPr="00B64601">
        <w:t>подъемно-транспортного и другого оборудования</w:t>
      </w:r>
      <w:r>
        <w:t xml:space="preserve">, </w:t>
      </w:r>
      <w:r w:rsidRPr="00B64601">
        <w:t>а также складскими мощностями (asset-based) и посреднические (nonasset-based). К последней относится</w:t>
      </w:r>
      <w:r>
        <w:t xml:space="preserve">, </w:t>
      </w:r>
      <w:r w:rsidRPr="00B64601">
        <w:t>например</w:t>
      </w:r>
      <w:r>
        <w:t xml:space="preserve">, </w:t>
      </w:r>
      <w:r w:rsidRPr="00B64601">
        <w:t>компания С. Н. Robinson (г. Миннеаполис)</w:t>
      </w:r>
      <w:r>
        <w:t xml:space="preserve">, </w:t>
      </w:r>
      <w:r w:rsidRPr="00B64601">
        <w:t>организующая перевозки для своих клиентов</w:t>
      </w:r>
      <w:r>
        <w:t xml:space="preserve">, </w:t>
      </w:r>
      <w:r w:rsidRPr="00B64601">
        <w:t>взаимодействуя при этом примерно с 30 тыс. перевозчиков. Другая компания — Caterpillar Logistics координирует транспортировки грузов для своей материнской компании Caterpillar Inc. и еще примерно для 50 других своих партнеров. В отношении первой группы компаний</w:t>
      </w:r>
      <w:r>
        <w:t xml:space="preserve">, </w:t>
      </w:r>
      <w:r w:rsidRPr="00B64601">
        <w:t>основной деятельностью которых</w:t>
      </w:r>
      <w:r>
        <w:t xml:space="preserve">, </w:t>
      </w:r>
      <w:r w:rsidRPr="00B64601">
        <w:t>как правило</w:t>
      </w:r>
      <w:r>
        <w:t xml:space="preserve">, </w:t>
      </w:r>
      <w:r w:rsidRPr="00B64601">
        <w:t>являются грузовые перевозки</w:t>
      </w:r>
      <w:r>
        <w:t xml:space="preserve">, </w:t>
      </w:r>
      <w:r w:rsidRPr="00B64601">
        <w:t>то они часто предоставляют логистические услуги с высокой добавленной стоимостью. В частности</w:t>
      </w:r>
      <w:r>
        <w:t xml:space="preserve">, </w:t>
      </w:r>
      <w:r w:rsidRPr="00B64601">
        <w:t>подразделение Penske Corp</w:t>
      </w:r>
      <w:r>
        <w:t xml:space="preserve">, </w:t>
      </w:r>
      <w:r w:rsidRPr="00B64601">
        <w:t>занимающейся лизингом грузовиков</w:t>
      </w:r>
      <w:r>
        <w:t xml:space="preserve">, </w:t>
      </w:r>
      <w:r w:rsidRPr="00B64601">
        <w:t>предлагает такие виды сервиса</w:t>
      </w:r>
      <w:r>
        <w:t xml:space="preserve">, </w:t>
      </w:r>
      <w:r w:rsidRPr="00B64601">
        <w:t>как менеджмент и складирование</w:t>
      </w:r>
      <w:r>
        <w:t xml:space="preserve">, </w:t>
      </w:r>
      <w:r w:rsidRPr="00B64601">
        <w:t>используя собственный парк из 200 тыс. автомобилей. На рынке логистических услуг США выделяются десять компаний — логистических операторов</w:t>
      </w:r>
      <w:r>
        <w:t xml:space="preserve">, </w:t>
      </w:r>
      <w:r w:rsidRPr="00B64601">
        <w:t>входящих в число 25 крупнейших ЗРL-провайдеров мира (по показателю дохода в млрд. долл. США</w:t>
      </w:r>
      <w:r>
        <w:t xml:space="preserve">, </w:t>
      </w:r>
      <w:r w:rsidRPr="00B64601">
        <w:t>суммарный доход — 27 млрд.) (табл. 4).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4.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Крупнейшие специализированные логистические фирмы США</w:t>
      </w:r>
      <w:r>
        <w:t xml:space="preserve">, </w:t>
      </w:r>
      <w:r w:rsidRPr="00B64601">
        <w:t>входящих в число 25 крупнейших ЗРL-провайдеров мира [11]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102"/>
        <w:gridCol w:w="1717"/>
        <w:gridCol w:w="4983"/>
      </w:tblGrid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№ з/п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 xml:space="preserve">Название фирмы 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Валовой</w:t>
            </w:r>
          </w:p>
          <w:p w:rsidR="00FB6483" w:rsidRPr="00B64601" w:rsidRDefault="00FB6483" w:rsidP="00C9454D">
            <w:r w:rsidRPr="00B64601">
              <w:t>доход (млрд.</w:t>
            </w:r>
          </w:p>
          <w:p w:rsidR="00FB6483" w:rsidRPr="00B64601" w:rsidRDefault="00FB6483" w:rsidP="00C9454D">
            <w:r w:rsidRPr="00B64601">
              <w:t>долл. США</w:t>
            </w:r>
            <w:r>
              <w:t xml:space="preserve">, </w:t>
            </w:r>
          </w:p>
          <w:p w:rsidR="00FB6483" w:rsidRPr="00B64601" w:rsidRDefault="00FB6483" w:rsidP="00C9454D">
            <w:smartTag w:uri="urn:schemas-microsoft-com:office:smarttags" w:element="metricconverter">
              <w:smartTagPr>
                <w:attr w:name="ProductID" w:val="2005 г"/>
              </w:smartTagPr>
              <w:r w:rsidRPr="00B64601">
                <w:t>2005 г</w:t>
              </w:r>
            </w:smartTag>
            <w:r w:rsidRPr="00B64601">
              <w:t>.)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Перечень предоставляемых услуг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UPS Supply Chain Solutions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4‚100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Морское и воздушное експедиторство</w:t>
            </w:r>
            <w:r>
              <w:t xml:space="preserve">, </w:t>
            </w:r>
            <w:r w:rsidRPr="00B64601">
              <w:t>таможенная очистка товаров</w:t>
            </w:r>
            <w:r>
              <w:t xml:space="preserve">, </w:t>
            </w:r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консалтинг по организации цепи поставок</w:t>
            </w:r>
            <w:r>
              <w:t xml:space="preserve">, </w:t>
            </w:r>
            <w:r w:rsidRPr="00B64601">
              <w:t>специальные контрактные перевозки</w:t>
            </w:r>
            <w:r>
              <w:t xml:space="preserve">, </w:t>
            </w:r>
            <w:r w:rsidRPr="00B64601">
              <w:t>финансирование грузовых перевозок и страхования</w:t>
            </w:r>
            <w:r>
              <w:t xml:space="preserve">, </w:t>
            </w:r>
            <w:r w:rsidRPr="00B64601">
              <w:t>долгосрочная аренда оборудования (лизинг)</w:t>
            </w:r>
            <w:r>
              <w:t xml:space="preserve">, </w:t>
            </w:r>
            <w:r w:rsidRPr="00B64601">
              <w:t>почтовые услуги.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C.H. Robinson Worldwide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</w:t>
            </w:r>
            <w:r>
              <w:t xml:space="preserve">, </w:t>
            </w:r>
            <w:r w:rsidRPr="00B64601">
              <w:t>600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Услуги таможенных брокеров</w:t>
            </w:r>
            <w:r>
              <w:t xml:space="preserve">, </w:t>
            </w:r>
            <w:r w:rsidRPr="00B64601">
              <w:t>морское и воздушное експедиторство</w:t>
            </w:r>
            <w:r>
              <w:t xml:space="preserve">, </w:t>
            </w:r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</w:t>
            </w:r>
            <w:r>
              <w:t xml:space="preserve">, </w:t>
            </w:r>
            <w:r w:rsidRPr="00B64601">
              <w:t>рекламная логистика.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 xml:space="preserve">Menlo Worldwide </w:t>
            </w:r>
          </w:p>
          <w:p w:rsidR="00FB6483" w:rsidRPr="00B64601" w:rsidRDefault="00FB6483" w:rsidP="00C9454D">
            <w:r w:rsidRPr="00B64601">
              <w:t>(US)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</w:t>
            </w:r>
            <w:r>
              <w:t xml:space="preserve">, </w:t>
            </w:r>
            <w:r w:rsidRPr="00B64601">
              <w:t>100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воздушные грузоперевозки</w:t>
            </w:r>
            <w:r>
              <w:t xml:space="preserve">, </w:t>
            </w:r>
            <w:r w:rsidRPr="00B64601">
              <w:t>услуги таможенных брокеров</w:t>
            </w:r>
            <w:r>
              <w:t xml:space="preserve">, </w:t>
            </w:r>
            <w:r w:rsidRPr="00B64601">
              <w:t>консалтинг по организации цепи поставок</w:t>
            </w:r>
            <w:r>
              <w:t xml:space="preserve">, </w:t>
            </w:r>
            <w:r w:rsidRPr="00B64601">
              <w:t>управление возвращенным грузами.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4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Expeditors International of Washington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</w:t>
            </w:r>
            <w:r>
              <w:t xml:space="preserve">, </w:t>
            </w:r>
            <w:r w:rsidRPr="00B64601">
              <w:t>600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Воздушное експедиторство</w:t>
            </w:r>
            <w:r>
              <w:t xml:space="preserve">, </w:t>
            </w:r>
            <w:r w:rsidRPr="00B64601">
              <w:t>услуги таможенных брокеров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консалтинг по организации цепи поставок.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5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Penske Logistics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</w:t>
            </w:r>
            <w:r>
              <w:t xml:space="preserve">, </w:t>
            </w:r>
            <w:r w:rsidRPr="00B64601">
              <w:t>500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Специальные перевозки на условиях контракта</w:t>
            </w:r>
            <w:r>
              <w:t xml:space="preserve">, </w:t>
            </w:r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долгосрочная аренда оборудования.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6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Eagle Global Logistics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</w:t>
            </w:r>
            <w:r>
              <w:t xml:space="preserve">, </w:t>
            </w:r>
            <w:r w:rsidRPr="00B64601">
              <w:t>200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Морское и воздушное експедиторство</w:t>
            </w:r>
            <w:r>
              <w:t xml:space="preserve">, </w:t>
            </w:r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услуги таможенных брокеров</w:t>
            </w:r>
            <w:r>
              <w:t xml:space="preserve">, </w:t>
            </w:r>
            <w:r w:rsidRPr="00B64601">
              <w:t>проектный менеджмент.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7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BAX Global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Воздушное експедиторство</w:t>
            </w:r>
            <w:r>
              <w:t xml:space="preserve">, </w:t>
            </w:r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консалтинг по организации цепи поставок</w:t>
            </w:r>
            <w:r>
              <w:t xml:space="preserve">, </w:t>
            </w:r>
            <w:r w:rsidRPr="00B64601">
              <w:t>финансирования и аудит грузовых перевозок</w:t>
            </w:r>
            <w:r>
              <w:t xml:space="preserve">, </w:t>
            </w:r>
            <w:r w:rsidRPr="00B64601">
              <w:t>таможенная очистка товаров.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8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Ryder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</w:t>
            </w:r>
            <w:r>
              <w:t xml:space="preserve">, </w:t>
            </w:r>
            <w:r w:rsidRPr="00B64601">
              <w:t>900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Консалтинг по организации цепи поставок</w:t>
            </w:r>
            <w:r>
              <w:t xml:space="preserve">, </w:t>
            </w:r>
            <w:r w:rsidRPr="00B64601">
              <w:t>управление перевозками</w:t>
            </w:r>
            <w:r>
              <w:t xml:space="preserve">, </w:t>
            </w:r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специальные грузоперевозки на условиях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/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/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/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контракта</w:t>
            </w:r>
            <w:r>
              <w:t xml:space="preserve">, </w:t>
            </w:r>
            <w:r w:rsidRPr="00B64601">
              <w:t>морское и воздушное</w:t>
            </w:r>
          </w:p>
          <w:p w:rsidR="00FB6483" w:rsidRPr="00B64601" w:rsidRDefault="00FB6483" w:rsidP="00C9454D">
            <w:r w:rsidRPr="00B64601">
              <w:t>експедитторство</w:t>
            </w:r>
            <w:r>
              <w:t xml:space="preserve">, </w:t>
            </w:r>
            <w:r w:rsidRPr="00B64601">
              <w:t>долгосрочная аренда</w:t>
            </w:r>
          </w:p>
          <w:p w:rsidR="00FB6483" w:rsidRPr="00B64601" w:rsidRDefault="00FB6483" w:rsidP="00C9454D">
            <w:r w:rsidRPr="00B64601">
              <w:t>оборудования</w:t>
            </w:r>
            <w:r>
              <w:t xml:space="preserve">, </w:t>
            </w:r>
            <w:r w:rsidRPr="00B64601">
              <w:t>финансирования и аудит</w:t>
            </w:r>
            <w:r>
              <w:t xml:space="preserve">, </w:t>
            </w:r>
          </w:p>
          <w:p w:rsidR="00FB6483" w:rsidRPr="00B64601" w:rsidRDefault="00FB6483" w:rsidP="00C9454D">
            <w:r w:rsidRPr="00B64601">
              <w:t>страхования</w:t>
            </w:r>
            <w:r>
              <w:t xml:space="preserve">, </w:t>
            </w:r>
            <w:r w:rsidRPr="00B64601">
              <w:t>управлшня возвращенным</w:t>
            </w:r>
          </w:p>
          <w:p w:rsidR="00FB6483" w:rsidRPr="00B64601" w:rsidRDefault="00FB6483" w:rsidP="00C9454D">
            <w:r w:rsidRPr="00B64601">
              <w:t>грузами.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9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Schneider Logistics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</w:t>
            </w:r>
            <w:r>
              <w:t xml:space="preserve">, </w:t>
            </w:r>
            <w:r w:rsidRPr="00B64601">
              <w:t>900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Управление перевозками</w:t>
            </w:r>
            <w:r>
              <w:t xml:space="preserve">, </w:t>
            </w:r>
            <w:r w:rsidRPr="00B64601">
              <w:t>консалтинг по организации цепи поставок</w:t>
            </w:r>
            <w:r>
              <w:t xml:space="preserve">, </w:t>
            </w:r>
            <w:r w:rsidRPr="00B64601">
              <w:t>специальные грузоперевозки на условиях контракта</w:t>
            </w:r>
            <w:r>
              <w:t xml:space="preserve">, </w:t>
            </w:r>
            <w:r w:rsidRPr="00B64601">
              <w:t>финансирование и аудит грузовых перевозок.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10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UTi Worldwide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</w:t>
            </w:r>
            <w:r>
              <w:t xml:space="preserve">, </w:t>
            </w:r>
            <w:r w:rsidRPr="00B64601">
              <w:t>200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Морское и воздушное експедиторство</w:t>
            </w:r>
            <w:r>
              <w:t xml:space="preserve">, </w:t>
            </w:r>
            <w:r w:rsidRPr="00B64601">
              <w:t>таможенная очистка товаров</w:t>
            </w:r>
            <w:r>
              <w:t xml:space="preserve">, </w:t>
            </w:r>
            <w:r w:rsidRPr="00B64601">
              <w:t>складирование и дистрибуция.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11</w:t>
            </w:r>
          </w:p>
        </w:tc>
        <w:tc>
          <w:tcPr>
            <w:tcW w:w="108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Caterpillar Logistics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257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Складирование и дистрибуция</w:t>
            </w:r>
            <w:r>
              <w:t xml:space="preserve">, </w:t>
            </w:r>
            <w:r w:rsidRPr="00B64601">
              <w:t>транспортный менеджмент</w:t>
            </w:r>
            <w:r>
              <w:t xml:space="preserve">, </w:t>
            </w:r>
            <w:r w:rsidRPr="00B64601">
              <w:t>консультационные услуги.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12</w:t>
            </w:r>
          </w:p>
        </w:tc>
        <w:tc>
          <w:tcPr>
            <w:tcW w:w="1087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 xml:space="preserve">FedEx Supply Chain </w:t>
            </w:r>
          </w:p>
          <w:p w:rsidR="00FB6483" w:rsidRPr="00B64601" w:rsidRDefault="00FB6483" w:rsidP="00C9454D">
            <w:r w:rsidRPr="00B64601">
              <w:t>Services</w:t>
            </w:r>
          </w:p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0</w:t>
            </w:r>
            <w:r>
              <w:t xml:space="preserve">, </w:t>
            </w:r>
            <w:r w:rsidRPr="00B64601">
              <w:t>603</w:t>
            </w:r>
          </w:p>
        </w:tc>
        <w:tc>
          <w:tcPr>
            <w:tcW w:w="2577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Управление внутренними и</w:t>
            </w:r>
          </w:p>
          <w:p w:rsidR="00FB6483" w:rsidRPr="00B64601" w:rsidRDefault="00FB6483" w:rsidP="00C9454D">
            <w:r w:rsidRPr="00B64601">
              <w:t>международными транспортными перевозками</w:t>
            </w:r>
            <w:r>
              <w:t xml:space="preserve">, </w:t>
            </w:r>
            <w:r w:rsidRPr="00B64601">
              <w:t>таможенная очистка товаров и грузоперевозки</w:t>
            </w:r>
            <w:r>
              <w:t xml:space="preserve">, </w:t>
            </w:r>
            <w:r w:rsidRPr="00B64601">
              <w:t>услуги таможенных брокеров</w:t>
            </w:r>
            <w:r>
              <w:t xml:space="preserve">, </w:t>
            </w:r>
            <w:r w:rsidRPr="00B64601">
              <w:t>консалтинг по организации цепи поставок</w:t>
            </w:r>
            <w:r>
              <w:t xml:space="preserve">, </w:t>
            </w:r>
            <w:r w:rsidRPr="00B64601">
              <w:t>складирование и дистрибуция.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44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/>
        </w:tc>
        <w:tc>
          <w:tcPr>
            <w:tcW w:w="108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483" w:rsidRPr="00B64601" w:rsidRDefault="00FB6483" w:rsidP="00C9454D"/>
        </w:tc>
        <w:tc>
          <w:tcPr>
            <w:tcW w:w="8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/>
        </w:tc>
        <w:tc>
          <w:tcPr>
            <w:tcW w:w="257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483" w:rsidRPr="00B64601" w:rsidRDefault="00FB6483" w:rsidP="00C9454D"/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Целом</w:t>
      </w:r>
      <w:r>
        <w:t xml:space="preserve">, </w:t>
      </w:r>
      <w:r w:rsidRPr="00B64601">
        <w:t>в структуре рынка услуг США по перевозкам грузов по показателю грузооборота преобладают автомобильные (52%) и авиаперевозки (31%) (рис. 11).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73" type="#_x0000_t75" style="width:274.5pt;height:71.25pt">
            <v:imagedata r:id="rId15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Структура рынка грузоперевозок США</w:t>
      </w:r>
      <w:r>
        <w:t xml:space="preserve">, </w:t>
      </w:r>
      <w:r w:rsidRPr="00B64601">
        <w:t>2005 год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Что касается региональных особенностей рынка транспортно-логистических услуг</w:t>
      </w:r>
      <w:r>
        <w:t xml:space="preserve">, </w:t>
      </w:r>
      <w:r w:rsidRPr="00B64601">
        <w:t>США то автомобильные и водные перевозки преобладают на востоке страны (рис. 12). Причем объем автомобильных перевозок колеблется в пределах 14 587 — 25 978 (и более) тонно-километров</w:t>
      </w:r>
      <w:r>
        <w:t xml:space="preserve">, </w:t>
      </w:r>
      <w:r w:rsidRPr="00B64601">
        <w:t>а водных (главным образом по системе рек Миссисипи — Огайо) — от 8 628 до 18 416 тонно-километров. Перевозки грузов по железной дороге преобладают в центральных штатах страны (объемы перевозок от 18 507 до 37 608 тонно-километров) и</w:t>
      </w:r>
      <w:r>
        <w:t xml:space="preserve">, </w:t>
      </w:r>
      <w:r w:rsidRPr="00B64601">
        <w:t>частично</w:t>
      </w:r>
      <w:r>
        <w:t xml:space="preserve">, </w:t>
      </w:r>
      <w:r w:rsidRPr="00B64601">
        <w:t>на востоке (17 200 до 21640 тонно-километров). Из картосхемы видно</w:t>
      </w:r>
      <w:r>
        <w:t xml:space="preserve">, </w:t>
      </w:r>
      <w:r w:rsidRPr="00B64601">
        <w:t>что в перевозках грузов на большие расстояния (перевозка запад — восток и наоборот) ведущую роль играют воздушные (объем до 39 тыс. тонно-километров) и мультимодальные (объем до 988 тыс. тонно-километров) перевозки.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76" type="#_x0000_t75" style="width:259.5pt;height:209.25pt">
            <v:imagedata r:id="rId16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Направления грузовых перевозок между штатами США [15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Услуги по мультимодальным перевозкам на рынке логистики США предоставляет железнодорожная компания Union Pacific</w:t>
      </w:r>
      <w:r>
        <w:t xml:space="preserve">, </w:t>
      </w:r>
      <w:r w:rsidRPr="00B64601">
        <w:t>которая приобрела автотранспортную фирму Overnight Express</w:t>
      </w:r>
      <w:r>
        <w:t xml:space="preserve">, </w:t>
      </w:r>
      <w:r w:rsidRPr="00B64601">
        <w:t>развивает деловое сотрудничество с такими мощными автотранспортными фирмами</w:t>
      </w:r>
      <w:r>
        <w:t xml:space="preserve">, </w:t>
      </w:r>
      <w:r w:rsidRPr="00B64601">
        <w:t>как JB. Hunt и Schielder National.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В последние несколько лет фирмы</w:t>
      </w:r>
      <w:r>
        <w:t xml:space="preserve">, </w:t>
      </w:r>
      <w:r w:rsidRPr="00B64601">
        <w:t>которые осуществляют операции по экспресс-доставке грузов</w:t>
      </w:r>
      <w:r>
        <w:t xml:space="preserve">, </w:t>
      </w:r>
      <w:r w:rsidRPr="00B64601">
        <w:t>значительно расширили свои предложения логистических услуг. В частности</w:t>
      </w:r>
      <w:r>
        <w:t xml:space="preserve">, </w:t>
      </w:r>
      <w:r w:rsidRPr="00B64601">
        <w:t xml:space="preserve">еще в </w:t>
      </w:r>
      <w:smartTag w:uri="urn:schemas-microsoft-com:office:smarttags" w:element="metricconverter">
        <w:smartTagPr>
          <w:attr w:name="ProductID" w:val="2001 г"/>
        </w:smartTagPr>
        <w:r w:rsidRPr="00B64601">
          <w:t>2001 г</w:t>
        </w:r>
      </w:smartTag>
      <w:r w:rsidRPr="00B64601">
        <w:t xml:space="preserve">. FedEx Corp. начала реорганизацию своего логистического сектора для обеспечения управления перевозками и обслуживания через подразделение FedEx Services. После серии приобретений 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</w:t>
      </w:r>
      <w:r>
        <w:t xml:space="preserve">, </w:t>
      </w:r>
      <w:r w:rsidRPr="00B64601">
        <w:t>которые были связаны с перестройкой логистики</w:t>
      </w:r>
      <w:r>
        <w:t xml:space="preserve">, </w:t>
      </w:r>
      <w:r w:rsidRPr="00B64601">
        <w:t>компания UPS также объявила о создании специализированного подразделения Supply Chain Solutions</w:t>
      </w:r>
      <w:r>
        <w:t xml:space="preserve">, </w:t>
      </w:r>
      <w:r w:rsidRPr="00B64601">
        <w:t>что должно объединить ресурсы различных дочерних предприятий. Как UPS</w:t>
      </w:r>
      <w:r>
        <w:t xml:space="preserve">, </w:t>
      </w:r>
      <w:r w:rsidRPr="00B64601">
        <w:t>так и FedEx рассматривают логистику как основной компонент своей стратегии развития. Региональные особенности складского хозяйства США показаны в табл. 5.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5.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Региональные особенности услуг складов общего пользования США [13]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1373"/>
        <w:gridCol w:w="1615"/>
        <w:gridCol w:w="1232"/>
        <w:gridCol w:w="1423"/>
        <w:gridCol w:w="1423"/>
        <w:gridCol w:w="1230"/>
      </w:tblGrid>
      <w:tr w:rsidR="00FB6483" w:rsidRPr="00B64601" w:rsidTr="00C9454D">
        <w:trPr>
          <w:tblCellSpacing w:w="0" w:type="dxa"/>
        </w:trPr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 xml:space="preserve">Регион 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Средний размер</w:t>
            </w:r>
          </w:p>
          <w:p w:rsidR="00FB6483" w:rsidRPr="00B64601" w:rsidRDefault="00FB6483" w:rsidP="00C9454D">
            <w:r w:rsidRPr="00B64601">
              <w:t>состава (в футах)</w:t>
            </w:r>
          </w:p>
        </w:tc>
        <w:tc>
          <w:tcPr>
            <w:tcW w:w="83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Средняя</w:t>
            </w:r>
          </w:p>
          <w:p w:rsidR="00FB6483" w:rsidRPr="00B64601" w:rsidRDefault="00FB6483" w:rsidP="00C9454D">
            <w:r w:rsidRPr="00B64601">
              <w:t>количество</w:t>
            </w:r>
          </w:p>
          <w:p w:rsidR="00FB6483" w:rsidRPr="00B64601" w:rsidRDefault="00FB6483" w:rsidP="00C9454D">
            <w:r w:rsidRPr="00B64601">
              <w:t>клиентов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Оплата за одну паллету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Оплата за</w:t>
            </w:r>
          </w:p>
          <w:p w:rsidR="00FB6483" w:rsidRPr="00B64601" w:rsidRDefault="00FB6483" w:rsidP="00C9454D">
            <w:r w:rsidRPr="00B64601">
              <w:t>хранения</w:t>
            </w:r>
          </w:p>
          <w:p w:rsidR="00FB6483" w:rsidRPr="00B64601" w:rsidRDefault="00FB6483" w:rsidP="00C9454D">
            <w:r w:rsidRPr="00B64601">
              <w:t>одной</w:t>
            </w:r>
          </w:p>
          <w:p w:rsidR="00FB6483" w:rsidRPr="00B64601" w:rsidRDefault="00FB6483" w:rsidP="00C9454D">
            <w:r w:rsidRPr="00B64601">
              <w:t>коробки (масса &lt;15</w:t>
            </w:r>
          </w:p>
          <w:p w:rsidR="00FB6483" w:rsidRPr="00B64601" w:rsidRDefault="00FB6483" w:rsidP="00C9454D">
            <w:r w:rsidRPr="00B64601">
              <w:t>фунтов)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Оплата за</w:t>
            </w:r>
          </w:p>
          <w:p w:rsidR="00FB6483" w:rsidRPr="00B64601" w:rsidRDefault="00FB6483" w:rsidP="00C9454D">
            <w:r w:rsidRPr="00B64601">
              <w:t>хранения</w:t>
            </w:r>
          </w:p>
          <w:p w:rsidR="00FB6483" w:rsidRPr="00B64601" w:rsidRDefault="00FB6483" w:rsidP="00C9454D">
            <w:r w:rsidRPr="00B64601">
              <w:t>одной</w:t>
            </w:r>
          </w:p>
          <w:p w:rsidR="00FB6483" w:rsidRPr="00B64601" w:rsidRDefault="00FB6483" w:rsidP="00C9454D">
            <w:r w:rsidRPr="00B64601">
              <w:t>коробки (масса&gt; 15</w:t>
            </w:r>
          </w:p>
          <w:p w:rsidR="00FB6483" w:rsidRPr="00B64601" w:rsidRDefault="00FB6483" w:rsidP="00C9454D">
            <w:r w:rsidRPr="00B64601">
              <w:t>фунтов)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Оплата</w:t>
            </w:r>
          </w:p>
          <w:p w:rsidR="00FB6483" w:rsidRPr="00B64601" w:rsidRDefault="00FB6483" w:rsidP="00C9454D">
            <w:r w:rsidRPr="00B64601">
              <w:t>в час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Центр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355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83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26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$6.30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$.32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$.48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$28.62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Средний Запад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375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83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23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$6.78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$.31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$.49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$29.27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Северо-Восток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334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83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11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$5.63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$.25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$.55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$30.35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Юго-Восток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265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83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15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$5.61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$.21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$.33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$28.06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Запад</w:t>
            </w:r>
          </w:p>
        </w:tc>
        <w:tc>
          <w:tcPr>
            <w:tcW w:w="7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286</w:t>
            </w:r>
            <w:r>
              <w:t xml:space="preserve">, </w:t>
            </w:r>
            <w:r w:rsidRPr="00B64601">
              <w:t>000</w:t>
            </w:r>
          </w:p>
        </w:tc>
        <w:tc>
          <w:tcPr>
            <w:tcW w:w="83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20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$6.35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$.65</w:t>
            </w:r>
          </w:p>
        </w:tc>
        <w:tc>
          <w:tcPr>
            <w:tcW w:w="7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$.77</w:t>
            </w:r>
          </w:p>
        </w:tc>
        <w:tc>
          <w:tcPr>
            <w:tcW w:w="6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r w:rsidRPr="00B64601">
              <w:t>$29.88</w:t>
            </w:r>
          </w:p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На рынке логистических услуг США получила существенное распространение концепция «just-in-time» («точно в срок»). Характерным примером успешного использования этой технологи является деятельность TNT Logistics</w:t>
      </w:r>
      <w:r>
        <w:t xml:space="preserve">, </w:t>
      </w:r>
      <w:r w:rsidRPr="00B64601">
        <w:t>дочерней компании голландской группы TPG</w:t>
      </w:r>
      <w:r>
        <w:t xml:space="preserve">, </w:t>
      </w:r>
      <w:r w:rsidRPr="00B64601">
        <w:t>управляющей внешними поставками комплектующих для американского автозавода BMW. TNT осуществляет мониторинг как поставок материалов и комплектующих на производство</w:t>
      </w:r>
      <w:r>
        <w:t xml:space="preserve">, </w:t>
      </w:r>
      <w:r w:rsidRPr="00B64601">
        <w:t>так и потоков информации о перевозке</w:t>
      </w:r>
      <w:r>
        <w:t xml:space="preserve">, </w:t>
      </w:r>
      <w:r w:rsidRPr="00B64601">
        <w:t>информируя о них менеджеров завода.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Американские компании в отраслях обрабатывающей промышленности также получают значительную экономию с помощью аутсорсинга логистических услуг. Например</w:t>
      </w:r>
      <w:r>
        <w:t xml:space="preserve">, </w:t>
      </w:r>
      <w:r w:rsidRPr="00B64601">
        <w:t>Lucent Technologies пересмотрела в 2005г. цепь поставок</w:t>
      </w:r>
      <w:r>
        <w:t xml:space="preserve">, </w:t>
      </w:r>
      <w:r w:rsidRPr="00B64601">
        <w:t>передав ключевые логистические функции подрядчикам. В результате компания сократила совокупное количество собственных складов с 300 до 54</w:t>
      </w:r>
      <w:r>
        <w:t xml:space="preserve">, </w:t>
      </w:r>
      <w:r w:rsidRPr="00B64601">
        <w:t>а объем материально-технических запасов — с 8 млрд. долл. США до 806 млн. долл. США; кроме того</w:t>
      </w:r>
      <w:r>
        <w:t xml:space="preserve">, </w:t>
      </w:r>
      <w:r w:rsidRPr="00B64601">
        <w:t>был модернизирован процесс закупок.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США также используют глобальную логистическую стратегию</w:t>
      </w:r>
      <w:r>
        <w:t xml:space="preserve">, </w:t>
      </w:r>
      <w:r w:rsidRPr="00B64601">
        <w:t>в частности во внешних экономических отношениях с Японией</w:t>
      </w:r>
      <w:r>
        <w:t xml:space="preserve">, </w:t>
      </w:r>
      <w:r w:rsidRPr="00B64601">
        <w:t>Южной Кореей и Китаем. При этом характерной чертой логистических связей «поставщик-потребитель» фирм США с их японскими</w:t>
      </w:r>
      <w:r>
        <w:t xml:space="preserve">, </w:t>
      </w:r>
      <w:r w:rsidRPr="00B64601">
        <w:t>южнокорейскими и китайскими поставщиками являются высокая ритмичность поставок и их короткие интервалы.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Канада. Логистические услуги в Канаде предоставляются как традиционными транспортными</w:t>
      </w:r>
      <w:r>
        <w:t xml:space="preserve">, </w:t>
      </w:r>
      <w:r w:rsidRPr="00B64601">
        <w:t>складскими и экспедиторскими фирмами</w:t>
      </w:r>
      <w:r>
        <w:t xml:space="preserve">, </w:t>
      </w:r>
      <w:r w:rsidRPr="00B64601">
        <w:t>так и аутсорсинговыми компаниями. Расходы на логистику составляют 12% ВВП страны (70</w:t>
      </w:r>
      <w:r>
        <w:t xml:space="preserve">, </w:t>
      </w:r>
      <w:r w:rsidRPr="00B64601">
        <w:t>191 млрд. долл. США). Объем канадского рынка логистики оценивается в 50 млрд. долл. США (2005г.)</w:t>
      </w:r>
      <w:r>
        <w:t xml:space="preserve">, </w:t>
      </w:r>
      <w:r w:rsidRPr="00B64601">
        <w:t>причем логистические сделки стоимостью еще 75 млрд. долл. США выполняются непосредственно фирмами без участия логистических посредников. Стоимость экспорта логистических услуг составляет 7</w:t>
      </w:r>
      <w:r>
        <w:t xml:space="preserve">, </w:t>
      </w:r>
      <w:r w:rsidRPr="00B64601">
        <w:t>6 млрд. долл. США</w:t>
      </w:r>
      <w:r>
        <w:t xml:space="preserve">, </w:t>
      </w:r>
      <w:r w:rsidRPr="00B64601">
        <w:t>что составляет 12% от общей стоимости экспортируемых услуг Канады. Зачастую фирмы пользуются услугами специализированных логистических фирм для выполнения следующих логистических операций: внутренние и международные перевозки</w:t>
      </w:r>
      <w:r>
        <w:t xml:space="preserve">, </w:t>
      </w:r>
      <w:r w:rsidRPr="00B64601">
        <w:t>экспедирование грузов и таможенная очистка товаров (рис. 13).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 канадской статистике услуги логистических провайдеров Канады делятся на три вида: 1) Asset-Based Transportation Services (ABTS) (только перевозки грузов) 2) Asset-Based Non-Transportation Services (ABNTS) (логистические услуги</w:t>
      </w:r>
      <w:r>
        <w:t xml:space="preserve">, </w:t>
      </w:r>
      <w:r w:rsidRPr="00B64601">
        <w:t>связанные с материальными потоками)</w:t>
      </w:r>
      <w:r>
        <w:t xml:space="preserve">, </w:t>
      </w:r>
      <w:r w:rsidRPr="00B64601">
        <w:t>3) Non-Asset Based Logistics Services (NABLS) (посредников).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79" type="#_x0000_t75" style="width:259.5pt;height:142.5pt">
            <v:imagedata r:id="rId17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Доля услуг</w:t>
      </w:r>
      <w:r>
        <w:t xml:space="preserve">, </w:t>
      </w:r>
      <w:r w:rsidRPr="00B64601">
        <w:t>предоставляемых ЗРL-провайдерами Канады (по видам логистических операций) [17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Услуги ABTS на рынке логистических услуг представлены логистическими провайдерами</w:t>
      </w:r>
      <w:r>
        <w:t xml:space="preserve">, </w:t>
      </w:r>
      <w:r w:rsidRPr="00B64601">
        <w:t>осуществляющих операции</w:t>
      </w:r>
      <w:r>
        <w:t xml:space="preserve">, </w:t>
      </w:r>
      <w:r w:rsidRPr="00B64601">
        <w:t>связанные лишь с перевозкой товаров. На этот вид услуг приходится 85% доходов логистической индустрии Канады</w:t>
      </w:r>
      <w:r>
        <w:t xml:space="preserve">, </w:t>
      </w:r>
      <w:r w:rsidRPr="00B64601">
        <w:t>причем на перевозку грузов приходится 42% логистических операций страны и 75% операций транспорта. Данная под-категория характеризуется активным применением элементов современной логистической системы «Точно в срок» и внедрением новейших технологий.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Услуги ABNTS (или услуги 3PL-провайдеров) включают логистические операции связанные с материальными потоками и управлением системами перевозки грузов по поручению клиента. В частности</w:t>
      </w:r>
      <w:r>
        <w:t xml:space="preserve">, </w:t>
      </w:r>
      <w:r w:rsidRPr="00B64601">
        <w:t>фирмы предоставляют услуги с добавленной стоимостью</w:t>
      </w:r>
      <w:r>
        <w:t xml:space="preserve">, </w:t>
      </w:r>
      <w:r w:rsidRPr="00B64601">
        <w:t>включающие участие в производственном процессе и упаковке</w:t>
      </w:r>
      <w:r>
        <w:t xml:space="preserve">, </w:t>
      </w:r>
      <w:r w:rsidRPr="00B64601">
        <w:t>управление административными операциями</w:t>
      </w:r>
      <w:r>
        <w:t xml:space="preserve">, </w:t>
      </w:r>
      <w:r w:rsidRPr="00B64601">
        <w:t>управление информационными системами (отслеживание движения грузопотоков)</w:t>
      </w:r>
      <w:r>
        <w:t xml:space="preserve">, </w:t>
      </w:r>
      <w:r w:rsidRPr="00B64601">
        <w:t>таможенную очистку товаров</w:t>
      </w:r>
      <w:r>
        <w:t xml:space="preserve">, </w:t>
      </w:r>
      <w:r w:rsidRPr="00B64601">
        <w:t>международное экспедирование грузов и консалтинг по организации цепей поставок. Наиболее распространенные услуги</w:t>
      </w:r>
      <w:r>
        <w:t xml:space="preserve">, </w:t>
      </w:r>
      <w:r w:rsidRPr="00B64601">
        <w:t>предоставляемые ЗРL-провайдерами Канады</w:t>
      </w:r>
      <w:r>
        <w:t xml:space="preserve">, </w:t>
      </w:r>
      <w:r w:rsidRPr="00B64601">
        <w:t>— это складирование</w:t>
      </w:r>
      <w:r>
        <w:t xml:space="preserve">, </w:t>
      </w:r>
      <w:r w:rsidRPr="00B64601">
        <w:t>внутренние и международные перевозки</w:t>
      </w:r>
      <w:r>
        <w:t xml:space="preserve">, </w:t>
      </w:r>
      <w:r w:rsidRPr="00B64601">
        <w:t>консультационные услуги</w:t>
      </w:r>
      <w:r>
        <w:t xml:space="preserve">, </w:t>
      </w:r>
      <w:r w:rsidRPr="00B64601">
        <w:t>консолидация грузов</w:t>
      </w:r>
      <w:r>
        <w:t xml:space="preserve">, </w:t>
      </w:r>
      <w:r w:rsidRPr="00B64601">
        <w:t>мультимодальные перевозки и т.п.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Услуги NABLS предоставляют провайдеры</w:t>
      </w:r>
      <w:r>
        <w:t xml:space="preserve">, </w:t>
      </w:r>
      <w:r w:rsidRPr="00B64601">
        <w:t>которые не имеют материальных активов. Они интегрируют логистические услуги разных компаний на условиях контракта (транспортировка</w:t>
      </w:r>
      <w:r>
        <w:t xml:space="preserve">, </w:t>
      </w:r>
      <w:r w:rsidRPr="00B64601">
        <w:t>складирование и др.)</w:t>
      </w:r>
      <w:r>
        <w:t xml:space="preserve">, </w:t>
      </w:r>
      <w:r w:rsidRPr="00B64601">
        <w:t>координируя и контролируя их деятельность через управление информационными потоками. Услуги NABLS являются наиболее прибыльными. Провайдеры этого типа предоставляют услуги по таможенной очистке товаров для 76% канадских фирм</w:t>
      </w:r>
      <w:r>
        <w:t xml:space="preserve">, </w:t>
      </w:r>
      <w:r w:rsidRPr="00B64601">
        <w:t>по таможенному оформлению грузов — для 78% и по экспедированию грузов — для 65%.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Совокупный доход компаний Канады</w:t>
      </w:r>
      <w:r>
        <w:t xml:space="preserve">, </w:t>
      </w:r>
      <w:r w:rsidRPr="00B64601">
        <w:t>занимающихся логистическими операциями</w:t>
      </w:r>
      <w:r>
        <w:t xml:space="preserve">, </w:t>
      </w:r>
      <w:r w:rsidRPr="00B64601"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 составил 38 млрд. долл. США</w:t>
      </w:r>
      <w:r>
        <w:t xml:space="preserve">, </w:t>
      </w:r>
      <w:r w:rsidRPr="00B64601">
        <w:t>причем 68% этой суммы пришлось на долю автомобильных грузоперевозок. Все больше канадских компаний переходит на организацию бизнеса на основе индивидуальных заказов</w:t>
      </w:r>
      <w:r>
        <w:t xml:space="preserve">, </w:t>
      </w:r>
      <w:r w:rsidRPr="00B64601">
        <w:t>минимизации складских запасов и доставки грузов точно в срок. Что касается структуры рынка логистики Канады</w:t>
      </w:r>
      <w:r>
        <w:t xml:space="preserve">, </w:t>
      </w:r>
      <w:r w:rsidRPr="00B64601">
        <w:t>то наибольшая доля приходится на автомобильные и железнодорожные перевозки</w:t>
      </w:r>
      <w:r>
        <w:t xml:space="preserve">, </w:t>
      </w:r>
      <w:r w:rsidRPr="00B64601">
        <w:t>а также на складское хозяйство (табл. 6).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6.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Структура рынка логистических услуг Канады</w:t>
      </w:r>
      <w:r>
        <w:t xml:space="preserve">, </w:t>
      </w:r>
      <w:r w:rsidRPr="00B64601">
        <w:t>% [17]</w:t>
      </w:r>
    </w:p>
    <w:tbl>
      <w:tblPr>
        <w:tblW w:w="4980" w:type="dxa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0"/>
        <w:gridCol w:w="1350"/>
      </w:tblGrid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Секторы рынке логистики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Доля</w:t>
            </w:r>
            <w:r>
              <w:t xml:space="preserve">, </w:t>
            </w:r>
            <w:r w:rsidRPr="00B64601">
              <w:t>%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Автомобильный транспорт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42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Складирование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15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Железнодорожный транспорт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Морской транспорт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Курьерская доставка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9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Воздушный транспорт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Другие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8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63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Вместе</w:t>
            </w:r>
          </w:p>
        </w:tc>
        <w:tc>
          <w:tcPr>
            <w:tcW w:w="135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100</w:t>
            </w:r>
          </w:p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На долю грузовых автомобильных перевозок приходится 90% совокупного грузооборота транспортной системы страны</w:t>
      </w:r>
      <w:r>
        <w:t xml:space="preserve">, </w:t>
      </w:r>
      <w:r w:rsidRPr="00B64601">
        <w:t xml:space="preserve">суммарные продажи сектора 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 составили 26 млрд. долл. США. Быстро растущей подотраслью канадской логистической индустрии является курьерская доставка с оборотом 3</w:t>
      </w:r>
      <w:r>
        <w:t xml:space="preserve">, </w:t>
      </w:r>
      <w:r w:rsidRPr="00B64601">
        <w:t xml:space="preserve">5 млрд. долл. США 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 Таким образом</w:t>
      </w:r>
      <w:r>
        <w:t xml:space="preserve">, </w:t>
      </w:r>
      <w:r w:rsidRPr="00B64601">
        <w:t>в структуре грузооборота Канады преобладают перевозки железнодорожным (66</w:t>
      </w:r>
      <w:r>
        <w:t xml:space="preserve">, </w:t>
      </w:r>
      <w:r w:rsidRPr="00B64601">
        <w:t>3%) и автомобильным (21</w:t>
      </w:r>
      <w:r>
        <w:t xml:space="preserve">, </w:t>
      </w:r>
      <w:r w:rsidRPr="00B64601">
        <w:t>4%) видами транспорта (рис. 14)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82" type="#_x0000_t75" style="width:211.5pt;height:99pt">
            <v:imagedata r:id="rId18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Структура рынка грузоперевозок Канады</w:t>
      </w:r>
      <w:r>
        <w:t xml:space="preserve">, </w:t>
      </w:r>
      <w:r w:rsidRPr="00B64601">
        <w:t>2005 год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Что касается региональных особенностей транспортно-логистических услуг в Канаде</w:t>
      </w:r>
      <w:r>
        <w:t xml:space="preserve">, </w:t>
      </w:r>
      <w:r w:rsidRPr="00B64601">
        <w:t>то железнодорожные перевозки имеют место практически во всех регионах страны и преобладают по дальности и объемам перевозимого груза. Автомобильные перевозки осуществляются между смежными провинциями на западе и востоке страны. Перевозки водным транспортом преобладают в районе Великих озер и залива Св. Лаврентия (рис. 15). Крупнейшими логистическими узлами на территории страны выступают Торонто и Монреаль.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 xml:space="preserve">Оборот железнодорожного транспорта 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 составил 5</w:t>
      </w:r>
      <w:r>
        <w:t xml:space="preserve">, </w:t>
      </w:r>
      <w:r w:rsidRPr="00B64601">
        <w:t>6 млрд. долл. США</w:t>
      </w:r>
      <w:r>
        <w:t xml:space="preserve">, </w:t>
      </w:r>
      <w:r w:rsidRPr="00B64601">
        <w:t>из них на долю двух крупнейших железнодорожных магистралей (Canada North и Canada Pacific) пришлось около 90 %. Межрегиональные перевозки составили 44% оборота отрасли</w:t>
      </w:r>
      <w:r>
        <w:t xml:space="preserve">, </w:t>
      </w:r>
      <w:r w:rsidRPr="00B64601">
        <w:t>международные — 29% и внутрирегиональные — 26%. При этом доля США составляла 32% всех отправлений грузов и 32% транзитных перевозок грузов в аэропорты и морские порты Канады. Авиационные грузоперевозки (750 млн. долл. США в 2005г.) обеспечивают 9</w:t>
      </w:r>
      <w:r>
        <w:t xml:space="preserve">, </w:t>
      </w:r>
      <w:r w:rsidRPr="00B64601">
        <w:t>3% совокупного оборота логистической индустрии Канады. Авиаперевозчики активно сотрудничают с курьерскими компаниями; много международных авиакомпаний предоставляют отправителям груза интегрированные логистические услуги</w:t>
      </w:r>
      <w:r>
        <w:t xml:space="preserve">, </w:t>
      </w:r>
      <w:r w:rsidRPr="00B64601">
        <w:t xml:space="preserve">активно инвестируют средства в информационные системы и сокращают временные окна для отгрузок. В структуре грузооборота морских портов Канады 85% приходится на международные грузы. Совокупный оборот канадских судоходных компаний в </w:t>
      </w:r>
      <w:smartTag w:uri="urn:schemas-microsoft-com:office:smarttags" w:element="metricconverter">
        <w:smartTagPr>
          <w:attr w:name="ProductID" w:val="2005 г"/>
        </w:smartTagPr>
        <w:r w:rsidRPr="00B64601">
          <w:t>2005 г</w:t>
        </w:r>
      </w:smartTag>
      <w:r w:rsidRPr="00B64601">
        <w:t>. составил 1</w:t>
      </w:r>
      <w:r>
        <w:t xml:space="preserve">, </w:t>
      </w:r>
      <w:r w:rsidRPr="00B64601">
        <w:t>6 млрд. долл. США</w:t>
      </w:r>
      <w:r>
        <w:t xml:space="preserve">, </w:t>
      </w:r>
      <w:r w:rsidRPr="00B64601">
        <w:t>из них 825 млн. долл. США пришлось на перевозку сырьевых товаров.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85" type="#_x0000_t75" style="width:279pt;height:225pt">
            <v:imagedata r:id="rId19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Направления грузоперевозок между провинциями Канады [15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Сейчас в Канаде насчитывается около 1</w:t>
      </w:r>
      <w:r>
        <w:t xml:space="preserve">, </w:t>
      </w:r>
      <w:r w:rsidRPr="00B64601">
        <w:t>1 тыс. экспедиторских компаний с годовым оборотом около 1</w:t>
      </w:r>
      <w:r>
        <w:t xml:space="preserve">, </w:t>
      </w:r>
      <w:r w:rsidRPr="00B64601">
        <w:t>1 млрд. долл. США. Основную часть доходов они получают от побочных видов деятельности</w:t>
      </w:r>
      <w:r>
        <w:t xml:space="preserve">, </w:t>
      </w:r>
      <w:r w:rsidRPr="00B64601">
        <w:t>в частности таможенного брокерства и складских услуг. Спрос на экспедиторские услуги стимулируется стремлением к минимизации складских запасов</w:t>
      </w:r>
      <w:r>
        <w:t xml:space="preserve">, </w:t>
      </w:r>
      <w:r w:rsidRPr="00B64601">
        <w:t>распространением практики поставок точно в срок и тенденцией к уменьшению единичного размера товарных партий. В стране действуют 335 таможенных брокеров с совокупным годовым оборотом более 400 млн. долл. США. Для многих из них профильным видом деятельности является экспедиторский бизнес и грузовые автоперевозки. Таможенные брокеры предоставляют комплексные логистические услуги</w:t>
      </w:r>
      <w:r>
        <w:t xml:space="preserve">, </w:t>
      </w:r>
      <w:r w:rsidRPr="00B64601">
        <w:t>включая мониторинг товарных запасов и отгрузок</w:t>
      </w:r>
      <w:r>
        <w:t xml:space="preserve">, </w:t>
      </w:r>
      <w:r w:rsidRPr="00B64601">
        <w:t>и участвуют в управлении поставками через альянсы с другими компаниями.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В складском хозяйстве Канады выделяются три основных вида складов: частные</w:t>
      </w:r>
      <w:r>
        <w:t xml:space="preserve">, </w:t>
      </w:r>
      <w:r w:rsidRPr="00B64601">
        <w:t>публичные (общего пользования) и контрактные. Компании</w:t>
      </w:r>
      <w:r>
        <w:t xml:space="preserve">, </w:t>
      </w:r>
      <w:r w:rsidRPr="00B64601">
        <w:t>предоставляющие услуги публичных и контрактных складов</w:t>
      </w:r>
      <w:r>
        <w:t xml:space="preserve">, </w:t>
      </w:r>
      <w:r w:rsidRPr="00B64601">
        <w:t>осуществляют также широкий диапазон дополнительных операций</w:t>
      </w:r>
      <w:r>
        <w:t xml:space="preserve">, </w:t>
      </w:r>
      <w:r w:rsidRPr="00B64601">
        <w:t>включая страхование</w:t>
      </w:r>
      <w:r>
        <w:t xml:space="preserve">, </w:t>
      </w:r>
      <w:r w:rsidRPr="00B64601">
        <w:t>оценку ущерба</w:t>
      </w:r>
      <w:r>
        <w:t xml:space="preserve">, </w:t>
      </w:r>
      <w:r w:rsidRPr="00B64601">
        <w:t>подготовку товарно-транспортных документов</w:t>
      </w:r>
      <w:r>
        <w:t xml:space="preserve">, </w:t>
      </w:r>
      <w:r w:rsidRPr="00B64601">
        <w:t>комплектацию грузовых партий</w:t>
      </w:r>
      <w:r>
        <w:t xml:space="preserve">, </w:t>
      </w:r>
      <w:r w:rsidRPr="00B64601">
        <w:t>местные автоперевозки</w:t>
      </w:r>
      <w:r>
        <w:t xml:space="preserve">, </w:t>
      </w:r>
      <w:r w:rsidRPr="00B64601">
        <w:t>расчеты за товары. На рынке складских услуг Канады ведущие позиции занимает американская компания USCO Logistics.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Большинство аутсорсинговых логистических компаний в Канаде занимаются данным бизнесом не более 10 лет. Аутсорсинговые контракты в сфере логистики заключаются</w:t>
      </w:r>
      <w:r>
        <w:t xml:space="preserve">, </w:t>
      </w:r>
      <w:r w:rsidRPr="00B64601">
        <w:t>как правило</w:t>
      </w:r>
      <w:r>
        <w:t xml:space="preserve">, </w:t>
      </w:r>
      <w:r w:rsidRPr="00B64601">
        <w:t>на срок 3-5 лет. На долю логистики приходится около 15% совокупного объема операций аутсорсинга в стране. Крупнейшими логистическими операторами Канады</w:t>
      </w:r>
      <w:r>
        <w:t xml:space="preserve">, </w:t>
      </w:r>
      <w:r w:rsidRPr="00B64601">
        <w:t>действующих как на национальном</w:t>
      </w:r>
      <w:r>
        <w:t xml:space="preserve">, </w:t>
      </w:r>
      <w:r w:rsidRPr="00B64601">
        <w:t>так и на региональном (Северная Америка) рынках логистических услуг являются следующие ЗРL-провайдеры: DC Canada Inc</w:t>
      </w:r>
      <w:r>
        <w:t xml:space="preserve">, </w:t>
      </w:r>
      <w:r w:rsidRPr="00B64601">
        <w:t>Instorage Distribution Ltd</w:t>
      </w:r>
      <w:r>
        <w:t xml:space="preserve">, </w:t>
      </w:r>
      <w:r w:rsidRPr="00B64601">
        <w:t>Lehman Logistics</w:t>
      </w:r>
      <w:r>
        <w:t xml:space="preserve">, </w:t>
      </w:r>
      <w:r w:rsidRPr="00B64601">
        <w:t>MacCosham Logistics.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Основными потребителями логистических услуг в Канаде являются компании обрабатывающей промышленности</w:t>
      </w:r>
      <w:r>
        <w:t xml:space="preserve">, </w:t>
      </w:r>
      <w:r w:rsidRPr="00B64601">
        <w:t>оптовой и розничной торговли</w:t>
      </w:r>
      <w:r>
        <w:t xml:space="preserve">, </w:t>
      </w:r>
      <w:r w:rsidRPr="00B64601">
        <w:t>обеспечивающие около половины рабочих мест в экономике страны (табл. 7).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Таблица 7.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Основные потребители логистических услуг в Канаде (2005г.) [17]</w:t>
      </w:r>
    </w:p>
    <w:tbl>
      <w:tblPr>
        <w:tblW w:w="7800" w:type="dxa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4"/>
        <w:gridCol w:w="2761"/>
        <w:gridCol w:w="2105"/>
      </w:tblGrid>
      <w:tr w:rsidR="00FB6483" w:rsidRPr="00B64601" w:rsidTr="00C9454D">
        <w:trPr>
          <w:tblCellSpacing w:w="0" w:type="dxa"/>
        </w:trPr>
        <w:tc>
          <w:tcPr>
            <w:tcW w:w="325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Отрасль</w:t>
            </w:r>
          </w:p>
        </w:tc>
        <w:tc>
          <w:tcPr>
            <w:tcW w:w="324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 xml:space="preserve">Количество </w:t>
            </w:r>
          </w:p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предприятий</w:t>
            </w:r>
            <w:r>
              <w:t xml:space="preserve">, </w:t>
            </w:r>
            <w:r w:rsidRPr="00B64601">
              <w:t>тыс.</w:t>
            </w:r>
          </w:p>
        </w:tc>
        <w:tc>
          <w:tcPr>
            <w:tcW w:w="256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 xml:space="preserve">Оборот 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64601">
                <w:t>2005 г</w:t>
              </w:r>
            </w:smartTag>
            <w:r w:rsidRPr="00B64601">
              <w:t>.</w:t>
            </w:r>
            <w:r>
              <w:t xml:space="preserve">, </w:t>
            </w:r>
            <w:r w:rsidRPr="00B64601">
              <w:t>млрд. долл. США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25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Обрабатывающая мышленность</w:t>
            </w:r>
          </w:p>
        </w:tc>
        <w:tc>
          <w:tcPr>
            <w:tcW w:w="324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35</w:t>
            </w:r>
          </w:p>
        </w:tc>
        <w:tc>
          <w:tcPr>
            <w:tcW w:w="256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326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25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Оптовая торговля</w:t>
            </w:r>
          </w:p>
        </w:tc>
        <w:tc>
          <w:tcPr>
            <w:tcW w:w="324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60</w:t>
            </w:r>
          </w:p>
        </w:tc>
        <w:tc>
          <w:tcPr>
            <w:tcW w:w="256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264</w:t>
            </w:r>
          </w:p>
        </w:tc>
      </w:tr>
      <w:tr w:rsidR="00FB6483" w:rsidRPr="00B64601" w:rsidTr="00C9454D">
        <w:trPr>
          <w:tblCellSpacing w:w="0" w:type="dxa"/>
        </w:trPr>
        <w:tc>
          <w:tcPr>
            <w:tcW w:w="325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Розничная торговля</w:t>
            </w:r>
          </w:p>
        </w:tc>
        <w:tc>
          <w:tcPr>
            <w:tcW w:w="3240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21</w:t>
            </w:r>
          </w:p>
        </w:tc>
        <w:tc>
          <w:tcPr>
            <w:tcW w:w="2565" w:type="dxa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483" w:rsidRPr="00B64601" w:rsidRDefault="00FB6483" w:rsidP="00C9454D">
            <w:pPr>
              <w:spacing w:before="120"/>
              <w:ind w:firstLine="567"/>
              <w:jc w:val="both"/>
            </w:pPr>
            <w:r w:rsidRPr="00B64601">
              <w:t>38</w:t>
            </w:r>
          </w:p>
        </w:tc>
      </w:tr>
    </w:tbl>
    <w:p w:rsidR="00FB6483" w:rsidRPr="00B64601" w:rsidRDefault="00FB6483" w:rsidP="00FB6483">
      <w:pPr>
        <w:spacing w:before="120"/>
        <w:ind w:firstLine="567"/>
        <w:jc w:val="both"/>
      </w:pPr>
      <w:r w:rsidRPr="00B64601">
        <w:t>По мнению канадских экспертов</w:t>
      </w:r>
      <w:r>
        <w:t xml:space="preserve">, </w:t>
      </w:r>
      <w:r w:rsidRPr="00B64601">
        <w:t>основными стимулами роста рынка логистических услуг Канады будут усиление значимости управления сетью поставок товаров в корпоративных деловых стратегиях и дальнейшее расширение использования практики аутсорсинга.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Мексика. Сегодня Мексика существенно отстает от своих северных соседей в развитии сферы логистики. Всего 30% крупных компаний этой страны имеют логистическую службу и только 32% компаний используют другие методы логистики</w:t>
      </w:r>
      <w:r>
        <w:t xml:space="preserve">, </w:t>
      </w:r>
      <w:r w:rsidRPr="00B64601">
        <w:t>в частности аутсорсинг логистических операций. В течение последних 10 лет транспортная отрасль Мексики развивалась с ежегодным темпом + 3-5 %</w:t>
      </w:r>
      <w:r>
        <w:t xml:space="preserve">, </w:t>
      </w:r>
      <w:r w:rsidRPr="00B64601">
        <w:t>при этом развитие соответствующей инфраструктуры отставало от потребностей национальной экономики</w:t>
      </w:r>
      <w:r>
        <w:t xml:space="preserve">, </w:t>
      </w:r>
      <w:r w:rsidRPr="00B64601">
        <w:t>что обусловило замедление скорости и рост издержек товарооборота. По оценке консалтинговой компании А. Т. Kearney</w:t>
      </w:r>
      <w:r>
        <w:t xml:space="preserve">, </w:t>
      </w:r>
      <w:r w:rsidRPr="00B64601">
        <w:t>на долю логистической отрасли приходится в целом 15</w:t>
      </w:r>
      <w:r>
        <w:t xml:space="preserve">, </w:t>
      </w:r>
      <w:r w:rsidRPr="00B64601">
        <w:t>3% ВВП страны или 1</w:t>
      </w:r>
      <w:r>
        <w:t xml:space="preserve">, </w:t>
      </w:r>
      <w:r w:rsidRPr="00B64601">
        <w:t>6 млрд. долл. США.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Большинство мексиканских компаний осуществляют перевозку своей продукции с помощью собственного парка транспортных средств</w:t>
      </w:r>
      <w:r>
        <w:t xml:space="preserve">, </w:t>
      </w:r>
      <w:r w:rsidRPr="00B64601">
        <w:t>обращая главное внимание на экономию расходов</w:t>
      </w:r>
      <w:r>
        <w:t xml:space="preserve">, </w:t>
      </w:r>
      <w:r w:rsidRPr="00B64601">
        <w:t>а не на своевременность доставки и общую эффективность. В результате средняя доля расходов на обращение в стоимости товаров в Мексике достигает 8% против 5% в более развитых странах. В структуре грузооборота Мексики существенно преобладают перевозки автомобильным (80</w:t>
      </w:r>
      <w:r>
        <w:t xml:space="preserve">, </w:t>
      </w:r>
      <w:r w:rsidRPr="00B64601">
        <w:t>3%)</w:t>
      </w:r>
      <w:r>
        <w:t xml:space="preserve">, </w:t>
      </w:r>
      <w:r w:rsidRPr="00B64601">
        <w:t>а также железнодорожным (9</w:t>
      </w:r>
      <w:r>
        <w:t xml:space="preserve">, </w:t>
      </w:r>
      <w:r w:rsidRPr="00B64601">
        <w:t>9 %) и водным видами транспорта (9</w:t>
      </w:r>
      <w:r>
        <w:t xml:space="preserve">, </w:t>
      </w:r>
      <w:r w:rsidRPr="00B64601">
        <w:t>0 %) (рис. 16).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88" type="#_x0000_t75" style="width:280.5pt;height:114.75pt">
            <v:imagedata r:id="rId20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Структура рынка грузоперевозок Мексики</w:t>
      </w:r>
      <w:r>
        <w:t xml:space="preserve">, </w:t>
      </w:r>
      <w:r w:rsidRPr="00B64601">
        <w:t>2005 год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Довольно интересна географическая направленность грузовых перевозок в Мексике (рис. 17). Так</w:t>
      </w:r>
      <w:r>
        <w:t xml:space="preserve">, </w:t>
      </w:r>
      <w:r w:rsidRPr="00B64601">
        <w:t>основные грузопотоки направлены от Мехико</w:t>
      </w:r>
      <w:r>
        <w:t xml:space="preserve">, </w:t>
      </w:r>
      <w:r w:rsidRPr="00B64601">
        <w:t>которое играет роль главного дистрибуционного узла страны</w:t>
      </w:r>
      <w:r>
        <w:t xml:space="preserve">, </w:t>
      </w:r>
      <w:r w:rsidRPr="00B64601">
        <w:t>в другие штаты</w:t>
      </w:r>
      <w:r>
        <w:t xml:space="preserve">, </w:t>
      </w:r>
      <w:r w:rsidRPr="00B64601">
        <w:t>при этом преобладают автомобильные и воздушные грузоперевозки. Перевозки водным транспортом направлены</w:t>
      </w:r>
      <w:r>
        <w:t xml:space="preserve">, </w:t>
      </w:r>
      <w:r w:rsidRPr="00B64601">
        <w:t>главным образом</w:t>
      </w:r>
      <w:r>
        <w:t xml:space="preserve">, </w:t>
      </w:r>
      <w:r w:rsidRPr="00B64601">
        <w:t>из Салина-Крус – крупнейшего порта Мексики на Тихоокеанском побережье.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 мнению экспертов Министерства торговли США</w:t>
      </w:r>
      <w:r>
        <w:t xml:space="preserve">, </w:t>
      </w:r>
      <w:r w:rsidRPr="00B64601">
        <w:t>в Мексике действуют чрезмерно строгие нормативы</w:t>
      </w:r>
      <w:r>
        <w:t xml:space="preserve">, </w:t>
      </w:r>
      <w:r w:rsidRPr="00B64601">
        <w:t>регулирующие сферу транспорта и препятствующие развитию конкуренции на рынке логистических услуг. Так</w:t>
      </w:r>
      <w:r>
        <w:t xml:space="preserve">, </w:t>
      </w:r>
      <w:r w:rsidRPr="00B64601">
        <w:t>иностранным операторам здесь запрещается использовать грузовики полной массой более 4 т. В результате зарубежным экспедиторам</w:t>
      </w:r>
      <w:r>
        <w:t xml:space="preserve">, </w:t>
      </w:r>
      <w:r w:rsidRPr="00B64601">
        <w:t>включая логистические компании</w:t>
      </w:r>
      <w:r>
        <w:t xml:space="preserve">, </w:t>
      </w:r>
      <w:r w:rsidRPr="00B64601">
        <w:t xml:space="preserve">приходится больше тратиться на использование малотоннажных фургонов для междугородных перевозок или сотрудничество с внутренними транспортными операторами. </w:t>
      </w:r>
    </w:p>
    <w:p w:rsidR="00FB6483" w:rsidRPr="00B64601" w:rsidRDefault="003D753B" w:rsidP="00FB6483">
      <w:pPr>
        <w:spacing w:before="120"/>
        <w:ind w:firstLine="567"/>
        <w:jc w:val="both"/>
      </w:pPr>
      <w:r>
        <w:pict>
          <v:shape id="_x0000_i1091" type="#_x0000_t75" style="width:240pt;height:171pt">
            <v:imagedata r:id="rId21" o:title=""/>
          </v:shape>
        </w:pic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Направления грузовых перевозок между штатами Мексики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К крупнейшим логистическим операторам Мексики принадлежит компания АВХ LOGISTICS Mexico</w:t>
      </w:r>
      <w:r>
        <w:t xml:space="preserve">, </w:t>
      </w:r>
      <w:r w:rsidRPr="00B64601">
        <w:t>предоставляющая разнообразные логистические услуги</w:t>
      </w:r>
      <w:r>
        <w:t xml:space="preserve">, </w:t>
      </w:r>
      <w:r w:rsidRPr="00B64601">
        <w:t>включая планирование</w:t>
      </w:r>
      <w:r>
        <w:t xml:space="preserve">, </w:t>
      </w:r>
      <w:r w:rsidRPr="00B64601">
        <w:t>морские и воздушные международные перевозки. Также на рынке логистических услуг стран НАФТА действуют такие мексиканские фирмы</w:t>
      </w:r>
      <w:r>
        <w:t xml:space="preserve">, </w:t>
      </w:r>
      <w:r w:rsidRPr="00B64601">
        <w:t>как Autolineas Mexicanas</w:t>
      </w:r>
      <w:r>
        <w:t xml:space="preserve">, </w:t>
      </w:r>
      <w:r w:rsidRPr="00B64601">
        <w:t>Exim Broker Transport</w:t>
      </w:r>
      <w:r>
        <w:t xml:space="preserve">, </w:t>
      </w:r>
      <w:r w:rsidRPr="00B64601">
        <w:t>Grupo TMM</w:t>
      </w:r>
      <w:r>
        <w:t xml:space="preserve">, </w:t>
      </w:r>
      <w:r w:rsidRPr="00B64601">
        <w:t>Pegaso Express и др.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После вступления в силу Соглашения о создании Североамериканской зоны свободной торговли (NAFTA)</w:t>
      </w:r>
      <w:r>
        <w:t xml:space="preserve">, </w:t>
      </w:r>
      <w:r w:rsidRPr="00B64601">
        <w:t>логистическая индустрия Мексики начала развиваться более быстрыми темпами</w:t>
      </w:r>
      <w:r>
        <w:t xml:space="preserve">, </w:t>
      </w:r>
      <w:r w:rsidRPr="00B64601">
        <w:t>опережающими рост ВВП. Этому во многом способствовало расширение торговли с США (более чем на 10% ежегодно) и растущая интеграция экономик США и Мексики. Среди крупнейших международных логистических компаний</w:t>
      </w:r>
      <w:r>
        <w:t xml:space="preserve">, </w:t>
      </w:r>
      <w:r w:rsidRPr="00B64601">
        <w:t>активно действующих на мексиканском рынке</w:t>
      </w:r>
      <w:r>
        <w:t xml:space="preserve">, </w:t>
      </w:r>
      <w:r w:rsidRPr="00B64601">
        <w:t>следует упомянуть ВАХ Global</w:t>
      </w:r>
      <w:r>
        <w:t xml:space="preserve">, </w:t>
      </w:r>
      <w:r w:rsidRPr="00B64601">
        <w:t>CH Robinson Worldwide</w:t>
      </w:r>
      <w:r>
        <w:t xml:space="preserve">, </w:t>
      </w:r>
      <w:r w:rsidRPr="00B64601">
        <w:t>Tompkins Associates</w:t>
      </w:r>
      <w:r>
        <w:t xml:space="preserve">, </w:t>
      </w:r>
      <w:r w:rsidRPr="00B64601">
        <w:t>ProModel Corp</w:t>
      </w:r>
      <w:r>
        <w:t xml:space="preserve">, </w:t>
      </w:r>
      <w:r w:rsidRPr="00B64601">
        <w:t>Menlo Worldwide</w:t>
      </w:r>
      <w:r>
        <w:t xml:space="preserve">, </w:t>
      </w:r>
      <w:r w:rsidRPr="00B64601">
        <w:t>USCO Logistics. Динамичный рост мексиканского импорта в последние десять лет значительно повысил потребности в складских мощностях и интегрированных логистических услугах. По мнению местных экспертов</w:t>
      </w:r>
      <w:r>
        <w:t xml:space="preserve">, </w:t>
      </w:r>
      <w:r w:rsidRPr="00B64601">
        <w:t xml:space="preserve">если распространение аутсорсинга логистических услуг к </w:t>
      </w:r>
      <w:smartTag w:uri="urn:schemas-microsoft-com:office:smarttags" w:element="metricconverter">
        <w:smartTagPr>
          <w:attr w:name="ProductID" w:val="2015 г"/>
        </w:smartTagPr>
        <w:r w:rsidRPr="00B64601">
          <w:t>2015 г</w:t>
        </w:r>
      </w:smartTag>
      <w:r w:rsidRPr="00B64601">
        <w:t>. достигнет хотя бы половины соответствующего показателя в Штатах</w:t>
      </w:r>
      <w:r>
        <w:t xml:space="preserve">, </w:t>
      </w:r>
      <w:r w:rsidRPr="00B64601">
        <w:t>то емкость этого рынка в Мексике составит 5 млрд. долл. США.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Выводы. Логистика выступает мощным фактором интенсификации интеграционных процессов в Северо-Американской зоне свободной торговли. Транспортно-логистическая деятельность имеет свои особенности и характерные черты в США</w:t>
      </w:r>
      <w:r>
        <w:t xml:space="preserve">, </w:t>
      </w:r>
      <w:r w:rsidRPr="00B64601">
        <w:t>Канаде и Мексике</w:t>
      </w:r>
      <w:r>
        <w:t xml:space="preserve">, </w:t>
      </w:r>
      <w:r w:rsidRPr="00B64601">
        <w:t>но объединение их усилий способствует созданию единого логистического пространства в пределах Северо-Американского континента</w:t>
      </w:r>
      <w:r>
        <w:t xml:space="preserve">, </w:t>
      </w:r>
      <w:r w:rsidRPr="00B64601">
        <w:t>что обеспечивает чрезвычайно высокую транспортную и экономическую эффективность. Несомненно опыт транспортно-логистической интеграции стран НАФТА будет интересен и полезен Украине</w:t>
      </w:r>
      <w:r>
        <w:t xml:space="preserve">, </w:t>
      </w:r>
      <w:r w:rsidRPr="00B64601">
        <w:t>которая сейчас также интегрируется в панъевропейскую и мировую транспортно-логистические системы.</w:t>
      </w:r>
    </w:p>
    <w:p w:rsidR="00FB6483" w:rsidRPr="00B64601" w:rsidRDefault="00FB6483" w:rsidP="00FB6483">
      <w:pPr>
        <w:spacing w:before="120"/>
        <w:jc w:val="center"/>
        <w:rPr>
          <w:b/>
          <w:sz w:val="28"/>
        </w:rPr>
      </w:pPr>
      <w:r w:rsidRPr="00B64601">
        <w:rPr>
          <w:b/>
          <w:sz w:val="28"/>
        </w:rPr>
        <w:t>Список литературы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1. Бауєрсокс Д.Дж</w:t>
      </w:r>
      <w:r>
        <w:t xml:space="preserve">, </w:t>
      </w:r>
      <w:r w:rsidRPr="00B64601">
        <w:t>Клосс Д.Дж. Логистика: интегрированная цепь поставок: Пер. с англ. М.: ЗАО „Олимп-Бизнес</w:t>
      </w:r>
      <w:r>
        <w:t xml:space="preserve">, </w:t>
      </w:r>
      <w:r w:rsidRPr="00B64601">
        <w:t>2005. – 640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2. Сток Дж.Р.</w:t>
      </w:r>
      <w:r>
        <w:t xml:space="preserve">, </w:t>
      </w:r>
      <w:r w:rsidRPr="00B64601">
        <w:t>Ламберт Д.М. Стратегическое управление логистикой: Пер. с англ. – М.: ИНФРА-М</w:t>
      </w:r>
      <w:r>
        <w:t xml:space="preserve">, </w:t>
      </w:r>
      <w:r w:rsidRPr="00B64601">
        <w:t>2005. – 797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3. Шапиро Дж. Моделирование цепи поставок/Пер. с англ. – СПб.: Питер</w:t>
      </w:r>
      <w:r>
        <w:t xml:space="preserve">, </w:t>
      </w:r>
      <w:r w:rsidRPr="00B64601">
        <w:t>2006. – 720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4. Уотерс Д. Логистика. Управление цепью поставок: Пер. с англ. – М.: ЮНИТИ-ДАНА</w:t>
      </w:r>
      <w:r>
        <w:t xml:space="preserve">, </w:t>
      </w:r>
      <w:r w:rsidRPr="00B64601">
        <w:t>2003. – 503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5. Джонсон Дж.</w:t>
      </w:r>
      <w:r>
        <w:t xml:space="preserve">, </w:t>
      </w:r>
      <w:r w:rsidRPr="00B64601">
        <w:t>Вуд Д.</w:t>
      </w:r>
      <w:r>
        <w:t xml:space="preserve">, </w:t>
      </w:r>
      <w:r w:rsidRPr="00B64601">
        <w:t>Вордлоу Д.</w:t>
      </w:r>
      <w:r>
        <w:t xml:space="preserve">, </w:t>
      </w:r>
      <w:r w:rsidRPr="00B64601">
        <w:t>Мерфи-мл. П. Современная логистика. – М.: И.Д. «Вільямс»</w:t>
      </w:r>
      <w:r>
        <w:t xml:space="preserve">, </w:t>
      </w:r>
      <w:r w:rsidRPr="00B64601">
        <w:t>2002. – 624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6. Сергеев В.И.</w:t>
      </w:r>
      <w:r>
        <w:t xml:space="preserve">, </w:t>
      </w:r>
      <w:r w:rsidRPr="00B64601">
        <w:t>Кизим А.А.</w:t>
      </w:r>
      <w:r>
        <w:t xml:space="preserve">, </w:t>
      </w:r>
      <w:r w:rsidRPr="00B64601">
        <w:t>Эльяшевич П.А. Глобальные логистические системы: Уч. пос. – СПб.: Бизнес-пресса</w:t>
      </w:r>
      <w:r>
        <w:t xml:space="preserve">, </w:t>
      </w:r>
      <w:r w:rsidRPr="00B64601">
        <w:t>2001 – 240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7. Смирнов І.Г. Логістика: просторово-територіальний вимір: Моногр. – К.: Обрії</w:t>
      </w:r>
      <w:r>
        <w:t xml:space="preserve">, </w:t>
      </w:r>
      <w:r w:rsidRPr="00B64601">
        <w:t>2004. – 335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8. Смирнов І.Г.</w:t>
      </w:r>
      <w:r>
        <w:t xml:space="preserve">, </w:t>
      </w:r>
      <w:r w:rsidRPr="00B64601">
        <w:t>Косарева Т.В. Транспортна логістика: Навч. посіб. – К.: ЦУЛ</w:t>
      </w:r>
      <w:r>
        <w:t xml:space="preserve">, </w:t>
      </w:r>
      <w:r w:rsidRPr="00B64601">
        <w:t>2008. – 224 с.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9. Смирнов І.Г. Хільчевська І.Г. Логістика у зовнішньоекономічній діяльності // Регулювання зовнішньоекономічної діяльності: Навч. пос. / За ред. І.І. Дахна. – К.: ЦУЛ</w:t>
      </w:r>
      <w:r>
        <w:t xml:space="preserve">, </w:t>
      </w:r>
      <w:r w:rsidRPr="00B64601">
        <w:t>2009. – С. 65-150.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10. Смирнов І.Г. Логістика туризму: Навч.пос. – К.: Знання</w:t>
      </w:r>
      <w:r>
        <w:t xml:space="preserve">, </w:t>
      </w:r>
      <w:r w:rsidRPr="00B64601">
        <w:t>2009. – 444с.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11. Foster T.A., Armstrong R. Top 25 Third Party Logistics Providers Extend Their Global Reach // Global Logistics Supply Chain Strategies. – 2004: May. – pp. 2-11.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 xml:space="preserve">12. Warehousing in </w:t>
      </w:r>
      <w:smartTag w:uri="urn:schemas-microsoft-com:office:smarttags" w:element="place">
        <w:r w:rsidRPr="00B64601">
          <w:rPr>
            <w:lang w:val="en-US"/>
          </w:rPr>
          <w:t>North America</w:t>
        </w:r>
      </w:smartTag>
      <w:r w:rsidRPr="00B64601">
        <w:rPr>
          <w:lang w:val="en-US"/>
        </w:rPr>
        <w:t xml:space="preserve"> – 2007. – NY, 2007. – 125 p.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13. Clifford L. Developing a Strategy for Outsoursing // Logistics Management and Distribution Report. – 2005. — № 6. – Volume 40. – pp. 7-15.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 xml:space="preserve">14. Logistics Services: An Overview of the Global Market and Potential Effects of Removing Trade Impediments // Report of the </w:t>
      </w:r>
      <w:smartTag w:uri="urn:schemas-microsoft-com:office:smarttags" w:element="place">
        <w:smartTag w:uri="urn:schemas-microsoft-com:office:smarttags" w:element="country-region">
          <w:r w:rsidRPr="00B64601">
            <w:rPr>
              <w:lang w:val="en-US"/>
            </w:rPr>
            <w:t>U.S.</w:t>
          </w:r>
        </w:smartTag>
      </w:smartTag>
      <w:r w:rsidRPr="00B64601">
        <w:rPr>
          <w:lang w:val="en-US"/>
        </w:rPr>
        <w:t xml:space="preserve"> International Trade Comission. – May 2005. – pp. 1-5.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15. www.gov/publications/north_american_transport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16. www.ohlogistics.com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17. http://strategic.ic.gs.ca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18. www.3plogistics.com (Armstrong&amp;Associates)</w:t>
      </w:r>
    </w:p>
    <w:p w:rsidR="00FB6483" w:rsidRPr="00B64601" w:rsidRDefault="00FB6483" w:rsidP="00FB6483">
      <w:pPr>
        <w:spacing w:before="120"/>
        <w:ind w:firstLine="567"/>
        <w:jc w:val="both"/>
        <w:rPr>
          <w:lang w:val="en-US"/>
        </w:rPr>
      </w:pPr>
      <w:r w:rsidRPr="00B64601">
        <w:rPr>
          <w:lang w:val="en-US"/>
        </w:rPr>
        <w:t>19. www.adp.com/corporate/es/autsoursing/index.html</w:t>
      </w:r>
    </w:p>
    <w:p w:rsidR="00FB6483" w:rsidRPr="00B64601" w:rsidRDefault="00FB6483" w:rsidP="00FB6483">
      <w:pPr>
        <w:spacing w:before="120"/>
        <w:ind w:firstLine="567"/>
        <w:jc w:val="both"/>
      </w:pPr>
      <w:r w:rsidRPr="00B64601">
        <w:t>20. www.maps.grida.no/theme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A7D"/>
    <w:multiLevelType w:val="multilevel"/>
    <w:tmpl w:val="D5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558D7"/>
    <w:multiLevelType w:val="multilevel"/>
    <w:tmpl w:val="15CA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93F23"/>
    <w:multiLevelType w:val="multilevel"/>
    <w:tmpl w:val="E94E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395583"/>
    <w:multiLevelType w:val="multilevel"/>
    <w:tmpl w:val="79C2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C471A7"/>
    <w:multiLevelType w:val="multilevel"/>
    <w:tmpl w:val="EB8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E4245"/>
    <w:multiLevelType w:val="multilevel"/>
    <w:tmpl w:val="1EC2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CB2A7D"/>
    <w:multiLevelType w:val="multilevel"/>
    <w:tmpl w:val="807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23AF6"/>
    <w:multiLevelType w:val="multilevel"/>
    <w:tmpl w:val="832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51E07"/>
    <w:multiLevelType w:val="multilevel"/>
    <w:tmpl w:val="54AC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41C9C"/>
    <w:multiLevelType w:val="multilevel"/>
    <w:tmpl w:val="98D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C6182"/>
    <w:multiLevelType w:val="multilevel"/>
    <w:tmpl w:val="00B0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C557715"/>
    <w:multiLevelType w:val="multilevel"/>
    <w:tmpl w:val="4ED4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432E77"/>
    <w:multiLevelType w:val="multilevel"/>
    <w:tmpl w:val="AF76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A2CAD"/>
    <w:multiLevelType w:val="multilevel"/>
    <w:tmpl w:val="515C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E855C5"/>
    <w:multiLevelType w:val="multilevel"/>
    <w:tmpl w:val="599E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E154B"/>
    <w:multiLevelType w:val="multilevel"/>
    <w:tmpl w:val="3072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B1DDE"/>
    <w:multiLevelType w:val="multilevel"/>
    <w:tmpl w:val="28E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6D0C8B"/>
    <w:multiLevelType w:val="multilevel"/>
    <w:tmpl w:val="B8FC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0BC21BB"/>
    <w:multiLevelType w:val="multilevel"/>
    <w:tmpl w:val="88E0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BE7560"/>
    <w:multiLevelType w:val="multilevel"/>
    <w:tmpl w:val="548C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368222E"/>
    <w:multiLevelType w:val="multilevel"/>
    <w:tmpl w:val="D22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244D0"/>
    <w:multiLevelType w:val="multilevel"/>
    <w:tmpl w:val="36BA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5691C"/>
    <w:multiLevelType w:val="multilevel"/>
    <w:tmpl w:val="53DA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807528E"/>
    <w:multiLevelType w:val="multilevel"/>
    <w:tmpl w:val="8C0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AC3109"/>
    <w:multiLevelType w:val="multilevel"/>
    <w:tmpl w:val="A16A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C624D8"/>
    <w:multiLevelType w:val="multilevel"/>
    <w:tmpl w:val="468A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B9E7434"/>
    <w:multiLevelType w:val="multilevel"/>
    <w:tmpl w:val="81A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D0571F"/>
    <w:multiLevelType w:val="multilevel"/>
    <w:tmpl w:val="FF34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295051"/>
    <w:multiLevelType w:val="multilevel"/>
    <w:tmpl w:val="DD16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2C3AA7"/>
    <w:multiLevelType w:val="multilevel"/>
    <w:tmpl w:val="AC4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5603B6"/>
    <w:multiLevelType w:val="multilevel"/>
    <w:tmpl w:val="1722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502CE3"/>
    <w:multiLevelType w:val="multilevel"/>
    <w:tmpl w:val="8AC2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6323C4"/>
    <w:multiLevelType w:val="multilevel"/>
    <w:tmpl w:val="B132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845DF7"/>
    <w:multiLevelType w:val="multilevel"/>
    <w:tmpl w:val="47AA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19A6184"/>
    <w:multiLevelType w:val="multilevel"/>
    <w:tmpl w:val="A6D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D12B3B"/>
    <w:multiLevelType w:val="multilevel"/>
    <w:tmpl w:val="583C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B77434"/>
    <w:multiLevelType w:val="multilevel"/>
    <w:tmpl w:val="A44C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29"/>
  </w:num>
  <w:num w:numId="4">
    <w:abstractNumId w:val="32"/>
  </w:num>
  <w:num w:numId="5">
    <w:abstractNumId w:val="10"/>
  </w:num>
  <w:num w:numId="6">
    <w:abstractNumId w:val="13"/>
  </w:num>
  <w:num w:numId="7">
    <w:abstractNumId w:val="19"/>
  </w:num>
  <w:num w:numId="8">
    <w:abstractNumId w:val="25"/>
  </w:num>
  <w:num w:numId="9">
    <w:abstractNumId w:val="5"/>
  </w:num>
  <w:num w:numId="10">
    <w:abstractNumId w:val="6"/>
  </w:num>
  <w:num w:numId="11">
    <w:abstractNumId w:val="8"/>
  </w:num>
  <w:num w:numId="12">
    <w:abstractNumId w:val="30"/>
  </w:num>
  <w:num w:numId="13">
    <w:abstractNumId w:val="9"/>
  </w:num>
  <w:num w:numId="14">
    <w:abstractNumId w:val="26"/>
  </w:num>
  <w:num w:numId="15">
    <w:abstractNumId w:val="12"/>
  </w:num>
  <w:num w:numId="16">
    <w:abstractNumId w:val="20"/>
  </w:num>
  <w:num w:numId="17">
    <w:abstractNumId w:val="34"/>
  </w:num>
  <w:num w:numId="18">
    <w:abstractNumId w:val="2"/>
  </w:num>
  <w:num w:numId="19">
    <w:abstractNumId w:val="11"/>
  </w:num>
  <w:num w:numId="20">
    <w:abstractNumId w:val="3"/>
  </w:num>
  <w:num w:numId="21">
    <w:abstractNumId w:val="24"/>
  </w:num>
  <w:num w:numId="22">
    <w:abstractNumId w:val="31"/>
  </w:num>
  <w:num w:numId="23">
    <w:abstractNumId w:val="4"/>
  </w:num>
  <w:num w:numId="24">
    <w:abstractNumId w:val="35"/>
  </w:num>
  <w:num w:numId="25">
    <w:abstractNumId w:val="0"/>
  </w:num>
  <w:num w:numId="26">
    <w:abstractNumId w:val="7"/>
  </w:num>
  <w:num w:numId="27">
    <w:abstractNumId w:val="17"/>
  </w:num>
  <w:num w:numId="28">
    <w:abstractNumId w:val="36"/>
  </w:num>
  <w:num w:numId="29">
    <w:abstractNumId w:val="33"/>
  </w:num>
  <w:num w:numId="30">
    <w:abstractNumId w:val="18"/>
  </w:num>
  <w:num w:numId="31">
    <w:abstractNumId w:val="14"/>
  </w:num>
  <w:num w:numId="32">
    <w:abstractNumId w:val="1"/>
  </w:num>
  <w:num w:numId="33">
    <w:abstractNumId w:val="28"/>
  </w:num>
  <w:num w:numId="34">
    <w:abstractNumId w:val="27"/>
  </w:num>
  <w:num w:numId="35">
    <w:abstractNumId w:val="23"/>
  </w:num>
  <w:num w:numId="36">
    <w:abstractNumId w:val="2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483"/>
    <w:rsid w:val="000E0568"/>
    <w:rsid w:val="001A35F6"/>
    <w:rsid w:val="003D753B"/>
    <w:rsid w:val="00811DD4"/>
    <w:rsid w:val="00B64601"/>
    <w:rsid w:val="00C9454D"/>
    <w:rsid w:val="00F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2D56C71A-38C2-4008-AFD8-F857C27D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8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B6483"/>
    <w:pPr>
      <w:spacing w:before="100" w:beforeAutospacing="1" w:after="100" w:afterAutospacing="1"/>
      <w:outlineLvl w:val="0"/>
    </w:pPr>
    <w:rPr>
      <w:rFonts w:ascii="Georgia" w:hAnsi="Georgi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B6483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235E91"/>
      <w:sz w:val="36"/>
      <w:szCs w:val="36"/>
    </w:rPr>
  </w:style>
  <w:style w:type="paragraph" w:styleId="3">
    <w:name w:val="heading 3"/>
    <w:basedOn w:val="a"/>
    <w:link w:val="30"/>
    <w:uiPriority w:val="99"/>
    <w:qFormat/>
    <w:rsid w:val="00FB6483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rsid w:val="00FB6483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0000"/>
    </w:rPr>
  </w:style>
  <w:style w:type="paragraph" w:styleId="5">
    <w:name w:val="heading 5"/>
    <w:basedOn w:val="a"/>
    <w:link w:val="50"/>
    <w:uiPriority w:val="99"/>
    <w:qFormat/>
    <w:rsid w:val="00FB6483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59759C"/>
      <w:sz w:val="20"/>
      <w:szCs w:val="20"/>
    </w:rPr>
  </w:style>
  <w:style w:type="paragraph" w:styleId="6">
    <w:name w:val="heading 6"/>
    <w:basedOn w:val="a"/>
    <w:link w:val="60"/>
    <w:uiPriority w:val="99"/>
    <w:qFormat/>
    <w:rsid w:val="00FB6483"/>
    <w:pPr>
      <w:spacing w:before="100" w:beforeAutospacing="1" w:after="100" w:afterAutospacing="1"/>
      <w:outlineLvl w:val="5"/>
    </w:pPr>
    <w:rPr>
      <w:rFonts w:ascii="Arial" w:hAnsi="Arial" w:cs="Arial"/>
      <w:b/>
      <w:bCs/>
      <w:color w:val="59759C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FB6483"/>
    <w:rPr>
      <w:rFonts w:ascii="Georgia" w:hAnsi="Georgia" w:cs="Times New Roman"/>
      <w:color w:val="183A52"/>
      <w:u w:val="none"/>
      <w:effect w:val="none"/>
    </w:rPr>
  </w:style>
  <w:style w:type="character" w:styleId="a4">
    <w:name w:val="Strong"/>
    <w:basedOn w:val="a0"/>
    <w:uiPriority w:val="99"/>
    <w:qFormat/>
    <w:rsid w:val="00FB6483"/>
    <w:rPr>
      <w:rFonts w:cs="Times New Roman"/>
      <w:b/>
      <w:bCs/>
      <w:color w:val="3F3C33"/>
    </w:rPr>
  </w:style>
  <w:style w:type="paragraph" w:styleId="a5">
    <w:name w:val="Normal (Web)"/>
    <w:basedOn w:val="a"/>
    <w:uiPriority w:val="99"/>
    <w:rsid w:val="00FB648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FB6483"/>
    <w:rPr>
      <w:rFonts w:cs="Times New Roman"/>
      <w:i/>
      <w:iCs/>
    </w:rPr>
  </w:style>
  <w:style w:type="paragraph" w:styleId="a7">
    <w:name w:val="header"/>
    <w:basedOn w:val="a"/>
    <w:link w:val="a8"/>
    <w:uiPriority w:val="99"/>
    <w:rsid w:val="00FB648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FB6483"/>
    <w:pPr>
      <w:spacing w:before="100" w:beforeAutospacing="1" w:after="100" w:afterAutospacing="1"/>
    </w:pPr>
  </w:style>
  <w:style w:type="character" w:customStyle="1" w:styleId="aa">
    <w:name w:val="Нижні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FollowedHyperlink"/>
    <w:basedOn w:val="a0"/>
    <w:uiPriority w:val="99"/>
    <w:rsid w:val="00FB6483"/>
    <w:rPr>
      <w:rFonts w:cs="Times New Roman"/>
      <w:color w:val="333333"/>
      <w:u w:val="single"/>
    </w:rPr>
  </w:style>
  <w:style w:type="paragraph" w:styleId="HTML">
    <w:name w:val="HTML Preformatted"/>
    <w:basedOn w:val="a"/>
    <w:link w:val="HTML0"/>
    <w:uiPriority w:val="99"/>
    <w:rsid w:val="00FB6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hare">
    <w:name w:val="share"/>
    <w:basedOn w:val="a"/>
    <w:uiPriority w:val="99"/>
    <w:rsid w:val="00FB6483"/>
    <w:pPr>
      <w:spacing w:after="30"/>
      <w:ind w:right="30"/>
    </w:pPr>
  </w:style>
  <w:style w:type="paragraph" w:customStyle="1" w:styleId="shareinpost">
    <w:name w:val="shareinpos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menu">
    <w:name w:val="menu"/>
    <w:basedOn w:val="a"/>
    <w:uiPriority w:val="99"/>
    <w:rsid w:val="00FB6483"/>
    <w:pPr>
      <w:spacing w:before="100" w:beforeAutospacing="1" w:after="100" w:afterAutospacing="1"/>
    </w:pPr>
    <w:rPr>
      <w:vanish/>
    </w:rPr>
  </w:style>
  <w:style w:type="paragraph" w:customStyle="1" w:styleId="color0">
    <w:name w:val="color0"/>
    <w:basedOn w:val="a"/>
    <w:uiPriority w:val="99"/>
    <w:rsid w:val="00FB6483"/>
    <w:pPr>
      <w:spacing w:before="100" w:beforeAutospacing="1" w:after="100" w:afterAutospacing="1"/>
    </w:pPr>
    <w:rPr>
      <w:color w:val="FFFFFF"/>
    </w:rPr>
  </w:style>
  <w:style w:type="paragraph" w:customStyle="1" w:styleId="color1">
    <w:name w:val="color1"/>
    <w:basedOn w:val="a"/>
    <w:uiPriority w:val="99"/>
    <w:rsid w:val="00FB6483"/>
    <w:pPr>
      <w:spacing w:before="100" w:beforeAutospacing="1" w:after="100" w:afterAutospacing="1"/>
    </w:pPr>
    <w:rPr>
      <w:color w:val="235E91"/>
    </w:rPr>
  </w:style>
  <w:style w:type="paragraph" w:customStyle="1" w:styleId="color2">
    <w:name w:val="color2"/>
    <w:basedOn w:val="a"/>
    <w:uiPriority w:val="99"/>
    <w:rsid w:val="00FB6483"/>
    <w:pPr>
      <w:spacing w:before="100" w:beforeAutospacing="1" w:after="100" w:afterAutospacing="1"/>
    </w:pPr>
    <w:rPr>
      <w:color w:val="000000"/>
    </w:rPr>
  </w:style>
  <w:style w:type="paragraph" w:customStyle="1" w:styleId="color3">
    <w:name w:val="color3"/>
    <w:basedOn w:val="a"/>
    <w:uiPriority w:val="99"/>
    <w:rsid w:val="00FB6483"/>
    <w:pPr>
      <w:spacing w:before="100" w:beforeAutospacing="1" w:after="100" w:afterAutospacing="1"/>
    </w:pPr>
    <w:rPr>
      <w:color w:val="59759C"/>
    </w:rPr>
  </w:style>
  <w:style w:type="paragraph" w:customStyle="1" w:styleId="color4">
    <w:name w:val="color4"/>
    <w:basedOn w:val="a"/>
    <w:uiPriority w:val="99"/>
    <w:rsid w:val="00FB6483"/>
    <w:pPr>
      <w:spacing w:before="100" w:beforeAutospacing="1" w:after="100" w:afterAutospacing="1"/>
    </w:pPr>
    <w:rPr>
      <w:color w:val="333333"/>
    </w:rPr>
  </w:style>
  <w:style w:type="paragraph" w:customStyle="1" w:styleId="color5">
    <w:name w:val="color5"/>
    <w:basedOn w:val="a"/>
    <w:uiPriority w:val="99"/>
    <w:rsid w:val="00FB6483"/>
    <w:pPr>
      <w:spacing w:before="100" w:beforeAutospacing="1" w:after="100" w:afterAutospacing="1"/>
    </w:pPr>
    <w:rPr>
      <w:color w:val="AAAAAA"/>
    </w:rPr>
  </w:style>
  <w:style w:type="paragraph" w:customStyle="1" w:styleId="color6">
    <w:name w:val="color6"/>
    <w:basedOn w:val="a"/>
    <w:uiPriority w:val="99"/>
    <w:rsid w:val="00FB6483"/>
    <w:pPr>
      <w:spacing w:before="100" w:beforeAutospacing="1" w:after="100" w:afterAutospacing="1"/>
    </w:pPr>
    <w:rPr>
      <w:color w:val="FFFFFF"/>
    </w:rPr>
  </w:style>
  <w:style w:type="paragraph" w:customStyle="1" w:styleId="color7">
    <w:name w:val="color7"/>
    <w:basedOn w:val="a"/>
    <w:uiPriority w:val="99"/>
    <w:rsid w:val="00FB6483"/>
    <w:pPr>
      <w:spacing w:before="100" w:beforeAutospacing="1" w:after="100" w:afterAutospacing="1"/>
    </w:pPr>
    <w:rPr>
      <w:color w:val="C0DAFA"/>
    </w:rPr>
  </w:style>
  <w:style w:type="paragraph" w:customStyle="1" w:styleId="color8">
    <w:name w:val="color8"/>
    <w:basedOn w:val="a"/>
    <w:uiPriority w:val="99"/>
    <w:rsid w:val="00FB6483"/>
    <w:pPr>
      <w:spacing w:before="100" w:beforeAutospacing="1" w:after="100" w:afterAutospacing="1"/>
    </w:pPr>
    <w:rPr>
      <w:color w:val="AAAAAA"/>
    </w:rPr>
  </w:style>
  <w:style w:type="paragraph" w:customStyle="1" w:styleId="color9">
    <w:name w:val="color9"/>
    <w:basedOn w:val="a"/>
    <w:uiPriority w:val="99"/>
    <w:rsid w:val="00FB6483"/>
    <w:pPr>
      <w:spacing w:before="100" w:beforeAutospacing="1" w:after="100" w:afterAutospacing="1"/>
    </w:pPr>
    <w:rPr>
      <w:color w:val="999999"/>
    </w:rPr>
  </w:style>
  <w:style w:type="paragraph" w:customStyle="1" w:styleId="bcolor0">
    <w:name w:val="bcolor0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1">
    <w:name w:val="bcolor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2">
    <w:name w:val="bcolor2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3">
    <w:name w:val="bcolor3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4">
    <w:name w:val="bcolor4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5">
    <w:name w:val="bcolor5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6">
    <w:name w:val="bcolor6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7">
    <w:name w:val="bcolor7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8">
    <w:name w:val="bcolor8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color9">
    <w:name w:val="bcolor9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gcolor0">
    <w:name w:val="bgcolor0"/>
    <w:basedOn w:val="a"/>
    <w:uiPriority w:val="99"/>
    <w:rsid w:val="00FB6483"/>
    <w:pPr>
      <w:shd w:val="clear" w:color="auto" w:fill="FFFFFF"/>
      <w:spacing w:before="100" w:beforeAutospacing="1" w:after="100" w:afterAutospacing="1"/>
    </w:pPr>
  </w:style>
  <w:style w:type="paragraph" w:customStyle="1" w:styleId="bgcolor1">
    <w:name w:val="bgcolor1"/>
    <w:basedOn w:val="a"/>
    <w:uiPriority w:val="99"/>
    <w:rsid w:val="00FB6483"/>
    <w:pPr>
      <w:shd w:val="clear" w:color="auto" w:fill="235E91"/>
      <w:spacing w:before="100" w:beforeAutospacing="1" w:after="100" w:afterAutospacing="1"/>
    </w:pPr>
  </w:style>
  <w:style w:type="paragraph" w:customStyle="1" w:styleId="bgcolor2">
    <w:name w:val="bgcolor2"/>
    <w:basedOn w:val="a"/>
    <w:uiPriority w:val="99"/>
    <w:rsid w:val="00FB6483"/>
    <w:pPr>
      <w:shd w:val="clear" w:color="auto" w:fill="000000"/>
      <w:spacing w:before="100" w:beforeAutospacing="1" w:after="100" w:afterAutospacing="1"/>
    </w:pPr>
  </w:style>
  <w:style w:type="paragraph" w:customStyle="1" w:styleId="bgcolor3">
    <w:name w:val="bgcolor3"/>
    <w:basedOn w:val="a"/>
    <w:uiPriority w:val="99"/>
    <w:rsid w:val="00FB6483"/>
    <w:pPr>
      <w:shd w:val="clear" w:color="auto" w:fill="59759C"/>
      <w:spacing w:before="100" w:beforeAutospacing="1" w:after="100" w:afterAutospacing="1"/>
    </w:pPr>
  </w:style>
  <w:style w:type="paragraph" w:customStyle="1" w:styleId="bgcolor4">
    <w:name w:val="bgcolor4"/>
    <w:basedOn w:val="a"/>
    <w:uiPriority w:val="99"/>
    <w:rsid w:val="00FB6483"/>
    <w:pPr>
      <w:shd w:val="clear" w:color="auto" w:fill="333333"/>
      <w:spacing w:before="100" w:beforeAutospacing="1" w:after="100" w:afterAutospacing="1"/>
    </w:pPr>
  </w:style>
  <w:style w:type="paragraph" w:customStyle="1" w:styleId="bgcolor5">
    <w:name w:val="bgcolor5"/>
    <w:basedOn w:val="a"/>
    <w:uiPriority w:val="99"/>
    <w:rsid w:val="00FB6483"/>
    <w:pPr>
      <w:shd w:val="clear" w:color="auto" w:fill="AAAAAA"/>
      <w:spacing w:before="100" w:beforeAutospacing="1" w:after="100" w:afterAutospacing="1"/>
    </w:pPr>
  </w:style>
  <w:style w:type="paragraph" w:customStyle="1" w:styleId="bgcolor6">
    <w:name w:val="bgcolor6"/>
    <w:basedOn w:val="a"/>
    <w:uiPriority w:val="99"/>
    <w:rsid w:val="00FB6483"/>
    <w:pPr>
      <w:shd w:val="clear" w:color="auto" w:fill="FFFFFF"/>
      <w:spacing w:before="100" w:beforeAutospacing="1" w:after="100" w:afterAutospacing="1"/>
    </w:pPr>
  </w:style>
  <w:style w:type="paragraph" w:customStyle="1" w:styleId="bgcolor7">
    <w:name w:val="bgcolor7"/>
    <w:basedOn w:val="a"/>
    <w:uiPriority w:val="99"/>
    <w:rsid w:val="00FB6483"/>
    <w:pPr>
      <w:shd w:val="clear" w:color="auto" w:fill="C0DAFA"/>
      <w:spacing w:before="100" w:beforeAutospacing="1" w:after="100" w:afterAutospacing="1"/>
    </w:pPr>
  </w:style>
  <w:style w:type="paragraph" w:customStyle="1" w:styleId="bgcolor8">
    <w:name w:val="bgcolor8"/>
    <w:basedOn w:val="a"/>
    <w:uiPriority w:val="99"/>
    <w:rsid w:val="00FB6483"/>
    <w:pPr>
      <w:shd w:val="clear" w:color="auto" w:fill="AAAAAA"/>
      <w:spacing w:before="100" w:beforeAutospacing="1" w:after="100" w:afterAutospacing="1"/>
    </w:pPr>
  </w:style>
  <w:style w:type="paragraph" w:customStyle="1" w:styleId="bgcolor9">
    <w:name w:val="bgcolor9"/>
    <w:basedOn w:val="a"/>
    <w:uiPriority w:val="99"/>
    <w:rsid w:val="00FB6483"/>
    <w:pPr>
      <w:shd w:val="clear" w:color="auto" w:fill="999999"/>
      <w:spacing w:before="100" w:beforeAutospacing="1" w:after="100" w:afterAutospacing="1"/>
    </w:pPr>
  </w:style>
  <w:style w:type="paragraph" w:customStyle="1" w:styleId="opacity">
    <w:name w:val="opacity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ox">
    <w:name w:val="box"/>
    <w:basedOn w:val="a"/>
    <w:uiPriority w:val="99"/>
    <w:rsid w:val="00FB648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/>
    </w:pPr>
  </w:style>
  <w:style w:type="paragraph" w:customStyle="1" w:styleId="wp-caption">
    <w:name w:val="wp-caption"/>
    <w:basedOn w:val="a"/>
    <w:uiPriority w:val="99"/>
    <w:rsid w:val="00FB6483"/>
    <w:pPr>
      <w:spacing w:before="100" w:beforeAutospacing="1" w:after="100" w:afterAutospacing="1"/>
    </w:pPr>
    <w:rPr>
      <w:color w:val="333333"/>
    </w:rPr>
  </w:style>
  <w:style w:type="paragraph" w:customStyle="1" w:styleId="wp-caption-text">
    <w:name w:val="wp-caption-text"/>
    <w:basedOn w:val="a"/>
    <w:uiPriority w:val="99"/>
    <w:rsid w:val="00FB6483"/>
    <w:pPr>
      <w:spacing w:before="100" w:beforeAutospacing="1" w:after="100" w:afterAutospacing="1"/>
    </w:pPr>
    <w:rPr>
      <w:color w:val="333333"/>
    </w:rPr>
  </w:style>
  <w:style w:type="paragraph" w:customStyle="1" w:styleId="thread-even">
    <w:name w:val="thread-even"/>
    <w:basedOn w:val="a"/>
    <w:uiPriority w:val="99"/>
    <w:rsid w:val="00FB648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even">
    <w:name w:val="even"/>
    <w:basedOn w:val="a"/>
    <w:uiPriority w:val="99"/>
    <w:rsid w:val="00FB648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alt">
    <w:name w:val="alt"/>
    <w:basedOn w:val="a"/>
    <w:uiPriority w:val="99"/>
    <w:rsid w:val="00FB6483"/>
    <w:pPr>
      <w:shd w:val="clear" w:color="auto" w:fill="FFFFFF"/>
      <w:spacing w:before="100" w:beforeAutospacing="1" w:after="100" w:afterAutospacing="1"/>
    </w:pPr>
  </w:style>
  <w:style w:type="paragraph" w:customStyle="1" w:styleId="thread-odd">
    <w:name w:val="thread-odd"/>
    <w:basedOn w:val="a"/>
    <w:uiPriority w:val="99"/>
    <w:rsid w:val="00FB648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C0DAFA"/>
      <w:spacing w:before="100" w:beforeAutospacing="1" w:after="100" w:afterAutospacing="1"/>
    </w:pPr>
  </w:style>
  <w:style w:type="paragraph" w:customStyle="1" w:styleId="odd">
    <w:name w:val="odd"/>
    <w:basedOn w:val="a"/>
    <w:uiPriority w:val="99"/>
    <w:rsid w:val="00FB648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C0DAFA"/>
      <w:spacing w:before="100" w:beforeAutospacing="1" w:after="100" w:afterAutospacing="1"/>
    </w:pPr>
  </w:style>
  <w:style w:type="paragraph" w:customStyle="1" w:styleId="yandexform">
    <w:name w:val="yandexform"/>
    <w:basedOn w:val="a"/>
    <w:uiPriority w:val="99"/>
    <w:rsid w:val="00FB6483"/>
    <w:pPr>
      <w:spacing w:before="100" w:beforeAutospacing="1" w:after="100" w:afterAutospacing="1"/>
    </w:pPr>
    <w:rPr>
      <w:vanish/>
    </w:rPr>
  </w:style>
  <w:style w:type="paragraph" w:customStyle="1" w:styleId="yaform">
    <w:name w:val="yaform"/>
    <w:basedOn w:val="a"/>
    <w:uiPriority w:val="99"/>
    <w:rsid w:val="00FB6483"/>
    <w:rPr>
      <w:color w:val="000000"/>
      <w:sz w:val="12"/>
      <w:szCs w:val="12"/>
    </w:rPr>
  </w:style>
  <w:style w:type="paragraph" w:customStyle="1" w:styleId="yaform-holster">
    <w:name w:val="yaform-holster"/>
    <w:basedOn w:val="a"/>
    <w:uiPriority w:val="99"/>
    <w:rsid w:val="00FB6483"/>
  </w:style>
  <w:style w:type="paragraph" w:customStyle="1" w:styleId="yaformarr">
    <w:name w:val="yaform_ar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default">
    <w:name w:val="yaform_default"/>
    <w:basedOn w:val="a"/>
    <w:uiPriority w:val="99"/>
    <w:rsid w:val="00FB6483"/>
    <w:pPr>
      <w:ind w:left="650"/>
    </w:pPr>
  </w:style>
  <w:style w:type="paragraph" w:customStyle="1" w:styleId="yaformsimple">
    <w:name w:val="yaform_simple"/>
    <w:basedOn w:val="a"/>
    <w:uiPriority w:val="99"/>
    <w:rsid w:val="00FB6483"/>
  </w:style>
  <w:style w:type="paragraph" w:customStyle="1" w:styleId="yaformhint">
    <w:name w:val="yaform_hint"/>
    <w:basedOn w:val="a"/>
    <w:uiPriority w:val="99"/>
    <w:rsid w:val="00FB6483"/>
  </w:style>
  <w:style w:type="paragraph" w:customStyle="1" w:styleId="highslide-viewport-size">
    <w:name w:val="highslide-viewport-siz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rcwholewindow">
    <w:name w:val="wrc_whole_window"/>
    <w:basedOn w:val="a"/>
    <w:uiPriority w:val="99"/>
    <w:rsid w:val="00FB6483"/>
  </w:style>
  <w:style w:type="paragraph" w:customStyle="1" w:styleId="wrcmiddlemain">
    <w:name w:val="wrc_middle_main"/>
    <w:basedOn w:val="a"/>
    <w:uiPriority w:val="99"/>
    <w:rsid w:val="00FB6483"/>
    <w:pPr>
      <w:shd w:val="clear" w:color="auto" w:fill="27353E"/>
      <w:spacing w:after="100" w:afterAutospacing="1"/>
      <w:ind w:left="-3000"/>
    </w:pPr>
    <w:rPr>
      <w:rFonts w:ascii="Arial Unicode MS" w:eastAsia="Arial Unicode MS"/>
      <w:sz w:val="14"/>
      <w:szCs w:val="14"/>
    </w:rPr>
  </w:style>
  <w:style w:type="paragraph" w:customStyle="1" w:styleId="wrcmiddlelogo">
    <w:name w:val="wrc_middle_logo"/>
    <w:basedOn w:val="a"/>
    <w:uiPriority w:val="99"/>
    <w:rsid w:val="00FB6483"/>
    <w:pPr>
      <w:spacing w:before="100" w:beforeAutospacing="1" w:after="100" w:afterAutospacing="1" w:line="370" w:lineRule="atLeast"/>
      <w:jc w:val="right"/>
    </w:pPr>
    <w:rPr>
      <w:color w:val="FFA500"/>
    </w:rPr>
  </w:style>
  <w:style w:type="paragraph" w:customStyle="1" w:styleId="wrciconwarning">
    <w:name w:val="wrc_icon_warning"/>
    <w:basedOn w:val="a"/>
    <w:uiPriority w:val="99"/>
    <w:rsid w:val="00FB6483"/>
    <w:pPr>
      <w:spacing w:before="200" w:after="200"/>
      <w:ind w:left="150" w:right="100"/>
    </w:pPr>
  </w:style>
  <w:style w:type="paragraph" w:customStyle="1" w:styleId="wrcmiddletitle">
    <w:name w:val="wrc_middle_title"/>
    <w:basedOn w:val="a"/>
    <w:uiPriority w:val="99"/>
    <w:rsid w:val="00FB6483"/>
    <w:pPr>
      <w:spacing w:before="100" w:beforeAutospacing="1" w:after="100" w:afterAutospacing="1"/>
      <w:jc w:val="center"/>
    </w:pPr>
    <w:rPr>
      <w:color w:val="B6BEC7"/>
      <w:sz w:val="53"/>
      <w:szCs w:val="53"/>
    </w:rPr>
  </w:style>
  <w:style w:type="paragraph" w:customStyle="1" w:styleId="wrcmiddlehline">
    <w:name w:val="wrc_middle_hlin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rcmiddledescription">
    <w:name w:val="wrc_middle_description"/>
    <w:basedOn w:val="a"/>
    <w:uiPriority w:val="99"/>
    <w:rsid w:val="00FB6483"/>
    <w:pPr>
      <w:spacing w:before="150" w:after="150"/>
      <w:ind w:left="150" w:right="150"/>
      <w:jc w:val="center"/>
    </w:pPr>
    <w:rPr>
      <w:color w:val="FFFFFF"/>
      <w:sz w:val="34"/>
      <w:szCs w:val="34"/>
    </w:rPr>
  </w:style>
  <w:style w:type="paragraph" w:customStyle="1" w:styleId="wrcmiddleactionsmaindiv">
    <w:name w:val="wrc_middle_actions_main_div"/>
    <w:basedOn w:val="a"/>
    <w:uiPriority w:val="99"/>
    <w:rsid w:val="00FB6483"/>
    <w:pPr>
      <w:spacing w:before="100" w:beforeAutospacing="1" w:after="100" w:afterAutospacing="1"/>
      <w:jc w:val="center"/>
    </w:pPr>
  </w:style>
  <w:style w:type="paragraph" w:customStyle="1" w:styleId="wrcmiddleactionsbluebutton">
    <w:name w:val="wrc_middle_actions_blue_button"/>
    <w:basedOn w:val="a"/>
    <w:uiPriority w:val="99"/>
    <w:rsid w:val="00FB6483"/>
    <w:pPr>
      <w:pBdr>
        <w:top w:val="single" w:sz="8" w:space="0" w:color="00DDDD"/>
        <w:left w:val="single" w:sz="8" w:space="5" w:color="00DDDD"/>
        <w:bottom w:val="single" w:sz="8" w:space="0" w:color="00DDDD"/>
        <w:right w:val="single" w:sz="8" w:space="5" w:color="00DDDD"/>
      </w:pBdr>
      <w:shd w:val="clear" w:color="auto" w:fill="00ADDF"/>
      <w:spacing w:before="100" w:beforeAutospacing="1" w:after="100" w:afterAutospacing="1"/>
    </w:pPr>
    <w:rPr>
      <w:color w:val="FFFFFF"/>
      <w:sz w:val="29"/>
      <w:szCs w:val="29"/>
    </w:rPr>
  </w:style>
  <w:style w:type="paragraph" w:customStyle="1" w:styleId="wrcmiddleactionsgreybutton">
    <w:name w:val="wrc_middle_actions_grey_button"/>
    <w:basedOn w:val="a"/>
    <w:uiPriority w:val="99"/>
    <w:rsid w:val="00FB6483"/>
    <w:pPr>
      <w:pBdr>
        <w:top w:val="single" w:sz="8" w:space="0" w:color="AAAAAA"/>
        <w:left w:val="single" w:sz="8" w:space="0" w:color="AAAAAA"/>
        <w:bottom w:val="single" w:sz="8" w:space="0" w:color="AAAAAA"/>
        <w:right w:val="single" w:sz="8" w:space="0" w:color="AAAAAA"/>
      </w:pBdr>
      <w:shd w:val="clear" w:color="auto" w:fill="646464"/>
      <w:spacing w:before="100" w:beforeAutospacing="1" w:after="100" w:afterAutospacing="1"/>
    </w:pPr>
    <w:rPr>
      <w:color w:val="FFFFFF"/>
      <w:sz w:val="29"/>
      <w:szCs w:val="29"/>
    </w:rPr>
  </w:style>
  <w:style w:type="paragraph" w:customStyle="1" w:styleId="wrcmiddleactionlow">
    <w:name w:val="wrc_middle_action_low"/>
    <w:basedOn w:val="a"/>
    <w:uiPriority w:val="99"/>
    <w:rsid w:val="00FB6483"/>
    <w:pPr>
      <w:spacing w:before="100"/>
      <w:ind w:left="100" w:right="100"/>
    </w:pPr>
    <w:rPr>
      <w:sz w:val="22"/>
      <w:szCs w:val="22"/>
    </w:rPr>
  </w:style>
  <w:style w:type="paragraph" w:customStyle="1" w:styleId="wrcmiddleactionsrestdiv">
    <w:name w:val="wrc_middle_actions_rest_div"/>
    <w:basedOn w:val="a"/>
    <w:uiPriority w:val="99"/>
    <w:rsid w:val="00FB6483"/>
    <w:pPr>
      <w:spacing w:before="100" w:beforeAutospacing="1" w:after="100" w:afterAutospacing="1"/>
      <w:jc w:val="center"/>
    </w:pPr>
  </w:style>
  <w:style w:type="paragraph" w:customStyle="1" w:styleId="wrcmiddleaction">
    <w:name w:val="wrc_middle_action"/>
    <w:basedOn w:val="a"/>
    <w:uiPriority w:val="99"/>
    <w:rsid w:val="00FB6483"/>
    <w:pPr>
      <w:spacing w:before="100"/>
      <w:ind w:left="100" w:right="100"/>
    </w:pPr>
    <w:rPr>
      <w:color w:val="FF0000"/>
      <w:sz w:val="29"/>
      <w:szCs w:val="29"/>
    </w:rPr>
  </w:style>
  <w:style w:type="paragraph" w:customStyle="1" w:styleId="wrcsitcormain">
    <w:name w:val="wrc_sitcor_main"/>
    <w:basedOn w:val="a"/>
    <w:uiPriority w:val="99"/>
    <w:rsid w:val="00FB6483"/>
    <w:pPr>
      <w:shd w:val="clear" w:color="auto" w:fill="FFFFFF"/>
      <w:spacing w:after="100" w:afterAutospacing="1"/>
      <w:ind w:left="-3070"/>
      <w:jc w:val="center"/>
    </w:pPr>
    <w:rPr>
      <w:rFonts w:ascii="Arial Unicode MS" w:eastAsia="Arial Unicode MS"/>
      <w:color w:val="000000"/>
      <w:sz w:val="16"/>
      <w:szCs w:val="16"/>
    </w:rPr>
  </w:style>
  <w:style w:type="paragraph" w:customStyle="1" w:styleId="wrcsitcorbar">
    <w:name w:val="wrc_sitcor_bar"/>
    <w:basedOn w:val="a"/>
    <w:uiPriority w:val="99"/>
    <w:rsid w:val="00FB6483"/>
    <w:pPr>
      <w:shd w:val="clear" w:color="auto" w:fill="282828"/>
      <w:spacing w:before="100" w:beforeAutospacing="1" w:after="100" w:afterAutospacing="1"/>
    </w:pPr>
    <w:rPr>
      <w:rFonts w:ascii="Arial Unicode MS" w:eastAsia="Arial Unicode MS"/>
      <w:color w:val="FFFFFF"/>
      <w:sz w:val="12"/>
      <w:szCs w:val="12"/>
    </w:rPr>
  </w:style>
  <w:style w:type="paragraph" w:customStyle="1" w:styleId="wrcsitcorbarlogo">
    <w:name w:val="wrc_sitcor_bar_logo"/>
    <w:basedOn w:val="a"/>
    <w:uiPriority w:val="99"/>
    <w:rsid w:val="00FB6483"/>
    <w:pPr>
      <w:jc w:val="right"/>
    </w:pPr>
  </w:style>
  <w:style w:type="paragraph" w:customStyle="1" w:styleId="wrcsitcorbarlink">
    <w:name w:val="wrc_sitcor_bar_link"/>
    <w:basedOn w:val="a"/>
    <w:uiPriority w:val="99"/>
    <w:rsid w:val="00FB6483"/>
    <w:pPr>
      <w:spacing w:before="100" w:beforeAutospacing="1" w:after="100" w:afterAutospacing="1"/>
    </w:pPr>
    <w:rPr>
      <w:rFonts w:ascii="Arial Unicode MS" w:eastAsia="Arial Unicode MS"/>
      <w:color w:val="FFFFFF"/>
      <w:sz w:val="12"/>
      <w:szCs w:val="12"/>
      <w:u w:val="single"/>
    </w:rPr>
  </w:style>
  <w:style w:type="paragraph" w:customStyle="1" w:styleId="imgclose">
    <w:name w:val="imgclose"/>
    <w:basedOn w:val="a"/>
    <w:uiPriority w:val="99"/>
    <w:rsid w:val="00FB6483"/>
    <w:pPr>
      <w:spacing w:before="100" w:after="50" w:line="320" w:lineRule="atLeast"/>
      <w:ind w:left="50" w:right="50"/>
      <w:jc w:val="right"/>
    </w:pPr>
  </w:style>
  <w:style w:type="paragraph" w:customStyle="1" w:styleId="hline">
    <w:name w:val="hlin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gallery-caption">
    <w:name w:val="gallery-caption"/>
    <w:basedOn w:val="a"/>
    <w:uiPriority w:val="99"/>
    <w:rsid w:val="00FB6483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FB6483"/>
    <w:pPr>
      <w:spacing w:before="100" w:beforeAutospacing="1" w:after="100" w:afterAutospacing="1"/>
    </w:pPr>
  </w:style>
  <w:style w:type="character" w:customStyle="1" w:styleId="ad">
    <w:name w:val="Назва Знак"/>
    <w:basedOn w:val="a0"/>
    <w:link w:val="ac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nnounce">
    <w:name w:val="announc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form">
    <w:name w:val="yaform__form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input">
    <w:name w:val="yaform__inpu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precise">
    <w:name w:val="yaform__search-precis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preciseradio">
    <w:name w:val="yaform__search-precise__radio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gap">
    <w:name w:val="yaform__gap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gap-i">
    <w:name w:val="yaform__gap-i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logo">
    <w:name w:val="yaform__logo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logo-img">
    <w:name w:val="yaform__logo-img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">
    <w:name w:val="yaform__search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nput">
    <w:name w:val="yaform__search-inpu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mage">
    <w:name w:val="yaform__search-imag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nput-layout">
    <w:name w:val="yaform__search-input-layou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nput-layout-l">
    <w:name w:val="yaform__search-input-layout-l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nput-layout-r">
    <w:name w:val="yaform__search-input-layout-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precise-i">
    <w:name w:val="yaform__search-precise-i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preciselabel">
    <w:name w:val="yaform__search-precise__label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ubmit">
    <w:name w:val="yaform__submi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input-texthint">
    <w:name w:val="yaform__input-text_hin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ubmitimage">
    <w:name w:val="yaform__submit_imag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">
    <w:name w:val="b-sugges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holster">
    <w:name w:val="b-suggest-holste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popup">
    <w:name w:val="b-suggest-popup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list">
    <w:name w:val="b-suggest-lis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items">
    <w:name w:val="b-suggest-items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elem">
    <w:name w:val="b-suggest-elem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elemnum">
    <w:name w:val="b-suggest-elem_num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elemselected">
    <w:name w:val="b-suggest-elem_selected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close">
    <w:name w:val="b-suggest-clos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rsswidget">
    <w:name w:val="rsswidge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avatar">
    <w:name w:val="avata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input-text">
    <w:name w:val="yaform__input-tex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-elemstatehover">
    <w:name w:val="b-suggest-elem_state_hove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crop">
    <w:name w:val="crop"/>
    <w:basedOn w:val="a"/>
    <w:uiPriority w:val="99"/>
    <w:rsid w:val="00FB6483"/>
    <w:pPr>
      <w:spacing w:before="100" w:beforeAutospacing="1" w:after="100" w:afterAutospacing="1"/>
    </w:pPr>
  </w:style>
  <w:style w:type="paragraph" w:styleId="ae">
    <w:name w:val="Date"/>
    <w:basedOn w:val="a"/>
    <w:link w:val="af"/>
    <w:uiPriority w:val="99"/>
    <w:rsid w:val="00FB6483"/>
    <w:pPr>
      <w:spacing w:before="100" w:beforeAutospacing="1" w:after="100" w:afterAutospacing="1"/>
    </w:pPr>
  </w:style>
  <w:style w:type="character" w:customStyle="1" w:styleId="af">
    <w:name w:val="Дата Знак"/>
    <w:basedOn w:val="a0"/>
    <w:link w:val="ae"/>
    <w:uiPriority w:val="99"/>
    <w:semiHidden/>
    <w:rPr>
      <w:sz w:val="24"/>
      <w:szCs w:val="24"/>
    </w:rPr>
  </w:style>
  <w:style w:type="paragraph" w:customStyle="1" w:styleId="link">
    <w:name w:val="link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info">
    <w:name w:val="info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s">
    <w:name w:val="s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p-sl">
    <w:name w:val="wp-sl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copy">
    <w:name w:val="copy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rclogo">
    <w:name w:val="wrc_logo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rctitle">
    <w:name w:val="wrc_title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rctxtrating">
    <w:name w:val="wrc_txtrating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wrccontainer">
    <w:name w:val="wrc_containe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gce-event-info">
    <w:name w:val="gce-event-info"/>
    <w:basedOn w:val="a"/>
    <w:uiPriority w:val="99"/>
    <w:rsid w:val="00FB648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gce-calendar">
    <w:name w:val="gce-calendar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gce-tooltip-event">
    <w:name w:val="gce-tooltip-event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gce-today">
    <w:name w:val="gce-today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gce-has-events">
    <w:name w:val="gce-has-events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precise-i">
    <w:name w:val="yaform__precise-i"/>
    <w:basedOn w:val="a"/>
    <w:uiPriority w:val="99"/>
    <w:rsid w:val="00FB6483"/>
    <w:pPr>
      <w:spacing w:before="100" w:beforeAutospacing="1" w:after="100" w:afterAutospacing="1"/>
    </w:pPr>
  </w:style>
  <w:style w:type="character" w:customStyle="1" w:styleId="head">
    <w:name w:val="head"/>
    <w:basedOn w:val="a0"/>
    <w:uiPriority w:val="99"/>
    <w:rsid w:val="00FB6483"/>
    <w:rPr>
      <w:rFonts w:cs="Times New Roman"/>
    </w:rPr>
  </w:style>
  <w:style w:type="character" w:customStyle="1" w:styleId="head1">
    <w:name w:val="head1"/>
    <w:basedOn w:val="a0"/>
    <w:uiPriority w:val="99"/>
    <w:rsid w:val="00FB6483"/>
    <w:rPr>
      <w:rFonts w:cs="Times New Roman"/>
      <w:vanish/>
    </w:rPr>
  </w:style>
  <w:style w:type="paragraph" w:customStyle="1" w:styleId="s1">
    <w:name w:val="s1"/>
    <w:basedOn w:val="a"/>
    <w:uiPriority w:val="99"/>
    <w:rsid w:val="00FB6483"/>
    <w:pPr>
      <w:shd w:val="clear" w:color="auto" w:fill="C0DAFA"/>
      <w:spacing w:before="100" w:beforeAutospacing="1" w:after="100" w:afterAutospacing="1"/>
    </w:pPr>
  </w:style>
  <w:style w:type="paragraph" w:customStyle="1" w:styleId="default1">
    <w:name w:val="default1"/>
    <w:basedOn w:val="a"/>
    <w:uiPriority w:val="99"/>
    <w:rsid w:val="00FB6483"/>
    <w:pPr>
      <w:shd w:val="clear" w:color="auto" w:fill="FFFFFF"/>
      <w:spacing w:before="100" w:beforeAutospacing="1" w:after="100" w:afterAutospacing="1"/>
    </w:pPr>
    <w:rPr>
      <w:color w:val="AAAAAA"/>
    </w:rPr>
  </w:style>
  <w:style w:type="paragraph" w:customStyle="1" w:styleId="wp-sl1">
    <w:name w:val="wp-sl1"/>
    <w:basedOn w:val="a"/>
    <w:uiPriority w:val="99"/>
    <w:rsid w:val="00FB6483"/>
    <w:pPr>
      <w:pBdr>
        <w:top w:val="single" w:sz="2" w:space="0" w:color="AAAAAA"/>
        <w:left w:val="single" w:sz="2" w:space="0" w:color="AAAAAA"/>
        <w:bottom w:val="single" w:sz="4" w:space="0" w:color="AAAAAA"/>
        <w:right w:val="single" w:sz="2" w:space="0" w:color="AAAAAA"/>
      </w:pBdr>
      <w:spacing w:before="100" w:beforeAutospacing="1" w:after="100" w:afterAutospacing="1"/>
    </w:pPr>
  </w:style>
  <w:style w:type="paragraph" w:customStyle="1" w:styleId="gallery-caption1">
    <w:name w:val="gallery-caption1"/>
    <w:basedOn w:val="a"/>
    <w:uiPriority w:val="99"/>
    <w:rsid w:val="00FB6483"/>
    <w:pPr>
      <w:spacing w:before="100" w:beforeAutospacing="1" w:after="100" w:afterAutospacing="1"/>
    </w:pPr>
    <w:rPr>
      <w:color w:val="AAAAAA"/>
    </w:rPr>
  </w:style>
  <w:style w:type="paragraph" w:customStyle="1" w:styleId="crop1">
    <w:name w:val="crop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title1">
    <w:name w:val="title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title2">
    <w:name w:val="title2"/>
    <w:basedOn w:val="a"/>
    <w:uiPriority w:val="99"/>
    <w:rsid w:val="00FB6483"/>
    <w:pPr>
      <w:shd w:val="clear" w:color="auto" w:fill="59759C"/>
      <w:spacing w:before="100" w:beforeAutospacing="1" w:after="100" w:afterAutospacing="1"/>
    </w:pPr>
  </w:style>
  <w:style w:type="paragraph" w:customStyle="1" w:styleId="date1">
    <w:name w:val="date1"/>
    <w:basedOn w:val="a"/>
    <w:uiPriority w:val="99"/>
    <w:rsid w:val="00FB6483"/>
    <w:pPr>
      <w:spacing w:before="100" w:beforeAutospacing="1" w:after="100" w:afterAutospacing="1"/>
    </w:pPr>
    <w:rPr>
      <w:color w:val="C0DAFA"/>
    </w:rPr>
  </w:style>
  <w:style w:type="paragraph" w:customStyle="1" w:styleId="announce1">
    <w:name w:val="announce1"/>
    <w:basedOn w:val="a"/>
    <w:uiPriority w:val="99"/>
    <w:rsid w:val="00FB6483"/>
    <w:pPr>
      <w:shd w:val="clear" w:color="auto" w:fill="FFFFFF"/>
      <w:spacing w:before="100" w:beforeAutospacing="1" w:after="100" w:afterAutospacing="1"/>
    </w:pPr>
  </w:style>
  <w:style w:type="paragraph" w:customStyle="1" w:styleId="rsswidget1">
    <w:name w:val="rsswidget1"/>
    <w:basedOn w:val="a"/>
    <w:uiPriority w:val="99"/>
    <w:rsid w:val="00FB6483"/>
    <w:pPr>
      <w:spacing w:before="100" w:beforeAutospacing="1" w:after="100" w:afterAutospacing="1"/>
    </w:pPr>
    <w:rPr>
      <w:color w:val="235E91"/>
    </w:rPr>
  </w:style>
  <w:style w:type="paragraph" w:customStyle="1" w:styleId="avatar1">
    <w:name w:val="avatar1"/>
    <w:basedOn w:val="a"/>
    <w:uiPriority w:val="99"/>
    <w:rsid w:val="00FB6483"/>
    <w:pPr>
      <w:spacing w:after="100"/>
      <w:ind w:left="100"/>
    </w:pPr>
  </w:style>
  <w:style w:type="paragraph" w:customStyle="1" w:styleId="avatar2">
    <w:name w:val="avatar2"/>
    <w:basedOn w:val="a"/>
    <w:uiPriority w:val="99"/>
    <w:rsid w:val="00FB6483"/>
    <w:pPr>
      <w:spacing w:after="100"/>
      <w:ind w:right="100"/>
    </w:pPr>
  </w:style>
  <w:style w:type="paragraph" w:customStyle="1" w:styleId="copy1">
    <w:name w:val="copy1"/>
    <w:basedOn w:val="a"/>
    <w:uiPriority w:val="99"/>
    <w:rsid w:val="00FB6483"/>
    <w:pPr>
      <w:spacing w:before="100" w:beforeAutospacing="1" w:after="100" w:afterAutospacing="1"/>
    </w:pPr>
    <w:rPr>
      <w:color w:val="AAAAAA"/>
    </w:rPr>
  </w:style>
  <w:style w:type="paragraph" w:customStyle="1" w:styleId="gce-calendar1">
    <w:name w:val="gce-calendar1"/>
    <w:basedOn w:val="a"/>
    <w:uiPriority w:val="99"/>
    <w:rsid w:val="00FB6483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pacing w:before="100" w:beforeAutospacing="1" w:after="100" w:afterAutospacing="1"/>
    </w:pPr>
  </w:style>
  <w:style w:type="paragraph" w:customStyle="1" w:styleId="gce-today1">
    <w:name w:val="gce-today1"/>
    <w:basedOn w:val="a"/>
    <w:uiPriority w:val="99"/>
    <w:rsid w:val="00FB6483"/>
    <w:pPr>
      <w:shd w:val="clear" w:color="auto" w:fill="C0DAFA"/>
      <w:spacing w:before="100" w:beforeAutospacing="1" w:after="100" w:afterAutospacing="1"/>
    </w:pPr>
  </w:style>
  <w:style w:type="paragraph" w:customStyle="1" w:styleId="gce-has-events1">
    <w:name w:val="gce-has-events1"/>
    <w:basedOn w:val="a"/>
    <w:uiPriority w:val="99"/>
    <w:rsid w:val="00FB6483"/>
    <w:pPr>
      <w:spacing w:before="100" w:beforeAutospacing="1" w:after="100" w:afterAutospacing="1"/>
    </w:pPr>
    <w:rPr>
      <w:color w:val="235E91"/>
    </w:rPr>
  </w:style>
  <w:style w:type="paragraph" w:customStyle="1" w:styleId="gce-tooltip-event1">
    <w:name w:val="gce-tooltip-event1"/>
    <w:basedOn w:val="a"/>
    <w:uiPriority w:val="99"/>
    <w:rsid w:val="00FB6483"/>
    <w:pPr>
      <w:shd w:val="clear" w:color="auto" w:fill="FFFFFF"/>
      <w:spacing w:before="100" w:beforeAutospacing="1" w:after="100" w:afterAutospacing="1"/>
    </w:pPr>
    <w:rPr>
      <w:color w:val="235E91"/>
    </w:rPr>
  </w:style>
  <w:style w:type="paragraph" w:customStyle="1" w:styleId="footer1">
    <w:name w:val="footer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form1">
    <w:name w:val="yaform__form1"/>
    <w:basedOn w:val="a"/>
    <w:uiPriority w:val="99"/>
    <w:rsid w:val="00FB6483"/>
    <w:rPr>
      <w:color w:val="000000"/>
      <w:sz w:val="12"/>
      <w:szCs w:val="12"/>
    </w:rPr>
  </w:style>
  <w:style w:type="paragraph" w:customStyle="1" w:styleId="yaforminput1">
    <w:name w:val="yaform__input1"/>
    <w:basedOn w:val="a"/>
    <w:uiPriority w:val="99"/>
    <w:rsid w:val="00FB6483"/>
    <w:rPr>
      <w:color w:val="000000"/>
      <w:sz w:val="12"/>
      <w:szCs w:val="12"/>
    </w:rPr>
  </w:style>
  <w:style w:type="paragraph" w:customStyle="1" w:styleId="yaforminput-text1">
    <w:name w:val="yaform__input-text1"/>
    <w:basedOn w:val="a"/>
    <w:uiPriority w:val="99"/>
    <w:rsid w:val="00FB6483"/>
    <w:pP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yaformsubmit1">
    <w:name w:val="yaform__submit1"/>
    <w:basedOn w:val="a"/>
    <w:uiPriority w:val="99"/>
    <w:rsid w:val="00FB6483"/>
    <w:pPr>
      <w:ind w:left="50"/>
    </w:pPr>
    <w:rPr>
      <w:color w:val="000000"/>
      <w:sz w:val="12"/>
      <w:szCs w:val="12"/>
    </w:rPr>
  </w:style>
  <w:style w:type="paragraph" w:customStyle="1" w:styleId="yaformsearch-precise1">
    <w:name w:val="yaform__search-precise1"/>
    <w:basedOn w:val="a"/>
    <w:uiPriority w:val="99"/>
    <w:rsid w:val="00FB6483"/>
    <w:pPr>
      <w:textAlignment w:val="top"/>
    </w:pPr>
    <w:rPr>
      <w:color w:val="000000"/>
      <w:sz w:val="12"/>
      <w:szCs w:val="12"/>
    </w:rPr>
  </w:style>
  <w:style w:type="paragraph" w:customStyle="1" w:styleId="yaformsearch-preciseradio1">
    <w:name w:val="yaform__search-precise__radio1"/>
    <w:basedOn w:val="a"/>
    <w:uiPriority w:val="99"/>
    <w:rsid w:val="00FB6483"/>
    <w:pPr>
      <w:ind w:right="72"/>
      <w:textAlignment w:val="center"/>
    </w:pPr>
  </w:style>
  <w:style w:type="paragraph" w:customStyle="1" w:styleId="yaformgap1">
    <w:name w:val="yaform__gap1"/>
    <w:basedOn w:val="a"/>
    <w:uiPriority w:val="99"/>
    <w:rsid w:val="00FB6483"/>
  </w:style>
  <w:style w:type="paragraph" w:customStyle="1" w:styleId="yaformgap-i1">
    <w:name w:val="yaform__gap-i1"/>
    <w:basedOn w:val="a"/>
    <w:uiPriority w:val="99"/>
    <w:rsid w:val="00FB6483"/>
  </w:style>
  <w:style w:type="paragraph" w:customStyle="1" w:styleId="yaformlogo1">
    <w:name w:val="yaform__logo1"/>
    <w:basedOn w:val="a"/>
    <w:uiPriority w:val="99"/>
    <w:rsid w:val="00FB6483"/>
  </w:style>
  <w:style w:type="paragraph" w:customStyle="1" w:styleId="yaformlogo-img1">
    <w:name w:val="yaform__logo-img1"/>
    <w:basedOn w:val="a"/>
    <w:uiPriority w:val="99"/>
    <w:rsid w:val="00FB6483"/>
  </w:style>
  <w:style w:type="paragraph" w:customStyle="1" w:styleId="yaformsearch1">
    <w:name w:val="yaform__search1"/>
    <w:basedOn w:val="a"/>
    <w:uiPriority w:val="99"/>
    <w:rsid w:val="00FB6483"/>
    <w:pPr>
      <w:spacing w:before="100" w:beforeAutospacing="1" w:after="100" w:afterAutospacing="1"/>
    </w:pPr>
    <w:rPr>
      <w:sz w:val="12"/>
      <w:szCs w:val="12"/>
    </w:rPr>
  </w:style>
  <w:style w:type="paragraph" w:customStyle="1" w:styleId="yaformsearch-input1">
    <w:name w:val="yaform__search-input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mage1">
    <w:name w:val="yaform__search-image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nput-layout1">
    <w:name w:val="yaform__search-input-layout1"/>
    <w:basedOn w:val="a"/>
    <w:uiPriority w:val="99"/>
    <w:rsid w:val="00FB648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yaformsearch-input-layout-l1">
    <w:name w:val="yaform__search-input-layout-l1"/>
    <w:basedOn w:val="a"/>
    <w:uiPriority w:val="99"/>
    <w:rsid w:val="00FB648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yaformsearch-input-layout-r1">
    <w:name w:val="yaform__search-input-layout-r1"/>
    <w:basedOn w:val="a"/>
    <w:uiPriority w:val="99"/>
    <w:rsid w:val="00FB648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yaformsearch-precise-i1">
    <w:name w:val="yaform__search-precise-i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preciselabel1">
    <w:name w:val="yaform__search-precise__label1"/>
    <w:basedOn w:val="a"/>
    <w:uiPriority w:val="99"/>
    <w:rsid w:val="00FB6483"/>
    <w:pPr>
      <w:ind w:right="96"/>
      <w:textAlignment w:val="center"/>
    </w:pPr>
  </w:style>
  <w:style w:type="paragraph" w:customStyle="1" w:styleId="yaforminput-text2">
    <w:name w:val="yaform__input-text2"/>
    <w:basedOn w:val="a"/>
    <w:uiPriority w:val="99"/>
    <w:rsid w:val="00FB6483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hd w:val="clear" w:color="auto" w:fill="FFFFFF"/>
    </w:pPr>
    <w:rPr>
      <w:color w:val="000000"/>
      <w:sz w:val="12"/>
      <w:szCs w:val="12"/>
    </w:rPr>
  </w:style>
  <w:style w:type="paragraph" w:customStyle="1" w:styleId="yaformform2">
    <w:name w:val="yaform__form2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-input2">
    <w:name w:val="yaform__search-input2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logo2">
    <w:name w:val="yaform__logo2"/>
    <w:basedOn w:val="a"/>
    <w:uiPriority w:val="99"/>
    <w:rsid w:val="00FB6483"/>
    <w:pPr>
      <w:spacing w:before="60"/>
      <w:ind w:left="60"/>
    </w:pPr>
  </w:style>
  <w:style w:type="paragraph" w:customStyle="1" w:styleId="yaforminput-texthint1">
    <w:name w:val="yaform__input-text_hint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ubmitimage1">
    <w:name w:val="yaform__submit_image1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b-suggest1">
    <w:name w:val="b-suggest1"/>
    <w:basedOn w:val="a"/>
    <w:uiPriority w:val="99"/>
    <w:rsid w:val="00FB6483"/>
  </w:style>
  <w:style w:type="paragraph" w:customStyle="1" w:styleId="b-suggest-holster1">
    <w:name w:val="b-suggest-holster1"/>
    <w:basedOn w:val="a"/>
    <w:uiPriority w:val="99"/>
    <w:rsid w:val="00FB6483"/>
  </w:style>
  <w:style w:type="paragraph" w:customStyle="1" w:styleId="b-suggest-popup1">
    <w:name w:val="b-suggest-popup1"/>
    <w:basedOn w:val="a"/>
    <w:uiPriority w:val="99"/>
    <w:rsid w:val="00FB6483"/>
  </w:style>
  <w:style w:type="paragraph" w:customStyle="1" w:styleId="b-suggest-list1">
    <w:name w:val="b-suggest-list1"/>
    <w:basedOn w:val="a"/>
    <w:uiPriority w:val="99"/>
    <w:rsid w:val="00FB648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FFFFFF"/>
    </w:pPr>
  </w:style>
  <w:style w:type="paragraph" w:customStyle="1" w:styleId="b-suggest-items1">
    <w:name w:val="b-suggest-items1"/>
    <w:basedOn w:val="a"/>
    <w:uiPriority w:val="99"/>
    <w:rsid w:val="00FB6483"/>
    <w:pPr>
      <w:shd w:val="clear" w:color="auto" w:fill="FFFFFF"/>
    </w:pPr>
  </w:style>
  <w:style w:type="paragraph" w:customStyle="1" w:styleId="b-suggest-elem1">
    <w:name w:val="b-suggest-elem1"/>
    <w:basedOn w:val="a"/>
    <w:uiPriority w:val="99"/>
    <w:rsid w:val="00FB6483"/>
  </w:style>
  <w:style w:type="paragraph" w:customStyle="1" w:styleId="b-suggest-elem2">
    <w:name w:val="b-suggest-elem2"/>
    <w:basedOn w:val="a"/>
    <w:uiPriority w:val="99"/>
    <w:rsid w:val="00FB6483"/>
    <w:rPr>
      <w:color w:val="000000"/>
    </w:rPr>
  </w:style>
  <w:style w:type="paragraph" w:customStyle="1" w:styleId="b-suggest-elemstatehover1">
    <w:name w:val="b-suggest-elem_state_hover1"/>
    <w:basedOn w:val="a"/>
    <w:uiPriority w:val="99"/>
    <w:rsid w:val="00FB6483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link1">
    <w:name w:val="link1"/>
    <w:basedOn w:val="a"/>
    <w:uiPriority w:val="99"/>
    <w:rsid w:val="00FB6483"/>
    <w:pPr>
      <w:spacing w:before="100" w:beforeAutospacing="1" w:after="100" w:afterAutospacing="1"/>
    </w:pPr>
    <w:rPr>
      <w:color w:val="1A3DC1"/>
      <w:u w:val="single"/>
    </w:rPr>
  </w:style>
  <w:style w:type="paragraph" w:customStyle="1" w:styleId="info1">
    <w:name w:val="info1"/>
    <w:basedOn w:val="a"/>
    <w:uiPriority w:val="99"/>
    <w:rsid w:val="00FB6483"/>
    <w:pPr>
      <w:spacing w:before="100" w:beforeAutospacing="1" w:after="100" w:afterAutospacing="1"/>
    </w:pPr>
    <w:rPr>
      <w:color w:val="666666"/>
    </w:rPr>
  </w:style>
  <w:style w:type="paragraph" w:customStyle="1" w:styleId="b-suggest-elemnum1">
    <w:name w:val="b-suggest-elem_num1"/>
    <w:basedOn w:val="a"/>
    <w:uiPriority w:val="99"/>
    <w:rsid w:val="00FB6483"/>
    <w:pPr>
      <w:spacing w:before="100" w:beforeAutospacing="1" w:after="100" w:afterAutospacing="1"/>
    </w:pPr>
    <w:rPr>
      <w:rFonts w:ascii="Courier New" w:hAnsi="Courier New" w:cs="Courier New"/>
      <w:b/>
      <w:bCs/>
      <w:color w:val="006600"/>
    </w:rPr>
  </w:style>
  <w:style w:type="paragraph" w:customStyle="1" w:styleId="info2">
    <w:name w:val="info2"/>
    <w:basedOn w:val="a"/>
    <w:uiPriority w:val="99"/>
    <w:rsid w:val="00FB6483"/>
    <w:pPr>
      <w:pBdr>
        <w:bottom w:val="dotted" w:sz="4" w:space="0" w:color="auto"/>
      </w:pBdr>
      <w:spacing w:before="100" w:beforeAutospacing="1" w:after="100" w:afterAutospacing="1"/>
    </w:pPr>
  </w:style>
  <w:style w:type="paragraph" w:customStyle="1" w:styleId="b-suggest-elemselected1">
    <w:name w:val="b-suggest-elem_selected1"/>
    <w:basedOn w:val="a"/>
    <w:uiPriority w:val="99"/>
    <w:rsid w:val="00FB6483"/>
    <w:pPr>
      <w:shd w:val="clear" w:color="auto" w:fill="FDEDAF"/>
      <w:spacing w:before="100" w:beforeAutospacing="1" w:after="100" w:afterAutospacing="1"/>
    </w:pPr>
  </w:style>
  <w:style w:type="paragraph" w:customStyle="1" w:styleId="b-suggest-close1">
    <w:name w:val="b-suggest-close1"/>
    <w:basedOn w:val="a"/>
    <w:uiPriority w:val="99"/>
    <w:rsid w:val="00FB6483"/>
    <w:pPr>
      <w:shd w:val="clear" w:color="auto" w:fill="999999"/>
      <w:spacing w:line="360" w:lineRule="atLeast"/>
      <w:jc w:val="right"/>
    </w:pPr>
    <w:rPr>
      <w:rFonts w:ascii="Verdana" w:hAnsi="Verdana"/>
      <w:color w:val="FFFFFF"/>
      <w:sz w:val="20"/>
      <w:szCs w:val="20"/>
    </w:rPr>
  </w:style>
  <w:style w:type="paragraph" w:customStyle="1" w:styleId="yaformsubmitimage2">
    <w:name w:val="yaform__submit_image2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input-texthint2">
    <w:name w:val="yaform__input-text_hint2"/>
    <w:basedOn w:val="a"/>
    <w:uiPriority w:val="99"/>
    <w:rsid w:val="00FB6483"/>
    <w:pPr>
      <w:spacing w:before="100" w:beforeAutospacing="1" w:after="100" w:afterAutospacing="1"/>
    </w:pPr>
  </w:style>
  <w:style w:type="paragraph" w:customStyle="1" w:styleId="yaformsearch2">
    <w:name w:val="yaform__search2"/>
    <w:basedOn w:val="a"/>
    <w:uiPriority w:val="99"/>
    <w:rsid w:val="00FB6483"/>
    <w:pPr>
      <w:shd w:val="clear" w:color="auto" w:fill="E1E1E1"/>
      <w:spacing w:before="100" w:beforeAutospacing="1" w:after="100" w:afterAutospacing="1"/>
    </w:pPr>
  </w:style>
  <w:style w:type="paragraph" w:customStyle="1" w:styleId="yaformprecise-i1">
    <w:name w:val="yaform__precise-i1"/>
    <w:basedOn w:val="a"/>
    <w:uiPriority w:val="99"/>
    <w:rsid w:val="00FB6483"/>
    <w:pPr>
      <w:shd w:val="clear" w:color="auto" w:fill="E1E1E1"/>
      <w:spacing w:before="100" w:beforeAutospacing="1" w:after="100" w:afterAutospacing="1"/>
    </w:pPr>
  </w:style>
  <w:style w:type="paragraph" w:customStyle="1" w:styleId="yaformsearch-preciselabel2">
    <w:name w:val="yaform__search-precise__label2"/>
    <w:basedOn w:val="a"/>
    <w:uiPriority w:val="99"/>
    <w:rsid w:val="00FB6483"/>
    <w:pPr>
      <w:spacing w:before="100" w:beforeAutospacing="1" w:after="100" w:afterAutospacing="1"/>
    </w:pPr>
    <w:rPr>
      <w:color w:val="000000"/>
    </w:rPr>
  </w:style>
  <w:style w:type="paragraph" w:customStyle="1" w:styleId="wrclogo1">
    <w:name w:val="wrc_logo1"/>
    <w:basedOn w:val="a"/>
    <w:uiPriority w:val="99"/>
    <w:rsid w:val="00FB6483"/>
    <w:pPr>
      <w:spacing w:before="100" w:beforeAutospacing="1" w:after="100" w:afterAutospacing="1" w:line="420" w:lineRule="atLeast"/>
      <w:jc w:val="right"/>
    </w:pPr>
    <w:rPr>
      <w:color w:val="FFA500"/>
    </w:rPr>
  </w:style>
  <w:style w:type="paragraph" w:customStyle="1" w:styleId="wrctitle1">
    <w:name w:val="wrc_title1"/>
    <w:basedOn w:val="a"/>
    <w:uiPriority w:val="99"/>
    <w:rsid w:val="00FB6483"/>
    <w:pPr>
      <w:spacing w:before="100" w:beforeAutospacing="1" w:after="100" w:afterAutospacing="1"/>
      <w:jc w:val="center"/>
    </w:pPr>
    <w:rPr>
      <w:caps/>
      <w:color w:val="B6BEC7"/>
    </w:rPr>
  </w:style>
  <w:style w:type="paragraph" w:customStyle="1" w:styleId="wrctxtrating1">
    <w:name w:val="wrc_txtrating1"/>
    <w:basedOn w:val="a"/>
    <w:uiPriority w:val="99"/>
    <w:rsid w:val="00FB6483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wrccontainer1">
    <w:name w:val="wrc_container1"/>
    <w:basedOn w:val="a"/>
    <w:uiPriority w:val="99"/>
    <w:rsid w:val="00FB64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8318</Words>
  <Characters>47415</Characters>
  <Application>Microsoft Office Word</Application>
  <DocSecurity>0</DocSecurity>
  <Lines>395</Lines>
  <Paragraphs>111</Paragraphs>
  <ScaleCrop>false</ScaleCrop>
  <Company>Home</Company>
  <LinksUpToDate>false</LinksUpToDate>
  <CharactersWithSpaces>55622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логистики в странах НАФТА</dc:title>
  <dc:subject/>
  <dc:creator>User</dc:creator>
  <cp:keywords/>
  <dc:description/>
  <cp:lastModifiedBy>Irina</cp:lastModifiedBy>
  <cp:revision>2</cp:revision>
  <dcterms:created xsi:type="dcterms:W3CDTF">2014-07-19T06:38:00Z</dcterms:created>
  <dcterms:modified xsi:type="dcterms:W3CDTF">2014-07-19T06:38:00Z</dcterms:modified>
</cp:coreProperties>
</file>