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71" w:rsidRDefault="00717A71" w:rsidP="0041435E">
      <w:pPr>
        <w:tabs>
          <w:tab w:val="left" w:pos="568"/>
        </w:tabs>
        <w:suppressAutoHyphens w:val="0"/>
        <w:overflowPunct/>
        <w:adjustRightInd w:val="0"/>
        <w:spacing w:before="20" w:after="20" w:line="360" w:lineRule="auto"/>
        <w:jc w:val="center"/>
        <w:textAlignment w:val="auto"/>
        <w:rPr>
          <w:rFonts w:ascii="Arial CYR" w:eastAsia="Calibri" w:hAnsi="Arial CYR" w:cs="Arial CYR"/>
          <w:kern w:val="0"/>
          <w:sz w:val="24"/>
          <w:szCs w:val="24"/>
          <w:lang w:eastAsia="en-US"/>
        </w:rPr>
      </w:pPr>
    </w:p>
    <w:p w:rsidR="0041435E" w:rsidRPr="0041435E" w:rsidRDefault="0041435E" w:rsidP="0041435E">
      <w:pPr>
        <w:tabs>
          <w:tab w:val="left" w:pos="568"/>
        </w:tabs>
        <w:suppressAutoHyphens w:val="0"/>
        <w:overflowPunct/>
        <w:adjustRightInd w:val="0"/>
        <w:spacing w:before="20" w:after="20" w:line="360" w:lineRule="auto"/>
        <w:jc w:val="center"/>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МИНИСТЕРСТВО НАУКИ И ОБРАЗОВАНИЯ РОССИЙСКОЙ ФЕДЕРАЦИИ</w:t>
      </w:r>
    </w:p>
    <w:p w:rsidR="0041435E" w:rsidRPr="0041435E" w:rsidRDefault="0041435E" w:rsidP="0041435E">
      <w:pPr>
        <w:tabs>
          <w:tab w:val="left" w:pos="568"/>
        </w:tabs>
        <w:suppressAutoHyphens w:val="0"/>
        <w:overflowPunct/>
        <w:adjustRightInd w:val="0"/>
        <w:spacing w:before="20" w:after="20" w:line="360" w:lineRule="auto"/>
        <w:ind w:left="568"/>
        <w:jc w:val="center"/>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ГОСУДАРСТВЕННОЕ ОБРАЗОВАТЕЛЬНОЕ УЧРЕЖДЕНИЕ</w:t>
      </w:r>
    </w:p>
    <w:p w:rsidR="0041435E" w:rsidRPr="0041435E" w:rsidRDefault="0041435E" w:rsidP="0041435E">
      <w:pPr>
        <w:tabs>
          <w:tab w:val="left" w:pos="568"/>
        </w:tabs>
        <w:suppressAutoHyphens w:val="0"/>
        <w:overflowPunct/>
        <w:adjustRightInd w:val="0"/>
        <w:spacing w:before="20" w:after="20" w:line="360" w:lineRule="auto"/>
        <w:ind w:left="568"/>
        <w:jc w:val="center"/>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ВЫСШЕГО ПРОФЕССИОНАЛЬНОГО ОБРАЗОВАНИЯ</w:t>
      </w:r>
    </w:p>
    <w:p w:rsidR="0041435E" w:rsidRPr="0041435E" w:rsidRDefault="0041435E" w:rsidP="0041435E">
      <w:pPr>
        <w:tabs>
          <w:tab w:val="left" w:pos="568"/>
        </w:tabs>
        <w:suppressAutoHyphens w:val="0"/>
        <w:overflowPunct/>
        <w:adjustRightInd w:val="0"/>
        <w:spacing w:before="20" w:after="20" w:line="360" w:lineRule="auto"/>
        <w:ind w:left="568"/>
        <w:jc w:val="center"/>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ТЮМЕНСКИЙ ГОСУДАРСТВЕННЫЙ УНИВЕРСИТЕТ</w:t>
      </w:r>
    </w:p>
    <w:p w:rsidR="0041435E" w:rsidRPr="0041435E" w:rsidRDefault="0041435E" w:rsidP="0041435E">
      <w:pPr>
        <w:tabs>
          <w:tab w:val="left" w:pos="568"/>
        </w:tabs>
        <w:suppressAutoHyphens w:val="0"/>
        <w:overflowPunct/>
        <w:adjustRightInd w:val="0"/>
        <w:spacing w:before="20" w:after="20" w:line="360" w:lineRule="auto"/>
        <w:jc w:val="center"/>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МЕЖДУНАРОДНЫЙ ИНСТИТУТ ФИНАНСОВ, УПРАВЛЕНИЯ И БИЗНЕСА</w:t>
      </w:r>
    </w:p>
    <w:p w:rsidR="0041435E" w:rsidRPr="0041435E" w:rsidRDefault="0041435E" w:rsidP="0041435E">
      <w:pPr>
        <w:tabs>
          <w:tab w:val="left" w:pos="568"/>
        </w:tabs>
        <w:suppressAutoHyphens w:val="0"/>
        <w:overflowPunct/>
        <w:adjustRightInd w:val="0"/>
        <w:spacing w:before="20" w:after="20" w:line="360" w:lineRule="auto"/>
        <w:ind w:left="568"/>
        <w:jc w:val="center"/>
        <w:textAlignment w:val="auto"/>
        <w:rPr>
          <w:rFonts w:ascii="Arial CYR" w:eastAsia="Calibri" w:hAnsi="Arial CYR" w:cs="Arial CYR"/>
          <w:i/>
          <w:iCs/>
          <w:kern w:val="0"/>
          <w:sz w:val="28"/>
          <w:szCs w:val="28"/>
          <w:lang w:eastAsia="en-US"/>
        </w:rPr>
      </w:pPr>
      <w:r w:rsidRPr="0041435E">
        <w:rPr>
          <w:rFonts w:ascii="Arial CYR" w:eastAsia="Calibri" w:hAnsi="Arial CYR" w:cs="Arial CYR"/>
          <w:kern w:val="0"/>
          <w:sz w:val="28"/>
          <w:szCs w:val="28"/>
          <w:lang w:eastAsia="en-US"/>
        </w:rPr>
        <w:t>Заочное отделение</w:t>
      </w:r>
    </w:p>
    <w:p w:rsidR="0041435E" w:rsidRPr="0041435E" w:rsidRDefault="0041435E" w:rsidP="0041435E">
      <w:pPr>
        <w:tabs>
          <w:tab w:val="left" w:pos="568"/>
        </w:tabs>
        <w:suppressAutoHyphens w:val="0"/>
        <w:overflowPunct/>
        <w:adjustRightInd w:val="0"/>
        <w:spacing w:before="20" w:after="20" w:line="360" w:lineRule="auto"/>
        <w:ind w:left="568"/>
        <w:jc w:val="center"/>
        <w:textAlignment w:val="auto"/>
        <w:rPr>
          <w:rFonts w:ascii="Arial CYR" w:eastAsia="Calibri" w:hAnsi="Arial CYR" w:cs="Arial CYR"/>
          <w:i/>
          <w:iCs/>
          <w:kern w:val="0"/>
          <w:sz w:val="28"/>
          <w:szCs w:val="28"/>
          <w:lang w:eastAsia="en-US"/>
        </w:rPr>
      </w:pPr>
    </w:p>
    <w:p w:rsidR="0041435E" w:rsidRPr="0041435E" w:rsidRDefault="0041435E" w:rsidP="0041435E">
      <w:pPr>
        <w:tabs>
          <w:tab w:val="left" w:pos="568"/>
        </w:tabs>
        <w:suppressAutoHyphens w:val="0"/>
        <w:overflowPunct/>
        <w:adjustRightInd w:val="0"/>
        <w:spacing w:line="360" w:lineRule="auto"/>
        <w:ind w:left="568"/>
        <w:jc w:val="center"/>
        <w:textAlignment w:val="auto"/>
        <w:rPr>
          <w:rFonts w:ascii="Arial CYR" w:eastAsia="Calibri" w:hAnsi="Arial CYR" w:cs="Arial CYR"/>
          <w:i/>
          <w:iCs/>
          <w:kern w:val="0"/>
          <w:sz w:val="28"/>
          <w:szCs w:val="28"/>
          <w:lang w:eastAsia="en-US"/>
        </w:rPr>
      </w:pPr>
    </w:p>
    <w:p w:rsidR="0041435E" w:rsidRPr="0041435E" w:rsidRDefault="0041435E" w:rsidP="0041435E">
      <w:pPr>
        <w:tabs>
          <w:tab w:val="left" w:pos="568"/>
        </w:tabs>
        <w:suppressAutoHyphens w:val="0"/>
        <w:overflowPunct/>
        <w:adjustRightInd w:val="0"/>
        <w:spacing w:line="360" w:lineRule="auto"/>
        <w:ind w:left="568"/>
        <w:jc w:val="center"/>
        <w:textAlignment w:val="auto"/>
        <w:rPr>
          <w:rFonts w:ascii="Times New Roman CYR" w:eastAsia="Calibri" w:hAnsi="Times New Roman CYR" w:cs="Times New Roman CYR"/>
          <w:b/>
          <w:bCs/>
          <w:kern w:val="0"/>
          <w:sz w:val="28"/>
          <w:szCs w:val="28"/>
          <w:lang w:eastAsia="en-US"/>
        </w:rPr>
      </w:pPr>
    </w:p>
    <w:p w:rsidR="0041435E" w:rsidRPr="0041435E" w:rsidRDefault="0041435E" w:rsidP="0041435E">
      <w:pPr>
        <w:tabs>
          <w:tab w:val="left" w:pos="568"/>
        </w:tabs>
        <w:suppressAutoHyphens w:val="0"/>
        <w:overflowPunct/>
        <w:adjustRightInd w:val="0"/>
        <w:ind w:left="568"/>
        <w:jc w:val="center"/>
        <w:textAlignment w:val="auto"/>
        <w:rPr>
          <w:rFonts w:ascii="Times New Roman CYR" w:eastAsia="Calibri" w:hAnsi="Times New Roman CYR" w:cs="Times New Roman CYR"/>
          <w:b/>
          <w:bCs/>
          <w:kern w:val="0"/>
          <w:sz w:val="24"/>
          <w:szCs w:val="24"/>
          <w:lang w:eastAsia="en-US"/>
        </w:rPr>
      </w:pPr>
    </w:p>
    <w:p w:rsidR="0041435E" w:rsidRPr="0041435E" w:rsidRDefault="0041435E" w:rsidP="0041435E">
      <w:pPr>
        <w:tabs>
          <w:tab w:val="left" w:pos="568"/>
        </w:tabs>
        <w:suppressAutoHyphens w:val="0"/>
        <w:overflowPunct/>
        <w:adjustRightInd w:val="0"/>
        <w:ind w:left="568"/>
        <w:jc w:val="center"/>
        <w:textAlignment w:val="auto"/>
        <w:rPr>
          <w:rFonts w:ascii="Arial" w:eastAsia="Calibri" w:hAnsi="Arial" w:cs="Arial"/>
          <w:kern w:val="0"/>
          <w:sz w:val="28"/>
          <w:szCs w:val="28"/>
          <w:lang w:eastAsia="en-US"/>
        </w:rPr>
      </w:pPr>
      <w:r w:rsidRPr="0041435E">
        <w:rPr>
          <w:rFonts w:ascii="Arial" w:eastAsia="Calibri" w:hAnsi="Arial" w:cs="Arial"/>
          <w:kern w:val="0"/>
          <w:sz w:val="28"/>
          <w:szCs w:val="28"/>
          <w:lang w:eastAsia="en-US"/>
        </w:rPr>
        <w:t>КОНТРОЛЬНАЯ РАБОТА</w:t>
      </w:r>
    </w:p>
    <w:p w:rsidR="0041435E" w:rsidRPr="0041435E" w:rsidRDefault="0041435E" w:rsidP="0041435E">
      <w:pPr>
        <w:tabs>
          <w:tab w:val="left" w:pos="568"/>
        </w:tabs>
        <w:suppressAutoHyphens w:val="0"/>
        <w:overflowPunct/>
        <w:adjustRightInd w:val="0"/>
        <w:ind w:left="568"/>
        <w:jc w:val="center"/>
        <w:textAlignment w:val="auto"/>
        <w:rPr>
          <w:rFonts w:ascii="Times New Roman CYR" w:eastAsia="Calibri" w:hAnsi="Times New Roman CYR" w:cs="Times New Roman CYR"/>
          <w:kern w:val="0"/>
          <w:sz w:val="28"/>
          <w:szCs w:val="28"/>
          <w:lang w:eastAsia="en-US"/>
        </w:rPr>
      </w:pPr>
    </w:p>
    <w:p w:rsidR="0041435E" w:rsidRPr="0041435E" w:rsidRDefault="0041435E" w:rsidP="0041435E">
      <w:pPr>
        <w:tabs>
          <w:tab w:val="left" w:pos="568"/>
        </w:tabs>
        <w:suppressAutoHyphens w:val="0"/>
        <w:overflowPunct/>
        <w:adjustRightInd w:val="0"/>
        <w:spacing w:line="360" w:lineRule="auto"/>
        <w:ind w:left="567"/>
        <w:jc w:val="center"/>
        <w:textAlignment w:val="auto"/>
        <w:rPr>
          <w:rFonts w:ascii="Arial" w:eastAsia="Calibri" w:hAnsi="Arial" w:cs="Arial"/>
          <w:kern w:val="0"/>
          <w:sz w:val="28"/>
          <w:szCs w:val="28"/>
          <w:lang w:eastAsia="en-US"/>
        </w:rPr>
      </w:pPr>
      <w:r w:rsidRPr="0041435E">
        <w:rPr>
          <w:rFonts w:ascii="Arial CYR" w:eastAsia="Calibri" w:hAnsi="Arial CYR" w:cs="Arial CYR"/>
          <w:kern w:val="0"/>
          <w:sz w:val="28"/>
          <w:szCs w:val="28"/>
          <w:lang w:eastAsia="en-US"/>
        </w:rPr>
        <w:t>По дисциплине</w:t>
      </w:r>
      <w:r w:rsidRPr="0041435E">
        <w:rPr>
          <w:rFonts w:ascii="Arial" w:eastAsia="Calibri" w:hAnsi="Arial" w:cs="Arial"/>
          <w:kern w:val="0"/>
          <w:sz w:val="28"/>
          <w:szCs w:val="28"/>
          <w:lang w:eastAsia="en-US"/>
        </w:rPr>
        <w:t>: Налоги и налогообложение</w:t>
      </w:r>
    </w:p>
    <w:p w:rsidR="0041435E" w:rsidRPr="0041435E" w:rsidRDefault="0041435E" w:rsidP="0041435E">
      <w:pPr>
        <w:tabs>
          <w:tab w:val="left" w:pos="568"/>
        </w:tabs>
        <w:suppressAutoHyphens w:val="0"/>
        <w:overflowPunct/>
        <w:adjustRightInd w:val="0"/>
        <w:spacing w:line="360" w:lineRule="auto"/>
        <w:ind w:left="567"/>
        <w:jc w:val="center"/>
        <w:textAlignment w:val="auto"/>
        <w:rPr>
          <w:rFonts w:ascii="Arial CYR" w:eastAsia="Calibri" w:hAnsi="Arial CYR" w:cs="Arial CYR"/>
          <w:kern w:val="0"/>
          <w:sz w:val="28"/>
          <w:szCs w:val="28"/>
          <w:lang w:eastAsia="en-US"/>
        </w:rPr>
      </w:pPr>
      <w:r w:rsidRPr="0041435E">
        <w:rPr>
          <w:rFonts w:ascii="Arial CYR" w:eastAsia="Calibri" w:hAnsi="Arial CYR" w:cs="Arial CYR"/>
          <w:kern w:val="0"/>
          <w:sz w:val="28"/>
          <w:szCs w:val="28"/>
          <w:lang w:eastAsia="en-US"/>
        </w:rPr>
        <w:t>Вариант №4</w:t>
      </w:r>
    </w:p>
    <w:p w:rsidR="0041435E" w:rsidRPr="0041435E" w:rsidRDefault="0041435E" w:rsidP="0041435E">
      <w:pPr>
        <w:tabs>
          <w:tab w:val="left" w:pos="568"/>
        </w:tabs>
        <w:suppressAutoHyphens w:val="0"/>
        <w:overflowPunct/>
        <w:adjustRightInd w:val="0"/>
        <w:spacing w:line="360" w:lineRule="auto"/>
        <w:ind w:left="567"/>
        <w:textAlignment w:val="auto"/>
        <w:rPr>
          <w:rFonts w:ascii="Arial CYR" w:eastAsia="Calibri" w:hAnsi="Arial CYR" w:cs="Arial CYR"/>
          <w:b/>
          <w:bCs/>
          <w:kern w:val="0"/>
          <w:sz w:val="24"/>
          <w:szCs w:val="24"/>
          <w:lang w:eastAsia="en-US"/>
        </w:rPr>
      </w:pPr>
    </w:p>
    <w:p w:rsidR="0041435E" w:rsidRPr="0041435E" w:rsidRDefault="0041435E" w:rsidP="0041435E">
      <w:pPr>
        <w:tabs>
          <w:tab w:val="left" w:pos="568"/>
        </w:tabs>
        <w:suppressAutoHyphens w:val="0"/>
        <w:overflowPunct/>
        <w:adjustRightInd w:val="0"/>
        <w:ind w:left="568"/>
        <w:jc w:val="center"/>
        <w:textAlignment w:val="auto"/>
        <w:rPr>
          <w:rFonts w:ascii="Times New Roman CYR" w:eastAsia="Calibri" w:hAnsi="Times New Roman CYR" w:cs="Times New Roman CYR"/>
          <w:b/>
          <w:bCs/>
          <w:kern w:val="0"/>
          <w:sz w:val="24"/>
          <w:szCs w:val="24"/>
          <w:lang w:eastAsia="en-US"/>
        </w:rPr>
      </w:pPr>
    </w:p>
    <w:p w:rsidR="0041435E" w:rsidRPr="0041435E" w:rsidRDefault="0041435E" w:rsidP="0041435E">
      <w:pPr>
        <w:tabs>
          <w:tab w:val="left" w:pos="568"/>
        </w:tabs>
        <w:suppressAutoHyphens w:val="0"/>
        <w:overflowPunct/>
        <w:adjustRightInd w:val="0"/>
        <w:ind w:left="568"/>
        <w:jc w:val="center"/>
        <w:textAlignment w:val="auto"/>
        <w:rPr>
          <w:rFonts w:ascii="Times New Roman CYR" w:eastAsia="Calibri" w:hAnsi="Times New Roman CYR" w:cs="Times New Roman CYR"/>
          <w:b/>
          <w:bCs/>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bCs/>
          <w:kern w:val="0"/>
          <w:sz w:val="24"/>
          <w:szCs w:val="24"/>
          <w:lang w:eastAsia="en-US"/>
        </w:rPr>
      </w:pPr>
    </w:p>
    <w:p w:rsidR="0041435E" w:rsidRPr="0041435E" w:rsidRDefault="0041435E" w:rsidP="0041435E">
      <w:pPr>
        <w:suppressAutoHyphens w:val="0"/>
        <w:overflowPunct/>
        <w:adjustRightInd w:val="0"/>
        <w:textAlignment w:val="auto"/>
        <w:rPr>
          <w:rFonts w:ascii="Times New Roman CYR" w:eastAsia="Calibri" w:hAnsi="Times New Roman CYR" w:cs="Times New Roman CYR"/>
          <w:b/>
          <w:bCs/>
          <w:kern w:val="0"/>
          <w:sz w:val="24"/>
          <w:szCs w:val="24"/>
          <w:lang w:eastAsia="en-US"/>
        </w:rPr>
      </w:pPr>
    </w:p>
    <w:p w:rsidR="0041435E" w:rsidRPr="0041435E" w:rsidRDefault="0041435E" w:rsidP="0041435E">
      <w:pPr>
        <w:suppressAutoHyphens w:val="0"/>
        <w:overflowPunct/>
        <w:adjustRightInd w:val="0"/>
        <w:jc w:val="right"/>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right"/>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right"/>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right"/>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ind w:left="852" w:right="852"/>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right"/>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spacing w:line="360" w:lineRule="auto"/>
        <w:jc w:val="right"/>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 xml:space="preserve">Выполнила: </w:t>
      </w:r>
    </w:p>
    <w:p w:rsidR="0041435E" w:rsidRPr="0041435E" w:rsidRDefault="0041435E" w:rsidP="0041435E">
      <w:pPr>
        <w:suppressAutoHyphens w:val="0"/>
        <w:overflowPunct/>
        <w:adjustRightInd w:val="0"/>
        <w:spacing w:line="360" w:lineRule="auto"/>
        <w:jc w:val="right"/>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студентка 3-го курса</w:t>
      </w:r>
    </w:p>
    <w:p w:rsidR="0041435E" w:rsidRPr="0041435E" w:rsidRDefault="0041435E" w:rsidP="0041435E">
      <w:pPr>
        <w:suppressAutoHyphens w:val="0"/>
        <w:overflowPunct/>
        <w:adjustRightInd w:val="0"/>
        <w:spacing w:line="360" w:lineRule="auto"/>
        <w:jc w:val="right"/>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группы № 2572 ФиК</w:t>
      </w:r>
    </w:p>
    <w:p w:rsidR="0041435E" w:rsidRPr="0041435E" w:rsidRDefault="0041435E" w:rsidP="0041435E">
      <w:pPr>
        <w:suppressAutoHyphens w:val="0"/>
        <w:overflowPunct/>
        <w:adjustRightInd w:val="0"/>
        <w:spacing w:line="360" w:lineRule="auto"/>
        <w:jc w:val="right"/>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__________________</w:t>
      </w:r>
    </w:p>
    <w:p w:rsidR="0041435E" w:rsidRPr="0041435E" w:rsidRDefault="0041435E" w:rsidP="0041435E">
      <w:pPr>
        <w:suppressAutoHyphens w:val="0"/>
        <w:overflowPunct/>
        <w:adjustRightInd w:val="0"/>
        <w:spacing w:line="360" w:lineRule="auto"/>
        <w:jc w:val="right"/>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Проверил (а):</w:t>
      </w:r>
    </w:p>
    <w:p w:rsidR="0041435E" w:rsidRPr="0041435E" w:rsidRDefault="0041435E" w:rsidP="0041435E">
      <w:pPr>
        <w:suppressAutoHyphens w:val="0"/>
        <w:overflowPunct/>
        <w:adjustRightInd w:val="0"/>
        <w:spacing w:line="360" w:lineRule="auto"/>
        <w:jc w:val="right"/>
        <w:textAlignment w:val="auto"/>
        <w:rPr>
          <w:rFonts w:ascii="Times New Roman CYR" w:eastAsia="Calibri" w:hAnsi="Times New Roman CYR" w:cs="Times New Roman CYR"/>
          <w:kern w:val="0"/>
          <w:sz w:val="24"/>
          <w:szCs w:val="24"/>
          <w:lang w:eastAsia="en-US"/>
        </w:rPr>
      </w:pPr>
      <w:r w:rsidRPr="0041435E">
        <w:rPr>
          <w:rFonts w:ascii="Arial CYR" w:eastAsia="Calibri" w:hAnsi="Arial CYR" w:cs="Arial CYR"/>
          <w:kern w:val="0"/>
          <w:sz w:val="24"/>
          <w:szCs w:val="24"/>
          <w:lang w:eastAsia="en-US"/>
        </w:rPr>
        <w:t>__________________</w:t>
      </w:r>
    </w:p>
    <w:p w:rsidR="0041435E" w:rsidRPr="0041435E" w:rsidRDefault="0041435E" w:rsidP="0041435E">
      <w:pPr>
        <w:suppressAutoHyphens w:val="0"/>
        <w:overflowPunct/>
        <w:adjustRightInd w:val="0"/>
        <w:spacing w:line="360" w:lineRule="auto"/>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jc w:val="center"/>
        <w:textAlignment w:val="auto"/>
        <w:rPr>
          <w:rFonts w:ascii="Times New Roman CYR" w:eastAsia="Calibri" w:hAnsi="Times New Roman CYR" w:cs="Times New Roman CYR"/>
          <w:kern w:val="0"/>
          <w:sz w:val="24"/>
          <w:szCs w:val="24"/>
          <w:lang w:eastAsia="en-US"/>
        </w:rPr>
      </w:pPr>
    </w:p>
    <w:p w:rsidR="0041435E" w:rsidRPr="0041435E" w:rsidRDefault="0041435E" w:rsidP="0041435E">
      <w:pPr>
        <w:suppressAutoHyphens w:val="0"/>
        <w:overflowPunct/>
        <w:adjustRightInd w:val="0"/>
        <w:textAlignment w:val="auto"/>
        <w:rPr>
          <w:rFonts w:ascii="Arial CYR" w:eastAsia="Calibri" w:hAnsi="Arial CYR" w:cs="Arial CYR"/>
          <w:kern w:val="0"/>
          <w:sz w:val="24"/>
          <w:szCs w:val="24"/>
          <w:lang w:eastAsia="en-US"/>
        </w:rPr>
      </w:pPr>
    </w:p>
    <w:p w:rsidR="0041435E" w:rsidRPr="0041435E" w:rsidRDefault="0041435E" w:rsidP="0041435E">
      <w:pPr>
        <w:suppressAutoHyphens w:val="0"/>
        <w:overflowPunct/>
        <w:adjustRightInd w:val="0"/>
        <w:textAlignment w:val="auto"/>
        <w:rPr>
          <w:rFonts w:ascii="Arial CYR" w:eastAsia="Calibri" w:hAnsi="Arial CYR" w:cs="Arial CYR"/>
          <w:kern w:val="0"/>
          <w:sz w:val="24"/>
          <w:szCs w:val="24"/>
          <w:lang w:eastAsia="en-US"/>
        </w:rPr>
      </w:pPr>
      <w:r w:rsidRPr="0041435E">
        <w:rPr>
          <w:rFonts w:ascii="Arial CYR" w:eastAsia="Calibri" w:hAnsi="Arial CYR" w:cs="Arial CYR"/>
          <w:kern w:val="0"/>
          <w:sz w:val="24"/>
          <w:szCs w:val="24"/>
          <w:lang w:eastAsia="en-US"/>
        </w:rPr>
        <w:t xml:space="preserve">                                                    Тюмень 2010</w:t>
      </w: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rPr>
          <w:rFonts w:ascii="Arial" w:hAnsi="Arial" w:cs="Arial"/>
          <w:sz w:val="28"/>
          <w:szCs w:val="28"/>
        </w:rPr>
      </w:pPr>
      <w:r>
        <w:rPr>
          <w:rFonts w:ascii="Arial" w:hAnsi="Arial" w:cs="Arial"/>
          <w:sz w:val="28"/>
          <w:szCs w:val="28"/>
        </w:rPr>
        <w:t xml:space="preserve">                                 СОДЕРЖАНИЕ</w:t>
      </w:r>
    </w:p>
    <w:p w:rsidR="008E5E74" w:rsidRPr="008E5E74" w:rsidRDefault="008E5E74" w:rsidP="008E5E74">
      <w:pPr>
        <w:numPr>
          <w:ilvl w:val="0"/>
          <w:numId w:val="5"/>
        </w:numPr>
        <w:spacing w:line="360" w:lineRule="auto"/>
        <w:jc w:val="both"/>
        <w:rPr>
          <w:rFonts w:ascii="Arial" w:hAnsi="Arial" w:cs="Arial"/>
          <w:sz w:val="24"/>
          <w:szCs w:val="24"/>
        </w:rPr>
      </w:pPr>
      <w:r w:rsidRPr="008E5E74">
        <w:rPr>
          <w:rFonts w:ascii="Arial" w:hAnsi="Arial" w:cs="Arial"/>
          <w:sz w:val="24"/>
          <w:szCs w:val="24"/>
        </w:rPr>
        <w:t>Налоговая политика РФ, ее понятие и основные направления развития.</w:t>
      </w:r>
    </w:p>
    <w:p w:rsidR="008E5E74" w:rsidRPr="008E5E74" w:rsidRDefault="008E5E74" w:rsidP="008E5E74">
      <w:pPr>
        <w:numPr>
          <w:ilvl w:val="0"/>
          <w:numId w:val="5"/>
        </w:numPr>
        <w:spacing w:line="360" w:lineRule="auto"/>
        <w:jc w:val="both"/>
        <w:rPr>
          <w:rFonts w:ascii="Arial" w:hAnsi="Arial" w:cs="Arial"/>
          <w:sz w:val="24"/>
          <w:szCs w:val="24"/>
        </w:rPr>
      </w:pPr>
      <w:r w:rsidRPr="008E5E74">
        <w:rPr>
          <w:rFonts w:ascii="Arial" w:hAnsi="Arial" w:cs="Arial"/>
          <w:sz w:val="24"/>
          <w:szCs w:val="24"/>
        </w:rPr>
        <w:t>Акцизы: плательщики, ставки, порядок исчисления и уплаты.</w:t>
      </w:r>
    </w:p>
    <w:p w:rsidR="008E5E74" w:rsidRPr="008E5E74" w:rsidRDefault="008E5E74" w:rsidP="008E5E74">
      <w:pPr>
        <w:numPr>
          <w:ilvl w:val="0"/>
          <w:numId w:val="5"/>
        </w:numPr>
        <w:spacing w:line="360" w:lineRule="auto"/>
        <w:jc w:val="both"/>
        <w:rPr>
          <w:rFonts w:ascii="Arial" w:hAnsi="Arial" w:cs="Arial"/>
          <w:sz w:val="24"/>
          <w:szCs w:val="24"/>
        </w:rPr>
      </w:pPr>
      <w:r w:rsidRPr="008E5E74">
        <w:rPr>
          <w:rFonts w:ascii="Arial" w:hAnsi="Arial" w:cs="Arial"/>
          <w:sz w:val="24"/>
          <w:szCs w:val="24"/>
        </w:rPr>
        <w:t>Задача.</w:t>
      </w:r>
    </w:p>
    <w:p w:rsidR="008E5E74" w:rsidRPr="008E5E74" w:rsidRDefault="008E5E74" w:rsidP="008E5E74">
      <w:pPr>
        <w:spacing w:line="360" w:lineRule="auto"/>
        <w:ind w:firstLine="567"/>
        <w:jc w:val="both"/>
        <w:rPr>
          <w:rFonts w:ascii="Arial" w:hAnsi="Arial" w:cs="Arial"/>
          <w:sz w:val="24"/>
          <w:szCs w:val="24"/>
        </w:rPr>
      </w:pPr>
      <w:r w:rsidRPr="008E5E74">
        <w:rPr>
          <w:rFonts w:ascii="Arial" w:hAnsi="Arial" w:cs="Arial"/>
          <w:sz w:val="24"/>
          <w:szCs w:val="24"/>
        </w:rPr>
        <w:t>Уставный капитал компании «А» состоит из 740 акций, из которых российской организации принадлежит 140акций, ин. организации -100акций, физ. лицу – резиденту РФ – 400 акций, физ. лицу – нерезиденту РФ – 100 акций. Общим собранием акционеров принято решение выплатить дивиденды в размере 1 рубль на 1 акцию. Организацией «А» были получены дивиденды от долевого участия в других организациях  в сумме 200 рублей.</w:t>
      </w:r>
    </w:p>
    <w:p w:rsidR="008E5E74" w:rsidRPr="008E5E74" w:rsidRDefault="008E5E74" w:rsidP="008E5E74">
      <w:pPr>
        <w:spacing w:line="360" w:lineRule="auto"/>
        <w:ind w:firstLine="567"/>
        <w:jc w:val="both"/>
        <w:rPr>
          <w:rFonts w:ascii="Arial" w:hAnsi="Arial" w:cs="Arial"/>
          <w:sz w:val="24"/>
          <w:szCs w:val="24"/>
        </w:rPr>
      </w:pPr>
      <w:r w:rsidRPr="008E5E74">
        <w:rPr>
          <w:rFonts w:ascii="Arial" w:hAnsi="Arial" w:cs="Arial"/>
          <w:sz w:val="24"/>
          <w:szCs w:val="24"/>
        </w:rPr>
        <w:t>Определить сумму налога, удержанную налоговым агентом с начисленных дивидендов.</w:t>
      </w:r>
    </w:p>
    <w:p w:rsidR="0041435E" w:rsidRPr="008E5E74" w:rsidRDefault="0041435E" w:rsidP="008E5E74">
      <w:pPr>
        <w:spacing w:line="360" w:lineRule="auto"/>
        <w:ind w:firstLine="567"/>
        <w:rPr>
          <w:rFonts w:ascii="Arial" w:hAnsi="Arial" w:cs="Arial"/>
          <w:sz w:val="24"/>
          <w:szCs w:val="24"/>
        </w:rPr>
      </w:pPr>
    </w:p>
    <w:p w:rsidR="0041435E" w:rsidRPr="008E5E74" w:rsidRDefault="0041435E" w:rsidP="008E5E74">
      <w:pPr>
        <w:spacing w:line="360" w:lineRule="auto"/>
        <w:ind w:firstLine="567"/>
        <w:jc w:val="both"/>
        <w:rPr>
          <w:rFonts w:ascii="Arial" w:hAnsi="Arial" w:cs="Arial"/>
          <w:b/>
          <w:sz w:val="24"/>
          <w:szCs w:val="24"/>
          <w:u w:val="single"/>
        </w:rPr>
      </w:pPr>
    </w:p>
    <w:p w:rsidR="0041435E" w:rsidRDefault="0041435E" w:rsidP="008E5E74">
      <w:pPr>
        <w:spacing w:line="360" w:lineRule="auto"/>
        <w:ind w:firstLine="567"/>
        <w:jc w:val="both"/>
        <w:rPr>
          <w:rFonts w:ascii="Arial" w:hAnsi="Arial" w:cs="Arial"/>
          <w:b/>
          <w:sz w:val="24"/>
          <w:szCs w:val="24"/>
          <w:u w:val="single"/>
        </w:rPr>
      </w:pPr>
    </w:p>
    <w:p w:rsidR="0041435E" w:rsidRDefault="0041435E" w:rsidP="008E5E74">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Pr="008E5E74" w:rsidRDefault="008E5E74" w:rsidP="008E5E74">
      <w:pPr>
        <w:spacing w:line="360" w:lineRule="auto"/>
        <w:ind w:firstLine="567"/>
        <w:jc w:val="center"/>
        <w:rPr>
          <w:rFonts w:ascii="Arial" w:hAnsi="Arial" w:cs="Arial"/>
          <w:sz w:val="28"/>
          <w:szCs w:val="28"/>
        </w:rPr>
      </w:pPr>
      <w:r w:rsidRPr="008E5E74">
        <w:rPr>
          <w:rFonts w:ascii="Arial" w:hAnsi="Arial" w:cs="Arial"/>
          <w:sz w:val="28"/>
          <w:szCs w:val="28"/>
        </w:rPr>
        <w:t>1. Налоговая политика РФ, ее понятие и основные направления развития</w:t>
      </w:r>
    </w:p>
    <w:p w:rsidR="00C54FBD" w:rsidRDefault="00C54FBD" w:rsidP="008E5E74">
      <w:pPr>
        <w:spacing w:line="360" w:lineRule="auto"/>
        <w:rPr>
          <w:rFonts w:ascii="Arial" w:hAnsi="Arial" w:cs="Arial"/>
          <w:b/>
          <w:sz w:val="24"/>
          <w:szCs w:val="24"/>
          <w:u w:val="single"/>
        </w:rPr>
      </w:pPr>
    </w:p>
    <w:p w:rsidR="008E5E74" w:rsidRPr="0041435E" w:rsidRDefault="008E5E74" w:rsidP="008E5E74">
      <w:pPr>
        <w:spacing w:line="360" w:lineRule="auto"/>
        <w:rPr>
          <w:rFonts w:ascii="Arial" w:hAnsi="Arial" w:cs="Arial"/>
          <w:sz w:val="24"/>
          <w:szCs w:val="24"/>
        </w:rPr>
      </w:pPr>
      <w:r w:rsidRPr="0041435E">
        <w:rPr>
          <w:rFonts w:ascii="Arial" w:hAnsi="Arial" w:cs="Arial"/>
          <w:sz w:val="24"/>
          <w:szCs w:val="24"/>
        </w:rPr>
        <w:t>Слово «политика» имеет в русском языке много значений, из которых, имея в виду именно налоговую сферу, наиболее точным следует признать определение политики как «искусства государственного управления». Соответственно, под налоговой политикой понимается «искусство налогового управления», где субъектом управления является государство, а непосредственным объектом управления служат налоги, налоговая система.</w:t>
      </w:r>
    </w:p>
    <w:p w:rsidR="008E5E74" w:rsidRPr="0041435E" w:rsidRDefault="008E5E74" w:rsidP="008E5E74">
      <w:pPr>
        <w:spacing w:line="360" w:lineRule="auto"/>
        <w:rPr>
          <w:rFonts w:ascii="Arial" w:hAnsi="Arial" w:cs="Arial"/>
          <w:sz w:val="24"/>
          <w:szCs w:val="24"/>
        </w:rPr>
      </w:pPr>
      <w:r w:rsidRPr="0041435E">
        <w:rPr>
          <w:rFonts w:ascii="Arial" w:hAnsi="Arial" w:cs="Arial"/>
          <w:sz w:val="24"/>
          <w:szCs w:val="24"/>
        </w:rPr>
        <w:t xml:space="preserve">Налоговая политика - это комплекс правовых действий органов власти и управления, определяющий целенаправленное применение налоговых законов. При осуществлении </w:t>
      </w:r>
      <w:r w:rsidR="00C54FBD" w:rsidRPr="0041435E">
        <w:rPr>
          <w:rFonts w:ascii="Arial" w:hAnsi="Arial" w:cs="Arial"/>
          <w:sz w:val="24"/>
          <w:szCs w:val="24"/>
        </w:rPr>
        <w:t>налоговой</w:t>
      </w:r>
      <w:r w:rsidRPr="0041435E">
        <w:rPr>
          <w:rFonts w:ascii="Arial" w:hAnsi="Arial" w:cs="Arial"/>
          <w:sz w:val="24"/>
          <w:szCs w:val="24"/>
        </w:rPr>
        <w:t xml:space="preserve"> политики установленные законом правовые нормы реализуются при регулировании, планировании и контроле государственных доходов, формируемых налоговым методом. Экономически обоснованная налоговая политика преследует цель оптимизировать централизацию средств через налоговую систему.</w:t>
      </w:r>
    </w:p>
    <w:p w:rsidR="008E5E74" w:rsidRPr="0041435E" w:rsidRDefault="008E5E74" w:rsidP="008E5E74">
      <w:pPr>
        <w:spacing w:line="360" w:lineRule="auto"/>
        <w:rPr>
          <w:rFonts w:ascii="Arial" w:hAnsi="Arial" w:cs="Arial"/>
          <w:sz w:val="24"/>
          <w:szCs w:val="24"/>
        </w:rPr>
      </w:pPr>
      <w:r w:rsidRPr="0041435E">
        <w:rPr>
          <w:rFonts w:ascii="Arial" w:hAnsi="Arial" w:cs="Arial"/>
          <w:sz w:val="24"/>
          <w:szCs w:val="24"/>
        </w:rPr>
        <w:t xml:space="preserve">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 </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 xml:space="preserve">Главные направления налоговой политики должны исходить не только из центральной функции налогов - пополнение государственной казны. Нельзя забывать о том, что налоги - важнейший экономический инструмент стимулирования и регулирования производства, обеспечения социальных гарантий. Используя дифференциацию ставок и предоставления льгот, через систему перераспределения доходов с помощью налогов можно и необходимо обеспечивать обоснованную структурную перестройку производства в пользу отраслей, в первую очередь служащих удовлетворению жизненных потребностей населения, и уже на той основе - пополнению государственной казны. </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 xml:space="preserve">Конституция Российской Федерации (п. «б» ч.1 ст.114) закрепила принцип единой финансовой политики. Налоговая политика является составной частью финансовой политики и инструментом государственного регулирования социально-экономических процессов в обществе. В первом случае посредством налогового механизма государство регулирует формирование собственных средств хозяйствующих субъектов (прибыль, амортизация), своих централизованных фондов финансовых ресурсов и доходов населения. Здесь реализуется фискальная (распределительная) функция налогов. </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r w:rsidRPr="0041435E">
        <w:rPr>
          <w:rFonts w:ascii="Arial" w:hAnsi="Arial" w:cs="Arial"/>
          <w:sz w:val="24"/>
          <w:szCs w:val="24"/>
        </w:rPr>
        <w:br/>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 xml:space="preserve"> Налоговая политика (управление налоговой системой) осуществляется с помощью определенных мероприятий (управленческих решений) в области налогов. Эти решения определяются направлениями (целями) налоговой политики и могут занимать широкий диапазон: от косметических, корректировочных, текущих до реформаторских с существенными изменениями налоговой системы и заметными социально-экономическими последствиями.</w:t>
      </w:r>
    </w:p>
    <w:p w:rsidR="00187A2D" w:rsidRPr="0041435E" w:rsidRDefault="00187A2D" w:rsidP="00187A2D">
      <w:pPr>
        <w:spacing w:line="360" w:lineRule="auto"/>
        <w:rPr>
          <w:rFonts w:ascii="Arial" w:hAnsi="Arial" w:cs="Arial"/>
          <w:sz w:val="24"/>
          <w:szCs w:val="24"/>
        </w:rPr>
      </w:pP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Основные направления налоговой политики Российской Федерации на 2011 год и на плановый период 2012 и 2013 годов (далее . Основные направления налоговой политики) подготовлены в рамках составления проекта федерального бюджета на очередной финансовый год и двухлетний плановый период. Основные направления налоговой политики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Помимо решения задач в области бюджетного планирования Основные направления налоговой политики позволяют экономическим агентам определить ориентиры в налоговой сфере на трехлетний период, что должно способствовать стабилизации и повышению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187A2D" w:rsidRPr="0041435E" w:rsidRDefault="00187A2D" w:rsidP="00187A2D">
      <w:pPr>
        <w:spacing w:line="360" w:lineRule="auto"/>
        <w:rPr>
          <w:rFonts w:ascii="Arial" w:hAnsi="Arial" w:cs="Arial"/>
          <w:sz w:val="24"/>
          <w:szCs w:val="24"/>
        </w:rPr>
      </w:pPr>
      <w:r w:rsidRPr="0041435E">
        <w:rPr>
          <w:rFonts w:ascii="Arial" w:hAnsi="Arial" w:cs="Arial"/>
          <w:sz w:val="24"/>
          <w:szCs w:val="24"/>
        </w:rPr>
        <w:t>Особое значение настоящий документ приобретает в условиях завершения реализации срочных антикризисных действий и перехода к устойчивому развитию экономики.</w:t>
      </w: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41435E" w:rsidRDefault="0041435E" w:rsidP="0041435E">
      <w:pPr>
        <w:spacing w:line="360" w:lineRule="auto"/>
        <w:ind w:firstLine="567"/>
        <w:jc w:val="both"/>
        <w:rPr>
          <w:rFonts w:ascii="Arial" w:hAnsi="Arial" w:cs="Arial"/>
          <w:b/>
          <w:sz w:val="24"/>
          <w:szCs w:val="24"/>
          <w:u w:val="single"/>
        </w:rPr>
      </w:pPr>
    </w:p>
    <w:p w:rsidR="008E5E74" w:rsidRDefault="008E5E74" w:rsidP="0041435E">
      <w:pPr>
        <w:spacing w:line="360" w:lineRule="auto"/>
        <w:ind w:left="927" w:hanging="360"/>
        <w:jc w:val="both"/>
        <w:rPr>
          <w:rFonts w:ascii="Arial" w:hAnsi="Arial" w:cs="Arial"/>
          <w:b/>
          <w:sz w:val="24"/>
          <w:szCs w:val="24"/>
          <w:u w:val="single"/>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8E5E74" w:rsidRDefault="008E5E74" w:rsidP="0041435E">
      <w:pPr>
        <w:spacing w:line="360" w:lineRule="auto"/>
        <w:ind w:left="927" w:hanging="360"/>
        <w:jc w:val="both"/>
        <w:rPr>
          <w:rFonts w:ascii="Arial" w:hAnsi="Arial" w:cs="Arial"/>
          <w:sz w:val="24"/>
          <w:szCs w:val="24"/>
        </w:rPr>
      </w:pPr>
    </w:p>
    <w:p w:rsidR="00C54FBD" w:rsidRDefault="00C54FBD" w:rsidP="00C54FBD">
      <w:pPr>
        <w:widowControl/>
        <w:suppressAutoHyphens w:val="0"/>
        <w:overflowPunct/>
        <w:autoSpaceDE/>
        <w:spacing w:line="360" w:lineRule="auto"/>
        <w:jc w:val="both"/>
        <w:textAlignment w:val="auto"/>
        <w:rPr>
          <w:rFonts w:ascii="Arial" w:hAnsi="Arial" w:cs="Arial"/>
          <w:sz w:val="24"/>
          <w:szCs w:val="24"/>
        </w:rPr>
      </w:pPr>
    </w:p>
    <w:p w:rsidR="00FB6AE9" w:rsidRPr="00C54FBD" w:rsidRDefault="008E5E74" w:rsidP="00C54FBD">
      <w:pPr>
        <w:widowControl/>
        <w:suppressAutoHyphens w:val="0"/>
        <w:overflowPunct/>
        <w:autoSpaceDE/>
        <w:spacing w:line="360" w:lineRule="auto"/>
        <w:jc w:val="center"/>
        <w:textAlignment w:val="auto"/>
        <w:rPr>
          <w:rFonts w:ascii="Arial" w:hAnsi="Arial" w:cs="Arial"/>
          <w:kern w:val="0"/>
          <w:sz w:val="28"/>
          <w:szCs w:val="28"/>
        </w:rPr>
      </w:pPr>
      <w:r w:rsidRPr="00C54FBD">
        <w:rPr>
          <w:rFonts w:ascii="Arial" w:hAnsi="Arial" w:cs="Arial"/>
          <w:kern w:val="0"/>
          <w:sz w:val="28"/>
          <w:szCs w:val="28"/>
        </w:rPr>
        <w:t>2.</w:t>
      </w:r>
      <w:r w:rsidR="00FB6AE9" w:rsidRPr="00C54FBD">
        <w:rPr>
          <w:rFonts w:ascii="Arial" w:hAnsi="Arial" w:cs="Arial"/>
          <w:kern w:val="0"/>
          <w:sz w:val="28"/>
          <w:szCs w:val="28"/>
        </w:rPr>
        <w:t>Акцизы: плательщики, ставки, порядок исчисления и уплаты.</w:t>
      </w:r>
    </w:p>
    <w:p w:rsidR="00C54FBD" w:rsidRDefault="00C54FBD" w:rsidP="0041435E">
      <w:pPr>
        <w:spacing w:line="360" w:lineRule="auto"/>
        <w:rPr>
          <w:rFonts w:ascii="Arial" w:hAnsi="Arial" w:cs="Arial"/>
          <w:kern w:val="0"/>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Настоящим Федеральным законом вводятся акцизы - косвенные налоги, включаемые в цену товара (продукции).</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Акцизами облагаются следующие товары (продукция): спирт этиловый из всех видов сырья (за исключением спирта коньячного, спирта - сырца и спирта денатурированного), спиртосодержащая продукция (за исключением денатурированной), алкогольная продукция (спирт питьевой, водка, ликероводочные изделия, коньяки, вино натуральное, вино специальное и иная пищевая продукция с содержанием этилового спирта более полутора процентов от объема единицы алкогольной продукции, за исключением виноматериалов), пиво, табачные изделия, ювелирные изделия, нефть, включая стабилизированный газовый конденсат, бензин автомобильный, легковые автомобили (за исключением автомобилей с ручным управлением, в том числе ввозимых на территорию Российской Федерации, реализуемых инвалидам в порядке, определяемом Правительством Российской Федерации), а также отдельные виды минерального сырья в соответствии с перечнем, утверждаемым Правительством Российской Федерации (далее - подакцизные товары)</w:t>
      </w:r>
      <w:r w:rsidR="00C54FBD" w:rsidRPr="0041435E">
        <w:rPr>
          <w:rFonts w:ascii="Arial" w:hAnsi="Arial" w:cs="Arial"/>
          <w:sz w:val="24"/>
          <w:szCs w:val="24"/>
        </w:rPr>
        <w:t>,</w:t>
      </w:r>
      <w:r w:rsidRPr="0041435E">
        <w:rPr>
          <w:rFonts w:ascii="Arial" w:hAnsi="Arial" w:cs="Arial"/>
          <w:sz w:val="24"/>
          <w:szCs w:val="24"/>
        </w:rPr>
        <w:t xml:space="preserve"> (часть вторая в ред. Федерального закона от 14.02.98 N 29-ФЗ) </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В целях настоящего Федерального закона денатурированной спиртосодержащей продукцией, в том числе денатурированным спиртом (за исключением спирта, поставляемого по импорту), признается спиртосодержащая продукция из всех видов сырья, которая содержит денатурирующие добавки, исключающие возможность использования ее для производства алкогольной и пищевой продукции, и изготовлена в соответствии с установленной (согласованной) федеральным органом исполнительной власти нормативной документацией</w:t>
      </w:r>
      <w:r w:rsidR="00C54FBD" w:rsidRPr="0041435E">
        <w:rPr>
          <w:rFonts w:ascii="Arial" w:hAnsi="Arial" w:cs="Arial"/>
          <w:sz w:val="24"/>
          <w:szCs w:val="24"/>
        </w:rPr>
        <w:t>,</w:t>
      </w:r>
      <w:r w:rsidRPr="0041435E">
        <w:rPr>
          <w:rFonts w:ascii="Arial" w:hAnsi="Arial" w:cs="Arial"/>
          <w:sz w:val="24"/>
          <w:szCs w:val="24"/>
        </w:rPr>
        <w:t xml:space="preserve"> (часть третья введена Федеральным законом от 14.02.98 N 29-ФЗ)</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К спиртосодержащей подакцизной продукции относятся растворы, эмульсии, суспензии и другие виды продукции с объемной долей этилового спирта свыше 12 процентов, содержащегося в подакцизной продукции, за исключением спиртосодержащих лекарственных, лечебно - профилактических, диагностических средств, зарегистрированных уполномоченным федеральным органом исполнительной власти и внесенных в Государственный реестр лекарственных средств, изделий медицинского назначения, а также средств, изготавливаемых аптечными учреждениями по индивидуальным рецептам, включая гомеопатические препараты, препаратов ветеринарного назначения, парфюмерно - косметической продукции, прошедших государственную регистрацию в уполномоченных федеральных органах исполнительной власти, спиртосодержащих отходов, образующихся при производстве спирта этилового из пищевого сырья, водок, ликероводочных изделий и подлежащих дальнейшей переработке, прошедших государственную регистрацию в уполномоченном федеральном органе исполнительной власти. (часть четвертая введена Федеральным законом от 14.02.98 N 29-ФЗ)</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В целях настоящего Федерального закона к ювелирным изделиям, подлежащим обложению акцизами, относятся изделия, применяемые в качестве различных украшений, предметов быта и (или) в декоративных и иных целях, для выполнения различных ритуалов и обрядов, монеты, памятные, юбилейные и другие знаки и медали (за исключением монет, имеющих статус законного платежного средства и прошедших эмиссию, государственных наград, медалей, знаков отличия и различия, статус которых определен федеральными законами или указами Президента Российской Федерации, а также законами или иными нормативными актами государств - участников Содружества Независимых Государств), изготовленные из драгоценных металлов и их сплавов, драгоценных камней и (или) культивированного жемчуга, недрагоценных материалов со вставками из драгоценных камней и (или) культивированного жемчуга. Не относятся к ювелирным изделиям, подлежащим обложению акцизами, предметы культа и религиозного назначения, предназначенные для использования в храмах, при священнодействии и (или) богослужении (за исключением обручальных колец). (часть пятая введена Федеральным законом от 14.02.98 N 29-ФЗ)</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При ввозе подакцизных товаров на территорию Российской Федерации порядок их обложения акцизами устанавливается настоящим Федеральным законом и таможенным законодательством Российской Федерации.</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Плательщиками акцизов являются:</w:t>
      </w:r>
    </w:p>
    <w:p w:rsidR="00FB6AE9" w:rsidRPr="0041435E" w:rsidRDefault="00FB6AE9" w:rsidP="0041435E">
      <w:pPr>
        <w:spacing w:line="360" w:lineRule="auto"/>
        <w:rPr>
          <w:rFonts w:ascii="Arial" w:hAnsi="Arial" w:cs="Arial"/>
          <w:sz w:val="24"/>
          <w:szCs w:val="24"/>
        </w:rPr>
      </w:pPr>
    </w:p>
    <w:p w:rsidR="00C54FBD" w:rsidRDefault="00FB6AE9" w:rsidP="0041435E">
      <w:pPr>
        <w:pStyle w:val="a3"/>
        <w:numPr>
          <w:ilvl w:val="0"/>
          <w:numId w:val="6"/>
        </w:numPr>
        <w:spacing w:line="360" w:lineRule="auto"/>
        <w:rPr>
          <w:rFonts w:ascii="Arial" w:hAnsi="Arial" w:cs="Arial"/>
          <w:sz w:val="24"/>
          <w:szCs w:val="24"/>
        </w:rPr>
      </w:pPr>
      <w:r w:rsidRPr="00C54FBD">
        <w:rPr>
          <w:rFonts w:ascii="Arial" w:hAnsi="Arial" w:cs="Arial"/>
          <w:sz w:val="24"/>
          <w:szCs w:val="24"/>
        </w:rPr>
        <w:t xml:space="preserve">по подакцизным товарам, производимым на территории Российской Федерации (в том числе из давальческого сырья), - производящие и реализующие их предприятия, учреждения и организации, 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и простые товарищества, а также индивидуальные предприниматели (далее - организации); </w:t>
      </w:r>
    </w:p>
    <w:p w:rsidR="00C54FBD" w:rsidRDefault="00FB6AE9" w:rsidP="0041435E">
      <w:pPr>
        <w:pStyle w:val="a3"/>
        <w:numPr>
          <w:ilvl w:val="0"/>
          <w:numId w:val="6"/>
        </w:numPr>
        <w:spacing w:line="360" w:lineRule="auto"/>
        <w:rPr>
          <w:rFonts w:ascii="Arial" w:hAnsi="Arial" w:cs="Arial"/>
          <w:sz w:val="24"/>
          <w:szCs w:val="24"/>
        </w:rPr>
      </w:pPr>
      <w:r w:rsidRPr="00C54FBD">
        <w:rPr>
          <w:rFonts w:ascii="Arial" w:hAnsi="Arial" w:cs="Arial"/>
          <w:sz w:val="24"/>
          <w:szCs w:val="24"/>
        </w:rPr>
        <w:t xml:space="preserve"> по подакцизным товарам, используемым для производства товаров, не облагаемых акцизами, и (или) для собственных нужд, - производящие их организации; </w:t>
      </w:r>
    </w:p>
    <w:p w:rsidR="00C54FBD" w:rsidRDefault="00FB6AE9" w:rsidP="0041435E">
      <w:pPr>
        <w:pStyle w:val="a3"/>
        <w:numPr>
          <w:ilvl w:val="0"/>
          <w:numId w:val="6"/>
        </w:numPr>
        <w:spacing w:line="360" w:lineRule="auto"/>
        <w:rPr>
          <w:rFonts w:ascii="Arial" w:hAnsi="Arial" w:cs="Arial"/>
          <w:sz w:val="24"/>
          <w:szCs w:val="24"/>
        </w:rPr>
      </w:pPr>
      <w:r w:rsidRPr="00C54FBD">
        <w:rPr>
          <w:rFonts w:ascii="Arial" w:hAnsi="Arial" w:cs="Arial"/>
          <w:sz w:val="24"/>
          <w:szCs w:val="24"/>
        </w:rPr>
        <w:t xml:space="preserve"> 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 собственники давальческого сырья; </w:t>
      </w:r>
    </w:p>
    <w:p w:rsidR="00C54FBD" w:rsidRDefault="00FB6AE9" w:rsidP="0041435E">
      <w:pPr>
        <w:pStyle w:val="a3"/>
        <w:numPr>
          <w:ilvl w:val="0"/>
          <w:numId w:val="6"/>
        </w:numPr>
        <w:spacing w:line="360" w:lineRule="auto"/>
        <w:rPr>
          <w:rFonts w:ascii="Arial" w:hAnsi="Arial" w:cs="Arial"/>
          <w:sz w:val="24"/>
          <w:szCs w:val="24"/>
        </w:rPr>
      </w:pPr>
      <w:r w:rsidRPr="00C54FBD">
        <w:rPr>
          <w:rFonts w:ascii="Arial" w:hAnsi="Arial" w:cs="Arial"/>
          <w:sz w:val="24"/>
          <w:szCs w:val="24"/>
        </w:rPr>
        <w:t xml:space="preserve"> организации, осуществляющие первичную реализацию конфискованных и (или) бесхозяйных подакцизных товаров и подакцизных товаров, от которых произошел отказ в пользу государства; </w:t>
      </w:r>
    </w:p>
    <w:p w:rsidR="00FB6AE9" w:rsidRPr="00C54FBD" w:rsidRDefault="00FB6AE9" w:rsidP="0041435E">
      <w:pPr>
        <w:pStyle w:val="a3"/>
        <w:numPr>
          <w:ilvl w:val="0"/>
          <w:numId w:val="6"/>
        </w:numPr>
        <w:spacing w:line="360" w:lineRule="auto"/>
        <w:rPr>
          <w:rFonts w:ascii="Arial" w:hAnsi="Arial" w:cs="Arial"/>
          <w:sz w:val="24"/>
          <w:szCs w:val="24"/>
        </w:rPr>
      </w:pPr>
      <w:r w:rsidRPr="00C54FBD">
        <w:rPr>
          <w:rFonts w:ascii="Arial" w:hAnsi="Arial" w:cs="Arial"/>
          <w:sz w:val="24"/>
          <w:szCs w:val="24"/>
        </w:rPr>
        <w:t xml:space="preserve"> организации, осуществляющие первичную реализацию подакцизных товаров, ввезенных на территорию Российской Федерации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w:t>
      </w:r>
      <w:r w:rsidR="00C54FBD" w:rsidRPr="00C54FBD">
        <w:rPr>
          <w:rFonts w:ascii="Arial" w:hAnsi="Arial" w:cs="Arial"/>
          <w:sz w:val="24"/>
          <w:szCs w:val="24"/>
        </w:rPr>
        <w:t>не подакцизных</w:t>
      </w:r>
      <w:r w:rsidRPr="00C54FBD">
        <w:rPr>
          <w:rFonts w:ascii="Arial" w:hAnsi="Arial" w:cs="Arial"/>
          <w:sz w:val="24"/>
          <w:szCs w:val="24"/>
        </w:rPr>
        <w:t xml:space="preserve"> товаров. </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 </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Состав плательщиков акцизов в отношении товаров, ввозимых на территорию Российской Федерации, определяется таможенным законодательством Российской Федерации.</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 Ставки акцизов</w:t>
      </w:r>
      <w:r w:rsidR="00C54FBD">
        <w:rPr>
          <w:rFonts w:ascii="Arial" w:hAnsi="Arial" w:cs="Arial"/>
          <w:sz w:val="24"/>
          <w:szCs w:val="24"/>
        </w:rPr>
        <w:t>:</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1. Ставки акцизов по подакцизным товарам (за исключением подакцизных видов минерального сырья), в том числе ввозимым на территорию Российской Федерации, являются едиными на всей территории Российской Федерации и устанавливаются в следующих размерах:</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2. Ставки авансового платежа в форме приобретения марок акцизного сбора по отдельным видам подакцизных товаров утверждаются Правительством Российской Федерации. (в ред. Федерального закона от 10.01.97 N 12-ФЗ) </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3. Ставки акцизов и порядок их определения по подакцизным видам минерального сырья (за исключением нефти, включая газовый конденсат) утверждаются Правительством Российской Федерации дифференцированно для отдельных месторождений в зависимости от их горно - геологических и экономико - географических условий. Дифференцированные ставки акцизов на нефть, включая стабилизированный газовый конденсат, утверждаются Правительством Российской Федерации для отдельных месторождений в соответствии со средневзвешенной ставкой акциза, установленной настоящим Федеральным законом, в зависимости от их горно - геологических и экономико - географических условий. (в ред. Федеральных законов от 10.01.97 N 12-ФЗ, от 14.02.98 N 29-ФЗ)</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4. Ставки акцизов пересматриваются путем внесения изменений в настоящий Федеральный закон. (п. 4 введен Федеральным законом от 10.01.97 N 12-ФЗ; в ред. Федерального закона от 14.02.98 N 29-ФЗ) </w:t>
      </w:r>
    </w:p>
    <w:p w:rsidR="00C54FBD" w:rsidRDefault="00C54FBD"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 Порядок исчисления и уплаты акцизов</w:t>
      </w:r>
      <w:r w:rsidR="00C54FBD">
        <w:rPr>
          <w:rFonts w:ascii="Arial" w:hAnsi="Arial" w:cs="Arial"/>
          <w:sz w:val="24"/>
          <w:szCs w:val="24"/>
        </w:rPr>
        <w:t>:</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1. Сумма акциза определяется плательщиками самостоятельно. При этом сумма акциза в расчетных документах и первичных учетных документах, в том числе счетах - фактурах, выделяется отдельной строкой. (абзац введен Федеральным законом от 14.02.98 N 29-ФЗ)</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В случае использования в качестве сырья, включая давальческое, подакцизных товаров (за исключением подакцизных видов минерального сырья), по которым на территории Российской Федерации уже был уплачен акциз, сумма акциза, подлежащая уплате по готовому подакцизному товару, уменьшается на сумму акциза, уплаченную по сырью, использованному для его производства. Сумма акциза, подлежащая уплате по винам и напиткам виноградным и плодовым, уменьшается на сумму акциза, уплаченную на территории Российской Федерации по спирту этиловому, произведенному из пищевого сырья, использованному для производства виноматериалов, в дальнейшем использованных для производства этих вин и напитков. При этом отрицательная разница между суммами акциза, уплаченными на территории Российской Федерации по подакцизным товарам, использованным в качестве сырья, включая давальческое, для производства других подакцизных товаров, и суммами акциза по реализованным готовым подакцизным товарам к зачету в счет предстоящих платежей в бюджет или возмещению из бюджета не подлежит, а относится на финансовые результаты. (в ред. Федерального закона от 14.02.98 N 29-ФЗ) </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 xml:space="preserve">Сумма акциза, уплаченная по товарам (за исключением подакцизных видов минерального сырья), использованным в дальнейшем в качестве сырья для производства товаров, вывезенных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 спирту этиловому, вырабатываемому из всех видов сырья, за исключением пищевого, в дальнейшем использованному в качестве сырья для производства товаров, не облагаемых акцизами, на себестоимость этих товаров не относится, а засчитывается в счет предстоящих платежей или возмещается за счет общих поступлений налогов в десятидневный срок со дня получения расчета за соответствующий отчетный период. При этом зачету (возмещению) подлежит сумма акциза по этим товарам, стоимость которых фактически отнесена (списана) в отчетном периоде на себестоимость. (в ред. Федерального закона от 14.02.98 N 29-ФЗ) </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По спирту этиловому, вырабатываемому из пищевого сырья, не реализуемому на сторону и используемому организацией для производства денатурированного спирта, не облагаемого акцизом, акцизы при передаче его в производство для изготовления денатурированного спирта не начисляются и не уплачиваются. (абзац введен Федеральным законом от 14.02.98 N 29-ФЗ)</w:t>
      </w: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Сумма акциза, начисленная и уплаченная налогоплательщиками в бюджет по подакцизным товарам, в дальнейшем вывезенным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после документального подтверждения в течение 90 дней с момента отгрузки факта вывоза таких товаров налоговому органу засчитывается этим налогоплательщикам в счет предстоящих платежей или возмещается за счет общих поступлений налогов в десятидневный срок. (абзац введен Федеральным законом от 14.02.98 N 29-ФЗ)</w:t>
      </w:r>
    </w:p>
    <w:p w:rsidR="00FB6AE9" w:rsidRPr="0041435E" w:rsidRDefault="00FB6AE9" w:rsidP="0041435E">
      <w:pPr>
        <w:spacing w:line="360" w:lineRule="auto"/>
        <w:rPr>
          <w:rFonts w:ascii="Arial" w:hAnsi="Arial" w:cs="Arial"/>
          <w:sz w:val="24"/>
          <w:szCs w:val="24"/>
        </w:rPr>
      </w:pPr>
    </w:p>
    <w:p w:rsidR="00FB6AE9" w:rsidRPr="0041435E" w:rsidRDefault="00FB6AE9" w:rsidP="0041435E">
      <w:pPr>
        <w:spacing w:line="360" w:lineRule="auto"/>
        <w:rPr>
          <w:rFonts w:ascii="Arial" w:hAnsi="Arial" w:cs="Arial"/>
          <w:sz w:val="24"/>
          <w:szCs w:val="24"/>
        </w:rPr>
      </w:pPr>
      <w:r w:rsidRPr="0041435E">
        <w:rPr>
          <w:rFonts w:ascii="Arial" w:hAnsi="Arial" w:cs="Arial"/>
          <w:sz w:val="24"/>
          <w:szCs w:val="24"/>
        </w:rPr>
        <w:t>Организациям, производящим подакцизные товары, которые в дальнейшем вывезены за пределы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налоговыми органами может быть предоставлена отсрочка по уплате акцизов по отгруженным подакцизным товарам при условии предоставления ими гарантий уполномоченных банков в том, что при непредставлении организацией в налоговые органы в течение 90 дней с момента отгрузки документов, подтверждающих факт вывоза таких товаров, с этих банков по истечении указанных 90 дней в безакцептном порядке взыскивается застрахованная сумма акцизов.</w:t>
      </w:r>
    </w:p>
    <w:p w:rsidR="00FB6AE9" w:rsidRPr="0041435E" w:rsidRDefault="00FB6AE9" w:rsidP="0041435E">
      <w:pPr>
        <w:spacing w:line="360" w:lineRule="auto"/>
        <w:rPr>
          <w:rFonts w:ascii="Arial" w:hAnsi="Arial" w:cs="Arial"/>
          <w:sz w:val="24"/>
          <w:szCs w:val="24"/>
        </w:rPr>
      </w:pPr>
    </w:p>
    <w:p w:rsidR="00C54FBD" w:rsidRDefault="00C54FBD" w:rsidP="0041435E">
      <w:pPr>
        <w:spacing w:line="360" w:lineRule="auto"/>
        <w:rPr>
          <w:rFonts w:ascii="Arial" w:hAnsi="Arial" w:cs="Arial"/>
          <w:sz w:val="24"/>
          <w:szCs w:val="24"/>
        </w:rPr>
      </w:pPr>
    </w:p>
    <w:p w:rsidR="00FB6AE9" w:rsidRDefault="00FB6AE9"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41435E">
      <w:pPr>
        <w:spacing w:after="200" w:line="360" w:lineRule="auto"/>
        <w:rPr>
          <w:rFonts w:ascii="Arial" w:hAnsi="Arial" w:cs="Arial"/>
          <w:sz w:val="24"/>
          <w:szCs w:val="24"/>
        </w:rPr>
      </w:pPr>
    </w:p>
    <w:p w:rsidR="00C54FBD" w:rsidRDefault="00C54FBD" w:rsidP="00C54FBD">
      <w:pPr>
        <w:spacing w:after="200" w:line="360" w:lineRule="auto"/>
        <w:rPr>
          <w:rFonts w:ascii="Arial" w:hAnsi="Arial" w:cs="Arial"/>
          <w:sz w:val="24"/>
          <w:szCs w:val="24"/>
        </w:rPr>
      </w:pPr>
    </w:p>
    <w:p w:rsidR="00C54FBD" w:rsidRDefault="00C54FBD" w:rsidP="00C54FBD">
      <w:pPr>
        <w:spacing w:after="200" w:line="360" w:lineRule="auto"/>
        <w:rPr>
          <w:rFonts w:ascii="Arial" w:hAnsi="Arial" w:cs="Arial"/>
          <w:sz w:val="24"/>
          <w:szCs w:val="24"/>
        </w:rPr>
      </w:pPr>
    </w:p>
    <w:p w:rsidR="00C54FBD" w:rsidRDefault="00C54FBD" w:rsidP="00C54FBD">
      <w:pPr>
        <w:spacing w:after="200" w:line="360" w:lineRule="auto"/>
        <w:rPr>
          <w:rFonts w:ascii="Arial" w:hAnsi="Arial" w:cs="Arial"/>
          <w:sz w:val="24"/>
          <w:szCs w:val="24"/>
        </w:rPr>
      </w:pPr>
    </w:p>
    <w:p w:rsidR="00C54FBD" w:rsidRDefault="00C54FBD" w:rsidP="00C54FBD">
      <w:pPr>
        <w:spacing w:after="200" w:line="360" w:lineRule="auto"/>
        <w:rPr>
          <w:rFonts w:ascii="Arial" w:hAnsi="Arial" w:cs="Arial"/>
          <w:sz w:val="24"/>
          <w:szCs w:val="24"/>
        </w:rPr>
      </w:pPr>
    </w:p>
    <w:p w:rsid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jc w:val="center"/>
        <w:rPr>
          <w:rFonts w:ascii="Arial" w:hAnsi="Arial" w:cs="Arial"/>
          <w:sz w:val="28"/>
          <w:szCs w:val="28"/>
        </w:rPr>
      </w:pPr>
      <w:r w:rsidRPr="00C54FBD">
        <w:rPr>
          <w:rFonts w:ascii="Arial" w:hAnsi="Arial" w:cs="Arial"/>
          <w:sz w:val="28"/>
          <w:szCs w:val="28"/>
        </w:rPr>
        <w:t>3.</w:t>
      </w:r>
      <w:r>
        <w:rPr>
          <w:rFonts w:ascii="Arial" w:hAnsi="Arial" w:cs="Arial"/>
          <w:sz w:val="28"/>
          <w:szCs w:val="28"/>
        </w:rPr>
        <w:t>Задача</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Уставный капитал компании «А» состоит из 740 акций, из которых российской организации принадлежит 140акций, ин. организации -100акций, физ.лицу – резиденту РФ – 400 акций, физ.лицу – нерезиденту РФ – 100 акций. Общим собранием акционеров принято решение выплатить дивиденды в размере 1 рубль на 1 акцию. Организацией «А» были получены дивиденды от долевого участия в других организациях  в сумме 200 рублей.</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Определить сумму налога, удержанную налоговым агентом с начисленных дивидендов.</w:t>
      </w:r>
    </w:p>
    <w:p w:rsidR="00C54FBD" w:rsidRP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rPr>
          <w:rFonts w:ascii="Arial" w:hAnsi="Arial" w:cs="Arial"/>
          <w:sz w:val="24"/>
          <w:szCs w:val="24"/>
        </w:rPr>
      </w:pPr>
      <w:r>
        <w:rPr>
          <w:rFonts w:ascii="Arial" w:hAnsi="Arial" w:cs="Arial"/>
          <w:sz w:val="24"/>
          <w:szCs w:val="24"/>
        </w:rPr>
        <w:t>решение задачи:</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 xml:space="preserve">Основным показателем, характеризующим уровень получаемых дивидендов, является его ставка. Ставка дивиденда определяется по формуле: </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Ст. Д = Прибыль / Уст. Капитал x 100 %,</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где. Ст. Д — ставка дивиденда;</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Прибыль — прибыль, направляемая на выплату дивидендов;</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Уст. Капитал — размер уставного капитала общества.</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Общая сумма дивидендов, подлежащих распределению налоговым агентом среди акционеров, составила 740 руб. (1 руб. х 740 акций).</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Сумма дивидендов, подлежащая распределению среди акционерами, не являющимися налоговыми резидентами Российской Федерации в следующем порядке:</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w:t>
      </w:r>
      <w:r w:rsidRPr="00C54FBD">
        <w:rPr>
          <w:rFonts w:ascii="Arial" w:hAnsi="Arial" w:cs="Arial"/>
          <w:sz w:val="24"/>
          <w:szCs w:val="24"/>
        </w:rPr>
        <w:tab/>
        <w:t xml:space="preserve">иностранной организации — 100 руб. (1 руб. х100 акций); </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w:t>
      </w:r>
      <w:r w:rsidRPr="00C54FBD">
        <w:rPr>
          <w:rFonts w:ascii="Arial" w:hAnsi="Arial" w:cs="Arial"/>
          <w:sz w:val="24"/>
          <w:szCs w:val="24"/>
        </w:rPr>
        <w:tab/>
        <w:t>физическому лицу — нерезиденту Российской Федерации — 100 руб.(1 руб. х 100 акций).</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При этом сумма налога, удерживаемая организацией по ставке 30% составит 30руб. (100 руб. х 30%).</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(Если дивиденды выплачиваются физическому лицу, не являющемуся налоговым резидентом Российской Федерации, налогообложение производится по ставке 30 процентов (пункт 3 статьи 224 НК РФ)).</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Сумма дивидендов, подлежащая распределению среди акционеров, являющихся налоговыми резидентами Российской Федерации, составляет 540 рублей (1 руб. х (140 + 400)).</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(Главой 23 части второй НК РФ установлены следующие особенности и принципы налогообложения выплачиваемых физическим лицам сумм дивидендов:</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w:t>
      </w:r>
      <w:r w:rsidRPr="00C54FBD">
        <w:rPr>
          <w:rFonts w:ascii="Arial" w:hAnsi="Arial" w:cs="Arial"/>
          <w:sz w:val="24"/>
          <w:szCs w:val="24"/>
        </w:rPr>
        <w:tab/>
        <w:t>обложение по ставке 6 процентов (подпункт 4 статьи 224 НК РФ) без предоставления стандартных и профессиональных налоговых вычетов (подпункт 4 статьи 210 НК РФ);</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w:t>
      </w:r>
      <w:r w:rsidRPr="00C54FBD">
        <w:rPr>
          <w:rFonts w:ascii="Arial" w:hAnsi="Arial" w:cs="Arial"/>
          <w:sz w:val="24"/>
          <w:szCs w:val="24"/>
        </w:rPr>
        <w:tab/>
        <w:t>определение суммы налога организацией — плательщиком дивидендов отдельно по каждому получателю применительно к каждой выплате доходов по ставке в размере 6 процентов в порядке, предусмотренном статьей 275 НК РФ (пункт 2 статьи 214 НК РФ)).</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Сумма дивидендов, подлежащих налогообложению по ставке 6%, составит 340руб. (740 руб. — 200руб. — 100руб. — 100 руб., то есть за минусом доходов, полученных от долевого участия в деятельности сторонней организации (200 руб.), а также дивидендов, выплаченных иностранной организации и физическому лицу — нерезиденту Российской Федерации (по 100 руб.)).</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Сумма облагаемого дохода на 1 акцию составит 0,6297 руб. (340 руб. / (740 шт. — 100 шт. — 100 шт.)).</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Сумма налога на доходы физических лиц по ставке 6%, подлежащая удержанию из доходов в виде дивидендов, полученных физическим лицом — резидентом Российской Федерации, составит 15 руб. (0,6297 руб. х 400 шт. х 6%).</w:t>
      </w:r>
    </w:p>
    <w:p w:rsidR="00C54FBD" w:rsidRPr="00C54FBD" w:rsidRDefault="00C54FBD" w:rsidP="00C54FBD">
      <w:pPr>
        <w:spacing w:after="200" w:line="360" w:lineRule="auto"/>
        <w:rPr>
          <w:rFonts w:ascii="Arial" w:hAnsi="Arial" w:cs="Arial"/>
          <w:sz w:val="24"/>
          <w:szCs w:val="24"/>
        </w:rPr>
      </w:pPr>
      <w:r w:rsidRPr="00C54FBD">
        <w:rPr>
          <w:rFonts w:ascii="Arial" w:hAnsi="Arial" w:cs="Arial"/>
          <w:sz w:val="24"/>
          <w:szCs w:val="24"/>
        </w:rPr>
        <w:t>Общая сумма дивидендов, подлежащая выплате физическому лицу — резиденту Российской Федерации — 400 рублей, в том числе облагаемая налогом на доходы физических лиц — 252 рублей (0,6297 руб. х 400 шт.). Сумма налога составит 15 руб.</w:t>
      </w:r>
    </w:p>
    <w:p w:rsidR="00C54FBD" w:rsidRP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rPr>
          <w:rFonts w:ascii="Arial" w:hAnsi="Arial" w:cs="Arial"/>
          <w:sz w:val="24"/>
          <w:szCs w:val="24"/>
        </w:rPr>
      </w:pPr>
    </w:p>
    <w:p w:rsidR="00C54FBD" w:rsidRPr="00C54FBD" w:rsidRDefault="00C54FBD" w:rsidP="00C54FBD">
      <w:pPr>
        <w:spacing w:after="200" w:line="360" w:lineRule="auto"/>
        <w:rPr>
          <w:rFonts w:ascii="Arial" w:hAnsi="Arial" w:cs="Arial"/>
          <w:sz w:val="24"/>
          <w:szCs w:val="24"/>
        </w:rPr>
      </w:pPr>
    </w:p>
    <w:p w:rsidR="00C54FBD" w:rsidRPr="0041435E" w:rsidRDefault="00C54FBD" w:rsidP="0041435E">
      <w:pPr>
        <w:spacing w:after="200" w:line="360" w:lineRule="auto"/>
        <w:rPr>
          <w:rFonts w:ascii="Arial" w:hAnsi="Arial" w:cs="Arial"/>
          <w:sz w:val="24"/>
          <w:szCs w:val="24"/>
        </w:rPr>
      </w:pPr>
      <w:bookmarkStart w:id="0" w:name="_GoBack"/>
      <w:bookmarkEnd w:id="0"/>
    </w:p>
    <w:sectPr w:rsidR="00C54FBD" w:rsidRPr="0041435E">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2A" w:rsidRDefault="00C3022A">
      <w:r>
        <w:separator/>
      </w:r>
    </w:p>
  </w:endnote>
  <w:endnote w:type="continuationSeparator" w:id="0">
    <w:p w:rsidR="00C3022A" w:rsidRDefault="00C3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2A" w:rsidRDefault="00C3022A">
      <w:r>
        <w:rPr>
          <w:color w:val="000000"/>
        </w:rPr>
        <w:separator/>
      </w:r>
    </w:p>
  </w:footnote>
  <w:footnote w:type="continuationSeparator" w:id="0">
    <w:p w:rsidR="00C3022A" w:rsidRDefault="00C3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22593"/>
    <w:multiLevelType w:val="multilevel"/>
    <w:tmpl w:val="84FC164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9E15EA3"/>
    <w:multiLevelType w:val="multilevel"/>
    <w:tmpl w:val="D8F008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FEE703B"/>
    <w:multiLevelType w:val="multilevel"/>
    <w:tmpl w:val="CBA27AA2"/>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4C4D695C"/>
    <w:multiLevelType w:val="multilevel"/>
    <w:tmpl w:val="54081E92"/>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7D1901BF"/>
    <w:multiLevelType w:val="hybridMultilevel"/>
    <w:tmpl w:val="678AB78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3"/>
  </w:num>
  <w:num w:numId="2">
    <w:abstractNumId w:val="0"/>
  </w:num>
  <w:num w:numId="3">
    <w:abstractNumId w:val="1"/>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C36"/>
    <w:rsid w:val="00187A2D"/>
    <w:rsid w:val="0041435E"/>
    <w:rsid w:val="00626417"/>
    <w:rsid w:val="00717A71"/>
    <w:rsid w:val="007F3F1E"/>
    <w:rsid w:val="008D2A7A"/>
    <w:rsid w:val="008E5E74"/>
    <w:rsid w:val="009D6C36"/>
    <w:rsid w:val="00C3022A"/>
    <w:rsid w:val="00C54FBD"/>
    <w:rsid w:val="00E831E0"/>
    <w:rsid w:val="00FB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3BE89-3E1D-4786-B612-1B6A7283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textAlignment w:val="baseline"/>
    </w:pPr>
    <w:rPr>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9;&#1072;&#1076;&#1072;&#1095;&#1072;%20&#1087;&#1086;%20&#1085;&#1072;&#1083;&#1086;&#1075;&#1086;&#1086;&#1073;&#1083;&#1086;&#1078;&#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задача по налогообложению.dot</Template>
  <TotalTime>0</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Галлиардт</dc:creator>
  <cp:keywords/>
  <cp:lastModifiedBy>admin</cp:lastModifiedBy>
  <cp:revision>2</cp:revision>
  <dcterms:created xsi:type="dcterms:W3CDTF">2014-07-09T22:09:00Z</dcterms:created>
  <dcterms:modified xsi:type="dcterms:W3CDTF">2014-07-09T22:09:00Z</dcterms:modified>
</cp:coreProperties>
</file>