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10" w:rsidRDefault="008B3410" w:rsidP="00A64D1E">
      <w:pPr>
        <w:jc w:val="center"/>
        <w:rPr>
          <w:rFonts w:ascii="Times New Roman" w:hAnsi="Times New Roman"/>
          <w:b/>
          <w:sz w:val="28"/>
          <w:szCs w:val="28"/>
        </w:rPr>
      </w:pPr>
    </w:p>
    <w:p w:rsidR="007F100C" w:rsidRDefault="007F100C" w:rsidP="00A64D1E">
      <w:pPr>
        <w:jc w:val="center"/>
        <w:rPr>
          <w:rFonts w:ascii="Times New Roman" w:hAnsi="Times New Roman"/>
          <w:b/>
          <w:sz w:val="28"/>
          <w:szCs w:val="28"/>
        </w:rPr>
      </w:pPr>
      <w:r>
        <w:rPr>
          <w:rFonts w:ascii="Times New Roman" w:hAnsi="Times New Roman"/>
          <w:b/>
          <w:sz w:val="28"/>
          <w:szCs w:val="28"/>
        </w:rPr>
        <w:t>Содержание</w:t>
      </w:r>
    </w:p>
    <w:p w:rsidR="007F100C" w:rsidRDefault="007F100C">
      <w:pPr>
        <w:rPr>
          <w:rFonts w:ascii="Times New Roman" w:hAnsi="Times New Roman"/>
          <w:b/>
          <w:sz w:val="28"/>
          <w:szCs w:val="28"/>
        </w:rPr>
      </w:pPr>
      <w:r>
        <w:rPr>
          <w:rFonts w:ascii="Times New Roman" w:hAnsi="Times New Roman"/>
          <w:b/>
          <w:sz w:val="28"/>
          <w:szCs w:val="28"/>
        </w:rPr>
        <w:t>Введение</w:t>
      </w:r>
    </w:p>
    <w:p w:rsidR="007F100C" w:rsidRDefault="007F100C">
      <w:pPr>
        <w:rPr>
          <w:rFonts w:ascii="Times New Roman" w:hAnsi="Times New Roman"/>
          <w:b/>
          <w:sz w:val="28"/>
          <w:szCs w:val="28"/>
        </w:rPr>
      </w:pPr>
    </w:p>
    <w:p w:rsidR="007F100C" w:rsidRDefault="007F100C" w:rsidP="00A64D1E">
      <w:pPr>
        <w:pStyle w:val="a3"/>
        <w:tabs>
          <w:tab w:val="clear" w:pos="4677"/>
          <w:tab w:val="clear" w:pos="9355"/>
        </w:tabs>
        <w:spacing w:line="360" w:lineRule="auto"/>
        <w:ind w:firstLine="709"/>
      </w:pPr>
      <w:r>
        <w:t xml:space="preserve">1. Международный кредит как экономическая категория. </w:t>
      </w:r>
    </w:p>
    <w:p w:rsidR="007F100C" w:rsidRDefault="007F100C" w:rsidP="00A64D1E">
      <w:pPr>
        <w:pStyle w:val="a3"/>
        <w:tabs>
          <w:tab w:val="clear" w:pos="4677"/>
          <w:tab w:val="clear" w:pos="9355"/>
        </w:tabs>
        <w:spacing w:line="360" w:lineRule="auto"/>
        <w:ind w:firstLine="709"/>
      </w:pPr>
      <w:r>
        <w:t xml:space="preserve">2. Валютно-финансовые и платежные условия международного кредита. </w:t>
      </w:r>
    </w:p>
    <w:p w:rsidR="007F100C" w:rsidRDefault="007F100C" w:rsidP="00A64D1E">
      <w:pPr>
        <w:pStyle w:val="a3"/>
        <w:tabs>
          <w:tab w:val="clear" w:pos="4677"/>
          <w:tab w:val="clear" w:pos="9355"/>
        </w:tabs>
        <w:spacing w:line="360" w:lineRule="auto"/>
        <w:ind w:firstLine="709"/>
      </w:pPr>
      <w:r>
        <w:t xml:space="preserve">3. Россия в международных кредитных отношениях. </w:t>
      </w:r>
    </w:p>
    <w:p w:rsidR="007F100C" w:rsidRDefault="007F100C" w:rsidP="00A64D1E">
      <w:pPr>
        <w:pStyle w:val="a3"/>
        <w:tabs>
          <w:tab w:val="clear" w:pos="4677"/>
          <w:tab w:val="clear" w:pos="9355"/>
        </w:tabs>
        <w:spacing w:line="360" w:lineRule="auto"/>
        <w:ind w:firstLine="709"/>
      </w:pPr>
    </w:p>
    <w:p w:rsidR="007F100C" w:rsidRDefault="007F100C">
      <w:pPr>
        <w:rPr>
          <w:rFonts w:ascii="Times New Roman" w:hAnsi="Times New Roman"/>
          <w:b/>
          <w:sz w:val="28"/>
          <w:szCs w:val="28"/>
        </w:rPr>
      </w:pPr>
      <w:r>
        <w:rPr>
          <w:rFonts w:ascii="Times New Roman" w:hAnsi="Times New Roman"/>
          <w:b/>
          <w:sz w:val="28"/>
          <w:szCs w:val="28"/>
        </w:rPr>
        <w:t>Список используемой литературы</w:t>
      </w:r>
      <w:r>
        <w:rPr>
          <w:rFonts w:ascii="Times New Roman" w:hAnsi="Times New Roman"/>
          <w:b/>
          <w:sz w:val="28"/>
          <w:szCs w:val="28"/>
        </w:rPr>
        <w:br w:type="page"/>
      </w:r>
    </w:p>
    <w:p w:rsidR="007F100C" w:rsidRPr="009F32EA" w:rsidRDefault="007F100C" w:rsidP="009F32EA">
      <w:pPr>
        <w:spacing w:line="360" w:lineRule="auto"/>
        <w:ind w:firstLine="709"/>
        <w:jc w:val="center"/>
        <w:rPr>
          <w:rFonts w:ascii="Times New Roman" w:hAnsi="Times New Roman"/>
          <w:b/>
          <w:sz w:val="28"/>
          <w:szCs w:val="28"/>
        </w:rPr>
      </w:pPr>
      <w:r w:rsidRPr="009F32EA">
        <w:rPr>
          <w:rFonts w:ascii="Times New Roman" w:hAnsi="Times New Roman"/>
          <w:b/>
          <w:sz w:val="28"/>
          <w:szCs w:val="28"/>
        </w:rPr>
        <w:t>Введение</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Международные кредитные отношения – составная часть и одна из наиболее сложных сфер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и глобализации мирового хозяйства увеличиваются международные потоки товаров, услуг и особенно капиталов и кредитов.</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Под влиянием функциональных сдвигов в мировом хозяйстве, проявляющихся в его глобализации, усиливается процесс финансовой глобализации. Это определяет качественно новую фазу интернационализации кредитных отношений. Они приобретают черты целостности, основанной на взаимных интересах стран, несмотря на противоречия и конфликты в этой сфере.</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Сформировав рыночную экономику, Россия все активнее участвует в международных кредитных отношениях.</w:t>
      </w:r>
    </w:p>
    <w:p w:rsidR="007F100C" w:rsidRDefault="007F100C">
      <w:pPr>
        <w:rPr>
          <w:rFonts w:ascii="Times New Roman" w:hAnsi="Times New Roman"/>
          <w:b/>
          <w:sz w:val="28"/>
          <w:szCs w:val="28"/>
          <w:lang w:eastAsia="ru-RU"/>
        </w:rPr>
      </w:pPr>
      <w:r>
        <w:rPr>
          <w:b/>
          <w:szCs w:val="28"/>
        </w:rPr>
        <w:br w:type="page"/>
      </w:r>
    </w:p>
    <w:p w:rsidR="007F100C" w:rsidRPr="009F32EA" w:rsidRDefault="007F100C" w:rsidP="009F32EA">
      <w:pPr>
        <w:pStyle w:val="a3"/>
        <w:tabs>
          <w:tab w:val="clear" w:pos="4677"/>
          <w:tab w:val="clear" w:pos="9355"/>
        </w:tabs>
        <w:spacing w:line="360" w:lineRule="auto"/>
        <w:ind w:firstLine="709"/>
        <w:jc w:val="center"/>
        <w:rPr>
          <w:b/>
          <w:szCs w:val="28"/>
        </w:rPr>
      </w:pPr>
      <w:r w:rsidRPr="009F32EA">
        <w:rPr>
          <w:b/>
          <w:szCs w:val="28"/>
        </w:rPr>
        <w:t>1. Международный кредит как экономическая категория.</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Международный кредит 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Международный кредит, опосредствуя движение товаров, услуг, капиталов, связан с такими экономическими категориями, как прибыль, цена, деньги, валютный курс, платежный баланс и всей совокупностью экономических законов. В соответствии с требованиями основного экономического закона международный кредит создает условия для получения прибылей субъектами рынка. Создание мирового рынка капитала фактически повышает процент, получаемый кредиторами в странах с избыточным капиталом, и понижает процент, выплачиваемый должниками в странах, испытывающих дефицит капитала. Таким образом, международный кредит может повысить экономическое благосостояние как в странах-заемщиках, так и странах-кредиторах, что позволяет увеличить размеры финансирования накопления капитала и повысить размер оптимального заимствования в странах, имеющих дефицит капитала.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Выигрышем от международного кредита может быть ускорение экономического роста и макроэкономическая стабилизация. Как элемент механизма действия закона стоимости международ­ный кредит снижает индивидуальную стоимость товаров по сравнению с их общественной стоимостью, например, на основе внедрения импортного оборудования, купленного в кредит.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Международный кредит участвует в кругообороте капитала на всех его стадиях: при превращении денежного капитала в производственный путем приобретения импортного оборудования, сырья, материалов; в процессе производства в форме кредитования под незавершенное производство; при реализации товаров на мировых рынках.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Связь международного кредита с экономическими законами рынка и воспроизводством проявляется в его принципах: возвратность, срочность, платность, обеспеченность и целевой характер.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1. Возвратность — если полученные средства не возвращаются, то имеет место безвозвратная передача денежного капитала, т.е. финансирование.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2. Срочность обеспечивает возвратность кредита в установленные кредитным соглашением сроки.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3. Платность отражает действие закона стоимости и способ осуществления дифференцированных условий кредита.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4. Материальная обеспеченность проявляется в гарантии погашения международного кредита.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5. Целевой характер — определение конкретных объектов ссуды.</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Международный кредит, являясь формой движения ссудного капитала, отражает его специфику в сфере международных экономических отношений посредством выполнения следующих функций: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1. Перераспределение ссудных капиталов между странами, регионами, отраслями для обеспечения потребностей расширенного воспроизводства. Через механизм международного кредита ссудный капитал устремляется в те сферы, которым отдают предпочтение из рациональных соображений в целях извлечения прибылей. Тем самым кредит способствует выравниванию национальной прибыли в среднюю прибыль и повышению ее массы.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2. Экономия издержек обращения в сфере международных расчетов путем замены действительных денег (золотых, серебряных) кредитными, а также путем развития и ускорения безналичных платежей, замены наличного валютного оборота международными кредитными операциями. На базе международного кредита возникли кредитные средства международных расчетов — векселя, чеки, а также банковские переводы, депозитные сертификаты и др. Экономия времени обращения ссудного капитала в международных экономических отношениях увеличивает время производственного функционирования капитала, обеспечивая расширение производства и рост прибылей.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3. Ускорение концентрации и централизации капитала. Ускоряется процесс капитализации прибавочной стоимости. Фактически страна может финансировать накопление капитала не только путем мобилизации внутренних сбережений, но также и путем привлечения сбережений из стран с избытком капитала. Международный кредит выступает фактором превращения индивидуальных предприятий в акционерные общества, создания новых фирм, монополий. Льготные международные кредиты крупным компаниям и затруднение доступа мелких и средних фирм к мировому рынку ссудных капиталов способствуют усилению концентрации и централизации капитала.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 современных условиях международный кредит выполняет функцию регулирования экономики и сам является объектом регулирования.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Посредством выполнения взаимосвязанных функций международный кредит играет двоякую роль — позитивную и негативную.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Позитивная роль заключается в ускорении развития производительных сил путем обеспечения непрерывности процесса воспроизводства и его расширения. Международный кредит играет роль связующего звена и передаточного механизма, воздействующих на внешнеэкономические отношения и в конечном счете — на воспроизводство. Стимулируя внешнеэкономическую деятельность страны, международный кредит способствует созданию дополнительного спроса на рынке для поддержания конъюнктуры. Международный кредит обеспечивает бесперебойность международных расчетных и валютных операций, обслуживающих внешнеэкономические связи страны.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Негативная роль международного кредита в развитии рыночной экономики заключается в обострении ее противоречий. Международный кредит форсирует перепроизводство товаров, перераспределяя ссудный капитал между странами и содействуя скачкообразному расширению производства в периоды подъема и периодических его спадов. Кредит усиливает диспропорции общественного воспроизводства, облегчая развитие наиболее прибыльных отраслей и задерживая развитие отраслей, в которые не привлекается иностранный капитал.</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Кредитная политика стран служит средством укрепления позиций страны—кредитора на мировых рынках. Международный кредит используется для перевода прибылей из стран-заемщиков, усиливая позиции стран-кредиторов. В то же время ежегодные платежи по возврату ссуд с процентами, превышающие определенную величину чистого дохода общества, за счет которого формируются накопления, обеспечивающие рост производства, отрицательно влияют на источники формирования этих накоплений в странах-должниках. Международный кредит способствует созданию и укреплению в странах-должниках выгодных для стран-кредиторов экономического и политического режимов.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Интернационализация производства и обмена, появление новых форм мирохозяйственных связей служат объективной основой развития разнообразных форм международного кредита.</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br w:type="page"/>
      </w:r>
    </w:p>
    <w:p w:rsidR="007F100C" w:rsidRPr="009F32EA" w:rsidRDefault="007F100C" w:rsidP="009F32EA">
      <w:pPr>
        <w:pStyle w:val="a3"/>
        <w:tabs>
          <w:tab w:val="clear" w:pos="4677"/>
          <w:tab w:val="clear" w:pos="9355"/>
        </w:tabs>
        <w:spacing w:line="360" w:lineRule="auto"/>
        <w:ind w:firstLine="709"/>
        <w:jc w:val="center"/>
        <w:rPr>
          <w:b/>
          <w:szCs w:val="28"/>
        </w:rPr>
      </w:pPr>
      <w:r w:rsidRPr="009F32EA">
        <w:rPr>
          <w:b/>
          <w:szCs w:val="28"/>
        </w:rPr>
        <w:t>2. Валютно-финансовые и платежные условия международного кредита.</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Условия международного кредита включают следующие понятия.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Валюта кредита и платежа. Для международного кредита важно, в какой валюте он предоставлен, поскольку неустойчивость валюты кредита приведет к потерям кредитора. На уровень валюты займа влияет ряд факторов, в т.ч. уровень процентной ставки, практика международных расчетов (например, контракты по поставкам нефти обычно заключаются в  долларах США), степень инфляции, динамика курса валюты и др. Валюта платежа может не совпадать с валютой кредита. Например, "мягкие" займы, предоставленные в валюте кредитора, погашаются национальной валютой заемщика или товарами традиционного экспорта страны.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Сумма (лимит) кредита — часть ссудного капитала, который предоставлен в товарной или денежной форме заемщику. Сумма фирменного кредита фиксируется в коммерческом контракте. Сумма банковского кредита (кредитная линия) определяется кредитным соглашением или путем обмена телексами (при краткосрочной ссуде). В соответствии со сложившейся практикой кредит покрывает обычно до 85% стоимости экспортируемых машин и оборудования. Остальная часть обеспечивается авансовыми, наличными и гарантийными платежами импортера экспортеру.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Срок международного кредита зависит от ряда факторов: целевого назначения кредита, соотношения спроса и предложения аналогичных кредитов, размера контракта, национального законодательства, традиционной практики кредитования, межгосударственных соглашений.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Стоимость кредита. Различаются договорные и скрытые элементы стоимости кредита. Договорные, обусловленные соглашением расходы по кредиту, делятся на основные и дополни­тельные. К основным элементам стоимости кредита относятся суммы, которые должник непосредственно выплачивает кредитору, проценты, расходы по оформлению залога комиссии. Дополнительные элементы включают суммы, выплачиваемые заемщиком третьим лицам (например, за гарантию). К скрытым элементам стоимости кредита относятся прочие расходы, связанные с получением и использованием кредита и не упомянутые в соглашении. В их числе — завышенные цены товаров по фирменным кредитам; принудительные депозиты в установленном размере от ссуды; требование страхования кредита в определенной страховой компании, связанной с банком; завышение банком комиссии по инкассации товарных документов и т.д. Некоторые элементы стоимости кредита не поддаются денежной оценке, хотя значение их велико, например, для установления контроля над иностранной фирмой или страной-заемщиком. Внешне льготные условия некоторых международных кредитов сочетаются с кабальными скрытыми издержками, которые дорого обходятся иностранному заемщику.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Обеспеченность международного кредита. К альтернативным видам кредитного обеспечения относятся: открытие целевых накопительных счетов, залог активов, переуступка прав по контрактам и т.д.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При определении валютно-финансовых условий международного кредита кредитор исходит из кредитоспособности (способности заемщика получить кредит) и платежеспособности (способности заемщика своевременно и полностью рассчитаться по своим обязательствам). Поэтому одним из условий международного кредита является защита от кредитных, валютных и других рисков.</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Величина ставки (нормы) ссудного процента, выплачиваемого заемщиком, отражает степень риска, сопряженного с выдачей конкретных ссуд.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 условиях, когда рынок большинства видов выдаваемых ссуд имеет чрезвычайно конкурентный характер, по ссудам, характеризующимся заданным уровнем риска и заданной величиной относительных административных издержек, устанавливаются обычно весьма близкие по величине нормы ссудного процента.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Величина базисной ставки ссудного процента (prime rate) широко публикуется в печати и является своего рода начальной, или отправной величиной, поскольку крупнейшие банки страны, назначая плату за предоставление кредита наиболее кредитоспособным из числа своих постоянных клиентов, руководствуются именно этой относительной величиной. Эту величину следует рассматривать не как минимальную, а как начальную, поскольку банки часто выдают ссуды (и в особенности краткосрочные) под процент ниже базисной ставки. Когда один из крупнейших банков страны изменяет величину своей базисной ставки, то остальные как бы следуют за ним, хотя сама по себе величина базисной ставки не обязательно должна совпадать у всех крупных банков.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Практика выдачи ссуд под базисный процент сделала необходимым рационирование кредита, т.е. избирательное распределение ссужаемых фондов среди немногих наиболее надежных заемщиков. В случае установления базисной ставки на более низком уровне, чем это определено условиями реальной конкуренции, спрос заемщиков на банковский кредит существенно превосходит предложение. В такой ситуации банки оказываются перед необходимостью рационирования подлежащих ссуде денежных средств, и заемщики в свою очередь оказываются перед невозможностью получения всего объема необходимых им ссудных средств на условиях базисной ставки ссудного процента. Ввиду практики рационирования кредитов банк вправе потребовать от заемщика хранить в банке на специальном компенсационном беспроцентном вкладе определенную, оговоренную заранее, сумму денежных средств. При этом заемщик несет дополнительные неявные издержки и фактическая базисная ставка превосходит объявленную базисную. В ряде случаев и на отдельных временных интервалах величина базисной ставки отклоняется вверх или вниз от величины, определенной условиями, сложившимися на рынке.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С 60-х гг. на мировом рынке преобладают плавающие процентные ставки, которые меняются через согласованные интервалы времени (3—6 месяцев) в зависимости от рыночной конъюнктуры (в соответствии с изменением ставок на рынке). Колебание процентных ставок обусловлено состоянием экономик, международных валютно-кредитных и финансовых отношений, банковской ликвидности, темпов инфляции, динамикой плавающих валютных курсов, увеличением валютного и кредитного риска международных операций, направлениями национальной кредитной политики. Плавающие процентные ставки (в отличие от фиксированных) позволяют уменьшить риск банков по среднесрочным кредитам.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По еврокредитам практикуются международные процентные ставки. Специфика процентных ставок на еврорынке заключается в их относительной самостоятельности по отношению к национальным ставкам. Например, если банк ФРГ размещает во французском банке депозит в долларах США (т.е. предоставляет кредит США), то процентная ставка по нему отличается от процентных ставок США, Франции, ФРГ. Международные процентные ставки взимаются при открытии лимита кредитования (кредитной линии — юридически оформленного обязательства банка выдать заемщику ссуду в течение определенного периода в пределах установленного лимита), предоставления консорциального кредита, выпуске еврооблигационного займа. Процентная ставка на рынке евровалют включает в качестве переменной ЛИБОР — лондонскую межбанковскую ставку предложения по краткосрочным межбанковским операциям в евровалютах, а в качестве постоянного элемента — надбавку к базисной ставке "спрэд", т.е. премию за банковские услуги (маржу). Уровень маржи колеблется от 3/4 до 3% и зависит от соотношения спроса и предложения на кредит, кредитного риска. Межбанковская процентная ставка спроса по краткосрочным операциям на евро­рынке в Лондоне называется ЛИБИД.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Обычно ЛИБОР на 1/8 пункта выше ставки по вкладам и на 1/2 пункта ниже процента по кредитам конечному заемщику. По аналогии с ЛИБОР в других мировых финансовых центрах взимаются: в Бахрейне — БИБОР, Сингапуре — СИБОР, Франкфурте-на-Майне — ФИБОР, в США, Канаде и Японии базой по еврокредитам служит prime rate. Номинальная процентная ставка по еврокредитам определяется как сумма базовой ставки и установленной надбавки за страновой, политический риск, риск, связанный с реализацией проекта, различных комиссий.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Реальная процентная ставка — номинальная ставка, за вычетом темпа инфляции за определенный период. Если темп обесценения денег превышает величину номинальной ставки, то реальная процентная ставка превращается в отрицательную (негативную).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В силу многофакторности ссудного процента образуется разрыв с национальными ставками. Мировой рынок ссудных капиталов способствует нивелировке национальных ставок, которые имеют тенденцию колебаться вокруг интернациональной ставки процента. Процентные ставки дифференцированы. Выравнивание национальных процентных ставок происходит не только в результате движения между странами краткосрочных капиталов, но и в зависимости от динамики валютных курсов. Обычно чем выше курс валюты, тем ниже процент по вкладам в этой евровалюте. Например, разрыв в процентных ставках по депозитам в разных евровалютах порой достигал 10—15 пунктов.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 xml:space="preserve">Поскольку евробанки не подпадают под действие местного законодательства и не облагаются подоходным налогом, они могут снижать процентные ставки по своим кредитам, сохраняя высокие прибыли. Несмотря на относительную самостоятельность ставок еврорынка, сохраняется их зависимость от ставок национальных рынков ссудных капиталов. Вместе с тем международные процентные ставки оказывают обратное влияние на уровень национальных ставок. </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t>Сверх основного процента взимается специальная (в зависимости от суммы и срока кредита) и единовременная (независимо от срока и размера ссуды) банковская комиссия. По средне-и долгосрочным кредитам берутся комиссии за обязательство предоставить ссуду и за резервирование средств (обычно 0,2—0,75% годовых). При проведении кредитных операций банковским консорциумом заемщик выплачивает единовременную комиссию за управление банку-менеджеру (до 0,5% суммы кредита) за переговоры, а также другим банкам за участие (0,2—0,5%).</w:t>
      </w:r>
    </w:p>
    <w:p w:rsidR="007F100C" w:rsidRPr="009F32EA" w:rsidRDefault="007F100C" w:rsidP="009F32EA">
      <w:pPr>
        <w:spacing w:line="360" w:lineRule="auto"/>
        <w:ind w:firstLine="709"/>
        <w:jc w:val="both"/>
        <w:rPr>
          <w:rFonts w:ascii="Times New Roman" w:hAnsi="Times New Roman"/>
          <w:sz w:val="28"/>
          <w:szCs w:val="28"/>
        </w:rPr>
      </w:pPr>
      <w:r w:rsidRPr="009F32EA">
        <w:rPr>
          <w:rFonts w:ascii="Times New Roman" w:hAnsi="Times New Roman"/>
          <w:sz w:val="28"/>
          <w:szCs w:val="28"/>
        </w:rPr>
        <w:br w:type="page"/>
      </w:r>
    </w:p>
    <w:p w:rsidR="007F100C" w:rsidRPr="009F32EA" w:rsidRDefault="007F100C" w:rsidP="009F32EA">
      <w:pPr>
        <w:pStyle w:val="a3"/>
        <w:tabs>
          <w:tab w:val="clear" w:pos="4677"/>
          <w:tab w:val="clear" w:pos="9355"/>
        </w:tabs>
        <w:spacing w:line="360" w:lineRule="auto"/>
        <w:ind w:firstLine="709"/>
        <w:jc w:val="center"/>
        <w:rPr>
          <w:b/>
          <w:szCs w:val="28"/>
        </w:rPr>
      </w:pPr>
      <w:r w:rsidRPr="009F32EA">
        <w:rPr>
          <w:b/>
          <w:szCs w:val="28"/>
        </w:rPr>
        <w:t>3. Россия в международных кредитных отношениях.</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Россия одновременно является крупным должником и кредитором. Как кредитор она сталкивается с неспособностью, а иногда и с нежеланием должников из числа развивающихся стран погашать свои обязательства. В качестве заемщика она испытывала серьезные трудности и неоднократно прибегала к процедуре урегулирования государственного (суверенного) долга.</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b/>
          <w:bCs/>
          <w:i/>
          <w:iCs/>
          <w:noProof/>
          <w:color w:val="000000"/>
          <w:sz w:val="28"/>
          <w:szCs w:val="28"/>
        </w:rPr>
        <w:t>Россия-должник.</w:t>
      </w:r>
      <w:r w:rsidRPr="009F32EA">
        <w:rPr>
          <w:rFonts w:ascii="Times New Roman" w:hAnsi="Times New Roman"/>
          <w:noProof/>
          <w:color w:val="000000"/>
          <w:sz w:val="28"/>
          <w:szCs w:val="28"/>
        </w:rPr>
        <w:t xml:space="preserve"> К началу 2000 г. государственный внешний долг России составил более 158 млрд. долл. В последующие годы он снижался, и был равен 113,39 млрд. долл. в ноябре 2004 г. Значительно снизилось долговое бремя, измеряемое отношением долга к ВВП. Если в 2000 г. этот показатель был равен 89%, то к 2003 г. 36%. В этой связи государственный внешний долг перестал рассматриваться в качестве фактора, негативно влияющего на экономику страны. Однако на долговые платежи по-прежнему направляются большие суммы бюджетных средств.</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Государственный долг России сформирован, во-первых, из внешнего долга Советского Союза, во-вторых, из нового российского долга. Долг СССР в основном образовался в 1985-1991 гг., увеличившись с 22,5 в 1985 г. до 96,6 млрд. долл. в начале 1992 г. Быстрый рост внешнего долга был обусловлен, во-первых, экономическими условиями, прежде всего падением цены на нефть на мировом рынке. Советская экономика не смогла адаптироваться к падению цен на нефть, и для оплаты импортных закупок потребовались крупные иностранные кредиты, во-вторых, непродуманной либерализацией внешнеэкономической деятельности. В соответствии с ней в апреле 1989 г. союзные министерства получили право от имени государства выдавать предприятиям гарантии по кредитам. Этими средствами предприятия распорядились крайне неэффективно.</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После распада СССР заключено соглашение о распределении долга между союзными республиками. В качестве критерия раздела был принят показатель, в котором учитывались численность население, национальный доход, экспорт и импорт в среднем за 1986-1990 гг. Рассчитанная таким образом доля России составила 61,3%. На втором месте, с большим отрывом, следовала Украина (16,3%). На основе этого критерия также должны были распределяться внешние активы (собственность за рубежом, долг иностранных государств Советскому Союзу).</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Однако только Россия, и то частично, обслуживала свой долг. Но согласно заложенному в соглашении принципу солидарной ответственности к России могли быть предъявлены такие же претензии, как и к другим странам. В связи с этим Россия предложила взять на себя ответственность за весь долг при условии перехода к ней прав на все внешние активы. На основе этого принципа был достигнут компромисс, который устроил кредиторов, Россию и почти все бывшие союзные республики. Только Украина выразила свое особое мнение.</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Впоследствии это решение подвергалось критике с разных позиций. Некоторые оппоненты соглашения считают, что России не следовало брать на себя долговые обязательства государства, которое перестало существовать. Другие полагали, что нужно было ограничиться принятием долга в размере 61,3%.</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Но возникают претензии и с другой стороны. Некоторые представители бывших республик СССР обратили внимание на то, что поскольку внешний долг СССР был урегулирован, а частично списан, то есть основания вернуться к пересмотру судьбы внешних активов.</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Трудности по выполнению долговых обязательств начались еще в 1990 г. В 1991 г. Внешторгбанк, осуществлявший обслуживание внешнего долга и выступивший монополистом в сфере международных расчетов, израсходовал на обслуживание долга не только все свои ресурсы, но и средства своих клиентов, как юридических, так и физических лиц. В 1992 г. все потенциальные ресурсы были исчерпаны, и из 16,7 млрд. долл. долговых платежей по графику реально на обслуживание долга было выделено 2,6 млрд. Долговые проблемы России стали решаться путем урегулирования долга с кредиторами, в основном на многосторонней основе. Официальные долги урегулировались через Парижский клуб, долги банкам – через Лондонский клуб.</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В 1993-1995 гг. Россия через Парижский клуб урегулировала долг на сумму в 28 млрд. долл. на стандартных условиях. Суть их состоит в том, что урегулированию подлежит только сумма выплат на предстоящий год. В этом заключается политика «короткого поводка» западных кредиторов.</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Практика урегулирования долга на более длительный срок применяется редко. Тем не менее России удалось в 1996 г. реструктурировать свой долг официальным кредиторам сразу в полном объеме на сумму 38 млрд. долл. Долг был реструктурирован следующим образом: срок окончательного погашения был передвинут на 25 лет (по прежним кредитным соглашениям средние сроки – 10-15 лет), льготный период был установлен в 7 лет (по сравнению с 3-6 годами).</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Если долг официальным кредиторам в соответствии с международной практикой урегулировался методом простой реструктуризации, то в отношении долга банкам принято применять рыночные методы. Сущность их заключается в том, что долги, зафиксированные на банковских счетах, конвертируются в ценные бумаги, т. е. происходит секьюритизация долга. Впервые этот механизм был применен в отношении развивающихся стран в конце 1980-х гг.</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Однако в результате кризиса 1998 г. Россия столкнулась с ситуацией, когда ей оказалось трудно обслуживать внешний долг и по новому графику. В 1999 г. были реструктурированы платежи в рамках Парижского клуба на текущий период. В 2000 г. с Лондонским клубом было достигнуто новое глобальное соглашение. Из 32 млрд. долл. задолженности было списано 11,68 млрд. долл. (36,5%). Оставшаяся часть долга из ценных бумаг Prin и IAN конвертировалась в еврооблигации. Банки списали часть долга, но взамен ценных бумаг, не гарантированных правительством, получили суверенные облигации высшей категории. Должнику удалось списать часть долга, но взамен он повысил статус своих долговых обязательств. Такая схема в большей степени соответствовала мировой практике урегулирования долга банкам, чем та своеобразная модель, которая была применена в 1996 г. Этим можно объяснить «уступчивость» Лондонского клуба. Что же касается Парижского клуба, то он на повторную реструктуризацию не согласился.</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Кроме советского долга, регулируемого на многосторонней основе по отработанным схемам в рамках Парижского и Лондонского клубов. России от СССР достался еще коммерческий долг внешнеторговых организаций, которые осуществляли в кредит нейтрализованные закупки товаров за рубежом по поручению правительства СССР. Фактически этот долг был государственным, и в 1994 г. Россия подтвердила свои обязательства. Однако лишь в  конце 2002 г. было принято правительственное постановление «Об урегулировании коммерческой задолженности бывшего СССР перед иностранными коммерческими кредиторами». Этот долг оформлен в государственные облигации со сроком погашения в 2010 и 2030 гг. Основная сумма долга и капитализированные проценты были дисконтированы. Ставка была установлена на основе ЛИБОР + спрэд.</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После урегулирования этого долга фактически по всем долгам Советского Союза были достигнуты соглашения. Исключение составляет лишь долг перед ГДР – 6,5 млрд. переводных рублей. Происхождение его таково. После распада СЭВ Россия в качестве правопреемницы Советского Союза оказалась должником ГДР, Польши, Венгрии, Чехии и Словакии. С этими странами, кроме Германии, долги были урегулированы. Сумма задолженности России бывшим странам СЭВ составила 2,7 млрд долл. (на 1 ноября 2004 г.).</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Таким образом, в России завершился этап кризисного управления внешним долгом, когда использовались такие методы, как реструктуризация, рефинансирование, секьюритизация, частичное списание долга. На повестке дня стоит реализация программы управления суверенным долгом путем формирования его оптимальной структуры по составу валют, срокам, стоимости заемных средств. Такие системы действуют во многих развитых странах и осваиваются в некоторых развивающихся странах. Однако в России пока не сформирована даже институциональная структура такого управления долгом. В большинстве стран долгом управляют специальные долговые агентства. В России управление государственным долгом возложено на Внешэкономбанк. Эффективность управления долгом находится в прямой зависимости от использования рыночных долговых инструментов. Однако в структуре российского суверенного долга на долю внешних облигационных займов приходится около 1/3 его общей суммы.</w:t>
      </w:r>
    </w:p>
    <w:p w:rsidR="007F100C" w:rsidRPr="009F32EA" w:rsidRDefault="007F100C" w:rsidP="009F32EA">
      <w:pPr>
        <w:suppressAutoHyphens/>
        <w:spacing w:line="360"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В 1995 г. на долги Советского Союза приходилось 85% российского суверенного долга. В начале 2003 г. долг СССР снизился менее чем до 1/2 его общей суммы. Это было обусловлено, во-первых, быстрым ростом российского долга во второй половине 90-х гг. Во-вторых, методом реструктуризации долгов через Лондонский клуб. Долги банкам были конвертированы в еврооблигации, и обязательство по ним взяло на себя российское правительство. В документе «Об основных направлениях политики Правительства Российской Федерации в сфере государственного долга на 2003-2005 годы и комплексе мер по ее реализации» выражено намерение отказа от деления долговых обязательств на долг бывшего СССР и долг Российской Федерации. Это можно понимать как намерение отказа от процедур урегулирования долга, которой подвергались только советские долги.</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Надежная статистика о размерах частного внешнего долга отсутствует. По оценке его сумма превысила 90 млрд. долл., (долг предприятий и банков). Эта сумма невелика, если ее сопоставлять с экономическим потенциалом российских заемщиков. Но взрывоопасность частного долга заключается в том, что в отношении его не выработано столь же действенных мер урегулирования, как это имеет место в отношении суверенного долга. Особенно опасно краткосрочное кредитование, которое широко используется российскими частными заемщиками.</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b/>
          <w:bCs/>
          <w:i/>
          <w:iCs/>
          <w:noProof/>
          <w:color w:val="000000"/>
          <w:sz w:val="28"/>
          <w:szCs w:val="28"/>
        </w:rPr>
        <w:t>Россия-кредитор.</w:t>
      </w:r>
      <w:r w:rsidRPr="009F32EA">
        <w:rPr>
          <w:rFonts w:ascii="Times New Roman" w:hAnsi="Times New Roman"/>
          <w:noProof/>
          <w:color w:val="000000"/>
          <w:sz w:val="28"/>
          <w:szCs w:val="28"/>
        </w:rPr>
        <w:t xml:space="preserve"> Советский Союз, правопреемницей которого по зарубежным финансовым активам стала Россия, предоставлял кредиты развивающимся странам в основном по идеологическим, политическим и военно-стратегическим мотивам. До 80% кредитов было связано с экспортом советского оружия. От подобных кредитов требовалась, прежде всего, политическая отдача, а не экономическая эффективность. Вместе с тем в ряде стран при содействии Советского Союза было построено много объектов, имевших большое народнохозяйственное значение.</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После прекращения «холодной войны» и распада Советского Союза в 1992 г. прежние стратегические цели исчезли. Но одновременно в России повысилась заинтересованность в возврате заемных средств ее должниками. Это породило идею взаимозачета путем обмена нашей задолженности Западу на долги нам со стороны развивающихся стран. Однако эти долги отличаются по своему качеству.</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Погашение нашей задолженности предусматривалось валютой. Нашей стране должники должны в счет долга поставлять товары. Проценты по нашим долгам были выше, чем по кредитам, которые предоставлял Советский Союз. Юридически наши кредиты были плохо оформлены. В частности, из-за этого возникла проблема валютного курса при пересчете суммы долга. Кредиты предоставлялись в рублях, когда курс рубля к доллару был равен 0,6 руб.  за 1 долл. В тот период это соответствовало паритету покупательной способности этих валют. Однако в результате обесценения рубля долг резко сократился бы, если его пересчитать по новому курсу. При взаимозачете также требуется согласие должника.</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Многие страны-должники де-факто просто перестали признавать свои долги. Это выразилось в том, что они прекратили направлять документы, подтверждающие график платежей. В 1992-2000 гг. Россия должна была получить 96 млрд. долл. долговых платежей, но фактически поступления составили лишь около 15% этой суммы. Около 2/3 их приходилось на одну Индию. С ней Россия в 1993 г. урегулировала долг на взаимоприемлемых условиях, пойдя на некоторые уступки. Однако эффективность кредитных отношений с Индией, помимо прочего, была обусловлена тем, что за счет кредитов Советский Союз оказал действенную экономическую помощь этой стране.</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Столкнувшись с описанной ситуацией и будучи лишена возможности повлиять на своих должников, Россия в 1997 г. вступила в Парижский клуб в качестве страны-кредитора. Результат этого акта оценивается по-разному. Многие страны, которые уже прибегали к содействию Парижского клуба, были вынуждены вступить в переговоры с Россией и заключить с ней соглашения на условиях Парижского клуба. Важным для России было признание курса 0,6 руб. за 1 долл. при пересчете долговых обязательств. Однако в числе стран наших должников оказалось большое количество государств с высоким уровнем задолженности и низким уровнем развития. А согласно существующим правилам Парижского клуба долги таких стран подлежат списанию в пределах 70-90%, а остальная сумма погашается с рассрочкой в 25-30 лет. Поскольку Советский Союз активно кредитовал страны с низким уровнем развития, то в начале 2000 гг. Россия заняла одно из первых мест в мире по показателю соотношения списанных долгов к ВВП. Вступление России в Парижский клуб не привело к росту долговых платежей иностранных заемщиков. Значительную часть долгов пришлось списывать, а другую часть реструктурировать. Критики вступления России в Парижский клуб считают, что путем двухсторонних переговоров удалось бы добиться большего. Но многие страны-должники вообще не намеревались вступать с Россией в переговоры о погашении своего долга.</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На страны, с которыми появилась возможность урегулировать их долг, приходилось около 1/3 финансовых активов России, а 2/3 - на страны, которые не признают Парижский клуб. В российских должниках числится более пятидесяти стран. Но изначально на три страны – Кубу, Монголию и Вьетнам – приходилось до 40% долга. С Вьетнамом долг был урегулирован по схемам Парижского клуба: 85% его было списано, остальная часть реструктурирована. Однако с Кубой, Монголией и другими крупными должниками возможно урегулирование долга только на двухсторонней основе. При этом некоторые из них отвергают даже схемы, близкие к практике Парижского клуба, настаивая на полном списании долга.</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В российской практике известны также такие методы урегулирования долга, как его выкуп с дисконтом (скидкой), продажа долгов. Однако они не приобрели широкого распространения, поскольку обязательства российских должников котируются очень низко и могут быть реализованы только с большим дисконтом. Переуступка долга за бесценок не отвечает и долгосрочным интересам России, поскольку в этом случае она утрачивает завоеванные позиции. Предлагаются также варианты конверсии долга в инвестиции, в экономику стран-должников. Но при всей своей привлекательности эти проекты труднореализуемы. Все упирается в отбор объектов для инвестирования, которые устраивали бы обе стороны.</w:t>
      </w:r>
    </w:p>
    <w:p w:rsidR="007F100C" w:rsidRPr="009F32EA" w:rsidRDefault="007F100C" w:rsidP="00A64D1E">
      <w:pPr>
        <w:suppressAutoHyphens/>
        <w:spacing w:line="312" w:lineRule="auto"/>
        <w:ind w:firstLine="709"/>
        <w:jc w:val="both"/>
        <w:rPr>
          <w:rFonts w:ascii="Times New Roman" w:hAnsi="Times New Roman"/>
          <w:noProof/>
          <w:color w:val="000000"/>
          <w:sz w:val="28"/>
          <w:szCs w:val="28"/>
        </w:rPr>
      </w:pPr>
      <w:r w:rsidRPr="009F32EA">
        <w:rPr>
          <w:rFonts w:ascii="Times New Roman" w:hAnsi="Times New Roman"/>
          <w:noProof/>
          <w:color w:val="000000"/>
          <w:sz w:val="28"/>
          <w:szCs w:val="28"/>
        </w:rPr>
        <w:t>В 1992 г. долг развивающихся стран России был равен 142 млрд. долл., а в 2002 г. – 76,7 млрд. долл. Сокращение его произошло главным образом в результате списания долговых обязательств. По некоторым оценкам, Россия может рассчитывать на долговые платежи развивающихся стран в размере не более 30 млрд. долл. в течение предстоящих 30 лет. Прогнозировать качественный прорыв в отношениях с нашими должниками не приходится, хотя возможности двухстороннего урегулирования с рядом стран не исчерпаны.</w:t>
      </w:r>
    </w:p>
    <w:p w:rsidR="007F100C" w:rsidRDefault="007F100C" w:rsidP="00A64D1E">
      <w:pPr>
        <w:jc w:val="center"/>
        <w:rPr>
          <w:rFonts w:ascii="Times New Roman" w:hAnsi="Times New Roman"/>
          <w:b/>
          <w:sz w:val="28"/>
          <w:szCs w:val="28"/>
        </w:rPr>
      </w:pPr>
      <w:r w:rsidRPr="009F32EA">
        <w:rPr>
          <w:rFonts w:ascii="Times New Roman" w:hAnsi="Times New Roman"/>
          <w:b/>
          <w:bCs/>
          <w:noProof/>
          <w:color w:val="000000"/>
          <w:sz w:val="28"/>
          <w:szCs w:val="28"/>
        </w:rPr>
        <w:br w:type="page"/>
      </w:r>
      <w:r>
        <w:rPr>
          <w:rFonts w:ascii="Times New Roman" w:hAnsi="Times New Roman"/>
          <w:b/>
          <w:sz w:val="28"/>
          <w:szCs w:val="28"/>
        </w:rPr>
        <w:t>Список используемой литературы:</w:t>
      </w:r>
    </w:p>
    <w:p w:rsidR="007F100C" w:rsidRPr="00F92048" w:rsidRDefault="007F100C" w:rsidP="00A64D1E">
      <w:pPr>
        <w:suppressAutoHyphens/>
        <w:spacing w:line="360" w:lineRule="auto"/>
        <w:ind w:firstLine="709"/>
        <w:jc w:val="both"/>
        <w:rPr>
          <w:rFonts w:ascii="Times New Roman"/>
          <w:noProof/>
          <w:color w:val="000000"/>
          <w:sz w:val="28"/>
          <w:szCs w:val="28"/>
        </w:rPr>
      </w:pPr>
    </w:p>
    <w:p w:rsidR="007F100C" w:rsidRPr="00A64D1E" w:rsidRDefault="007F100C" w:rsidP="00A64D1E">
      <w:pPr>
        <w:widowControl w:val="0"/>
        <w:numPr>
          <w:ilvl w:val="0"/>
          <w:numId w:val="1"/>
        </w:numPr>
        <w:tabs>
          <w:tab w:val="clear" w:pos="1429"/>
          <w:tab w:val="left" w:pos="360"/>
          <w:tab w:val="num" w:pos="1134"/>
        </w:tabs>
        <w:suppressAutoHyphens/>
        <w:autoSpaceDE w:val="0"/>
        <w:autoSpaceDN w:val="0"/>
        <w:adjustRightInd w:val="0"/>
        <w:spacing w:after="0" w:line="360" w:lineRule="auto"/>
        <w:ind w:left="0" w:firstLine="0"/>
        <w:jc w:val="both"/>
        <w:rPr>
          <w:rFonts w:ascii="Times New Roman" w:hAnsi="Times New Roman"/>
          <w:noProof/>
          <w:color w:val="000000"/>
          <w:sz w:val="28"/>
          <w:szCs w:val="28"/>
        </w:rPr>
      </w:pPr>
      <w:r w:rsidRPr="00A64D1E">
        <w:rPr>
          <w:rFonts w:ascii="Times New Roman" w:hAnsi="Times New Roman"/>
          <w:noProof/>
          <w:color w:val="000000"/>
          <w:sz w:val="28"/>
          <w:szCs w:val="28"/>
        </w:rPr>
        <w:t>Банковское дело: учебник / под ред. Г.Н. Белоглазовой, Л.П. Кроливецкой. – 5-е изд., перераб. и доп. – М.: Финансы и статистика, 2007. – 592 с.: ил.</w:t>
      </w:r>
    </w:p>
    <w:p w:rsidR="007F100C" w:rsidRPr="00A64D1E" w:rsidRDefault="007F100C" w:rsidP="00A64D1E">
      <w:pPr>
        <w:widowControl w:val="0"/>
        <w:numPr>
          <w:ilvl w:val="0"/>
          <w:numId w:val="1"/>
        </w:numPr>
        <w:tabs>
          <w:tab w:val="clear" w:pos="1429"/>
          <w:tab w:val="left" w:pos="360"/>
          <w:tab w:val="num" w:pos="1134"/>
        </w:tabs>
        <w:suppressAutoHyphens/>
        <w:autoSpaceDE w:val="0"/>
        <w:autoSpaceDN w:val="0"/>
        <w:adjustRightInd w:val="0"/>
        <w:spacing w:after="0" w:line="360" w:lineRule="auto"/>
        <w:ind w:left="0" w:firstLine="0"/>
        <w:jc w:val="both"/>
        <w:rPr>
          <w:rFonts w:ascii="Times New Roman" w:hAnsi="Times New Roman"/>
          <w:noProof/>
          <w:color w:val="000000"/>
          <w:sz w:val="28"/>
          <w:szCs w:val="28"/>
        </w:rPr>
      </w:pPr>
      <w:r w:rsidRPr="00A64D1E">
        <w:rPr>
          <w:rFonts w:ascii="Times New Roman" w:hAnsi="Times New Roman"/>
          <w:noProof/>
          <w:color w:val="000000"/>
          <w:sz w:val="28"/>
          <w:szCs w:val="28"/>
        </w:rPr>
        <w:t>Деньги. Кредит. Банки: Учебник для вузов / Е.Ф. Жуков, Л.М. Максимова, А.В. Печнмкова и др.; Под ред. проф. Е.Ф. Жукова. – М.: ЮНИТИ, 2001. – 622 с.</w:t>
      </w:r>
    </w:p>
    <w:p w:rsidR="007F100C" w:rsidRPr="00A64D1E" w:rsidRDefault="007F100C" w:rsidP="00A64D1E">
      <w:pPr>
        <w:widowControl w:val="0"/>
        <w:numPr>
          <w:ilvl w:val="0"/>
          <w:numId w:val="1"/>
        </w:numPr>
        <w:tabs>
          <w:tab w:val="clear" w:pos="1429"/>
          <w:tab w:val="left" w:pos="360"/>
          <w:tab w:val="num" w:pos="1134"/>
        </w:tabs>
        <w:suppressAutoHyphens/>
        <w:autoSpaceDE w:val="0"/>
        <w:autoSpaceDN w:val="0"/>
        <w:adjustRightInd w:val="0"/>
        <w:spacing w:after="0" w:line="360" w:lineRule="auto"/>
        <w:ind w:left="0" w:firstLine="0"/>
        <w:jc w:val="both"/>
        <w:rPr>
          <w:rFonts w:ascii="Times New Roman" w:hAnsi="Times New Roman"/>
          <w:noProof/>
          <w:color w:val="000000"/>
          <w:sz w:val="28"/>
          <w:szCs w:val="28"/>
        </w:rPr>
      </w:pPr>
      <w:r w:rsidRPr="00A64D1E">
        <w:rPr>
          <w:rFonts w:ascii="Times New Roman" w:hAnsi="Times New Roman"/>
          <w:noProof/>
          <w:color w:val="000000"/>
          <w:sz w:val="28"/>
          <w:szCs w:val="28"/>
        </w:rPr>
        <w:t>Деньги, кредит, банки: Учебник / Под ред. О.И. Лаврушина. – М.: Финансы и статистика, 1998. – 448 с.: ил.</w:t>
      </w:r>
    </w:p>
    <w:p w:rsidR="007F100C" w:rsidRPr="00A64D1E" w:rsidRDefault="007F100C" w:rsidP="00A64D1E">
      <w:pPr>
        <w:widowControl w:val="0"/>
        <w:numPr>
          <w:ilvl w:val="0"/>
          <w:numId w:val="1"/>
        </w:numPr>
        <w:tabs>
          <w:tab w:val="clear" w:pos="1429"/>
          <w:tab w:val="left" w:pos="360"/>
          <w:tab w:val="num" w:pos="1134"/>
        </w:tabs>
        <w:suppressAutoHyphens/>
        <w:autoSpaceDE w:val="0"/>
        <w:autoSpaceDN w:val="0"/>
        <w:adjustRightInd w:val="0"/>
        <w:spacing w:after="0" w:line="360" w:lineRule="auto"/>
        <w:ind w:left="0" w:firstLine="0"/>
        <w:jc w:val="both"/>
        <w:rPr>
          <w:rFonts w:ascii="Times New Roman" w:hAnsi="Times New Roman"/>
          <w:noProof/>
          <w:color w:val="000000"/>
          <w:sz w:val="28"/>
          <w:szCs w:val="28"/>
        </w:rPr>
      </w:pPr>
      <w:r w:rsidRPr="00A64D1E">
        <w:rPr>
          <w:rFonts w:ascii="Times New Roman" w:hAnsi="Times New Roman"/>
          <w:noProof/>
          <w:color w:val="000000"/>
          <w:sz w:val="28"/>
          <w:szCs w:val="28"/>
        </w:rPr>
        <w:t>Международные валютно-кредитные и финансовые отношения: Учебник / Под ред. Л.Н. Красавиной. – 3-е изд., перераб. и доп. – М.: Финансы и статистика, 2006. – 576 с.: ил.</w:t>
      </w:r>
    </w:p>
    <w:p w:rsidR="007F100C" w:rsidRDefault="007F100C" w:rsidP="00A64D1E">
      <w:pPr>
        <w:rPr>
          <w:rFonts w:ascii="Times New Roman" w:hAnsi="Times New Roman"/>
          <w:b/>
          <w:sz w:val="28"/>
          <w:szCs w:val="28"/>
        </w:rPr>
      </w:pPr>
      <w:bookmarkStart w:id="0" w:name="_GoBack"/>
      <w:bookmarkEnd w:id="0"/>
    </w:p>
    <w:sectPr w:rsidR="007F100C" w:rsidSect="00A64D1E">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0C" w:rsidRDefault="007F100C" w:rsidP="00A64D1E">
      <w:pPr>
        <w:spacing w:after="0" w:line="240" w:lineRule="auto"/>
      </w:pPr>
      <w:r>
        <w:separator/>
      </w:r>
    </w:p>
  </w:endnote>
  <w:endnote w:type="continuationSeparator" w:id="0">
    <w:p w:rsidR="007F100C" w:rsidRDefault="007F100C" w:rsidP="00A6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0C" w:rsidRDefault="007F100C" w:rsidP="00A64D1E">
      <w:pPr>
        <w:spacing w:after="0" w:line="240" w:lineRule="auto"/>
      </w:pPr>
      <w:r>
        <w:separator/>
      </w:r>
    </w:p>
  </w:footnote>
  <w:footnote w:type="continuationSeparator" w:id="0">
    <w:p w:rsidR="007F100C" w:rsidRDefault="007F100C" w:rsidP="00A6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0C" w:rsidRDefault="007F100C">
    <w:pPr>
      <w:pStyle w:val="a3"/>
      <w:jc w:val="right"/>
    </w:pPr>
    <w:r>
      <w:fldChar w:fldCharType="begin"/>
    </w:r>
    <w:r>
      <w:instrText xml:space="preserve"> PAGE   \* MERGEFORMAT </w:instrText>
    </w:r>
    <w:r>
      <w:fldChar w:fldCharType="separate"/>
    </w:r>
    <w:r w:rsidR="008B3410">
      <w:rPr>
        <w:noProof/>
      </w:rPr>
      <w:t>2</w:t>
    </w:r>
    <w:r>
      <w:fldChar w:fldCharType="end"/>
    </w:r>
  </w:p>
  <w:p w:rsidR="007F100C" w:rsidRDefault="007F10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E13AD"/>
    <w:multiLevelType w:val="hybridMultilevel"/>
    <w:tmpl w:val="10BC648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D7C"/>
    <w:rsid w:val="00125987"/>
    <w:rsid w:val="00153E7B"/>
    <w:rsid w:val="001D697F"/>
    <w:rsid w:val="00444564"/>
    <w:rsid w:val="007F100C"/>
    <w:rsid w:val="008B3410"/>
    <w:rsid w:val="008F6E7F"/>
    <w:rsid w:val="0094143B"/>
    <w:rsid w:val="009E6D7C"/>
    <w:rsid w:val="009F32EA"/>
    <w:rsid w:val="00A64D1E"/>
    <w:rsid w:val="00F9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A277D-A488-4E4E-B735-B8AE033E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E7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D7C"/>
    <w:pPr>
      <w:tabs>
        <w:tab w:val="center" w:pos="4677"/>
        <w:tab w:val="right" w:pos="9355"/>
      </w:tabs>
      <w:spacing w:after="0" w:line="240" w:lineRule="auto"/>
    </w:pPr>
    <w:rPr>
      <w:rFonts w:ascii="Times New Roman" w:eastAsia="Calibri" w:hAnsi="Times New Roman"/>
      <w:sz w:val="28"/>
      <w:szCs w:val="24"/>
      <w:lang w:eastAsia="ru-RU"/>
    </w:rPr>
  </w:style>
  <w:style w:type="character" w:customStyle="1" w:styleId="a4">
    <w:name w:val="Верхний колонтитул Знак"/>
    <w:basedOn w:val="a0"/>
    <w:link w:val="a3"/>
    <w:locked/>
    <w:rsid w:val="009E6D7C"/>
    <w:rPr>
      <w:rFonts w:ascii="Times New Roman" w:hAnsi="Times New Roman" w:cs="Times New Roman"/>
      <w:sz w:val="24"/>
      <w:szCs w:val="24"/>
      <w:lang w:val="x-none" w:eastAsia="ru-RU"/>
    </w:rPr>
  </w:style>
  <w:style w:type="paragraph" w:styleId="a5">
    <w:name w:val="footer"/>
    <w:basedOn w:val="a"/>
    <w:link w:val="a6"/>
    <w:semiHidden/>
    <w:rsid w:val="00A64D1E"/>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64D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Krokoz™</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Master</dc:creator>
  <cp:keywords/>
  <dc:description/>
  <cp:lastModifiedBy>admin</cp:lastModifiedBy>
  <cp:revision>2</cp:revision>
  <dcterms:created xsi:type="dcterms:W3CDTF">2014-07-09T19:07:00Z</dcterms:created>
  <dcterms:modified xsi:type="dcterms:W3CDTF">2014-07-09T19:07:00Z</dcterms:modified>
</cp:coreProperties>
</file>