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A5" w:rsidRDefault="00E375A5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МІНІСТЕРСТВО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ОСВІТИ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НАУКИ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УКРАЇНИ</w:t>
      </w: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НАЦІОНАЛЬНИЙ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УНІВЕРСИТЕТ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ХАРЧОВИХ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ТЕХНОЛОГІЙ</w:t>
      </w: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Кафедра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фінансів</w:t>
      </w: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Курсова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робота</w:t>
      </w:r>
    </w:p>
    <w:p w:rsidR="008B77FE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фінансова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діяльність</w:t>
      </w: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Н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тему</w:t>
      </w: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«Особливості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відповідальністю»</w:t>
      </w: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Виконала: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студентка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ОФПД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4-6</w:t>
      </w:r>
    </w:p>
    <w:p w:rsidR="008B77FE" w:rsidRPr="00C9725A" w:rsidRDefault="008B77FE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Коваль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Н.Г</w:t>
      </w:r>
    </w:p>
    <w:p w:rsidR="008B77FE" w:rsidRPr="00C9725A" w:rsidRDefault="008B77FE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Перевірила: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С.М</w:t>
      </w:r>
    </w:p>
    <w:p w:rsidR="008B77FE" w:rsidRPr="00C9725A" w:rsidRDefault="008B77FE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25A" w:rsidRP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7FE" w:rsidRPr="00C9725A" w:rsidRDefault="008B77FE" w:rsidP="00C9725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Київ-2011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>р.</w:t>
      </w:r>
    </w:p>
    <w:p w:rsidR="00C9725A" w:rsidRPr="00C9725A" w:rsidRDefault="00C9725A">
      <w:pPr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</w:r>
    </w:p>
    <w:p w:rsidR="0029793B" w:rsidRPr="00C9725A" w:rsidRDefault="00355EC5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ПЛАН</w:t>
      </w:r>
    </w:p>
    <w:p w:rsidR="00C9725A" w:rsidRP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F60" w:rsidRPr="00C9725A" w:rsidRDefault="00C94F60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ВСТУП</w:t>
      </w:r>
    </w:p>
    <w:p w:rsidR="00C94F60" w:rsidRPr="00C9725A" w:rsidRDefault="00C94F60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РОЗДІЛ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355EC5" w:rsidRPr="00C9725A">
        <w:rPr>
          <w:rFonts w:ascii="Times New Roman" w:hAnsi="Times New Roman"/>
          <w:sz w:val="28"/>
          <w:szCs w:val="28"/>
          <w:lang w:val="uk-UA"/>
        </w:rPr>
        <w:t>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ОРГАНІЗАЦІЙНО-ПРАВОВА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УКРАЇНІ</w:t>
      </w:r>
    </w:p>
    <w:p w:rsidR="00355EC5" w:rsidRPr="00C9725A" w:rsidRDefault="00355EC5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1.1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Сутність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FC485C" w:rsidRPr="00C9725A" w:rsidRDefault="00C94F60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1.2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85C" w:rsidRPr="00C9725A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85C" w:rsidRPr="00C9725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85C"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85C"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85C"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85C"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85C"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C94F60" w:rsidRPr="00C9725A" w:rsidRDefault="00C94F60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1.3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C9725A" w:rsidRPr="00C9725A" w:rsidRDefault="00C9725A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94F60" w:rsidRPr="00C9725A">
        <w:rPr>
          <w:rFonts w:ascii="Times New Roman" w:hAnsi="Times New Roman"/>
          <w:sz w:val="28"/>
          <w:szCs w:val="28"/>
          <w:lang w:val="uk-UA"/>
        </w:rPr>
        <w:t>РОЗДІЛ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F60" w:rsidRPr="00C9725A">
        <w:rPr>
          <w:rFonts w:ascii="Times New Roman" w:hAnsi="Times New Roman"/>
          <w:sz w:val="28"/>
          <w:szCs w:val="28"/>
          <w:lang w:val="uk-UA"/>
        </w:rPr>
        <w:t>ІІ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АНАЛІЗ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F60"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F60" w:rsidRPr="00C9725A">
        <w:rPr>
          <w:rFonts w:ascii="Times New Roman" w:hAnsi="Times New Roman"/>
          <w:sz w:val="28"/>
          <w:szCs w:val="28"/>
          <w:lang w:val="uk-UA"/>
        </w:rPr>
        <w:t>«ІМПУЛЬС</w:t>
      </w:r>
      <w:r w:rsidRPr="00C9725A">
        <w:rPr>
          <w:rFonts w:ascii="Times New Roman" w:hAnsi="Times New Roman"/>
          <w:sz w:val="28"/>
          <w:szCs w:val="28"/>
          <w:lang w:val="uk-UA"/>
        </w:rPr>
        <w:t>»</w:t>
      </w:r>
    </w:p>
    <w:p w:rsidR="00141103" w:rsidRPr="00C9725A" w:rsidRDefault="009F1F7F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2.1.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Організаційно-правовий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статус,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напрями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</w:p>
    <w:p w:rsidR="008B77FE" w:rsidRPr="00C9725A" w:rsidRDefault="009F1F7F" w:rsidP="00C9725A">
      <w:pPr>
        <w:widowControl w:val="0"/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2.2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Оцінка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ефективності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структурою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7FE" w:rsidRPr="00C9725A">
        <w:rPr>
          <w:rFonts w:ascii="Times New Roman" w:hAnsi="Times New Roman"/>
          <w:sz w:val="28"/>
          <w:szCs w:val="28"/>
          <w:lang w:val="uk-UA"/>
        </w:rPr>
        <w:t>капіталу</w:t>
      </w:r>
    </w:p>
    <w:p w:rsidR="00141103" w:rsidRPr="00C9725A" w:rsidRDefault="00C94F60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РОЗДІЛ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ІІI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ШЛЯХИ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ВДОСКОНАЛЕННЯ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141103" w:rsidRPr="00C9725A" w:rsidRDefault="00C9725A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3.1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Заходи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оптимальної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з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103"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141103" w:rsidRPr="00C9725A" w:rsidRDefault="006520EB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ВИСНОВКИ</w:t>
      </w:r>
    </w:p>
    <w:p w:rsidR="006520EB" w:rsidRPr="00C9725A" w:rsidRDefault="006520EB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СПИСОК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ВИКОРИСТАНОЇ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ЛІТЕРАТУРИ</w:t>
      </w:r>
    </w:p>
    <w:p w:rsidR="00C9725A" w:rsidRPr="00C9725A" w:rsidRDefault="006520EB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ДОДАТКИ</w:t>
      </w:r>
    </w:p>
    <w:p w:rsidR="00C9725A" w:rsidRPr="00C9725A" w:rsidRDefault="00C9725A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37E8" w:rsidRPr="00C9725A" w:rsidRDefault="00355EC5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</w:r>
      <w:r w:rsidR="005637E8" w:rsidRPr="00C9725A">
        <w:rPr>
          <w:rFonts w:ascii="Times New Roman" w:hAnsi="Times New Roman"/>
          <w:sz w:val="28"/>
          <w:szCs w:val="28"/>
          <w:lang w:val="uk-UA"/>
        </w:rPr>
        <w:t>ВСТУП</w:t>
      </w:r>
    </w:p>
    <w:p w:rsidR="00C9725A" w:rsidRP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Товариство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змогу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гармонійно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поєднувати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особистий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матеріальний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інтерес,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досить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великої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кількості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вкладників-учасників.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ризикують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лише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частиною,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вступі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захищені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інтереси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несе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майнову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своїми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зобов'язаннями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характер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персоналізацією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межах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закон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вимагає,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щоб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найменування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були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ділових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відносин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партнерами.</w:t>
      </w:r>
    </w:p>
    <w:p w:rsidR="009F1F7F" w:rsidRPr="00C9725A" w:rsidRDefault="009F1F7F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Мета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курсової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роботи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–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провести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аналіз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товариства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обмеженою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відповідальністю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привести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варіанти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його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вдосконалення,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застосувавши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критерії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оптимізації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структури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капіталу.</w:t>
      </w:r>
    </w:p>
    <w:p w:rsidR="009F1F7F" w:rsidRPr="00C9725A" w:rsidRDefault="009F1F7F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Досягнення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поставленої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цілі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вимагало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рішення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наступних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задач: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9F1F7F" w:rsidRPr="00C9725A" w:rsidRDefault="009F1F7F" w:rsidP="00C9725A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Визначити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завдання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8CE">
        <w:rPr>
          <w:rFonts w:ascii="Times New Roman" w:hAnsi="Times New Roman"/>
          <w:sz w:val="28"/>
          <w:szCs w:val="28"/>
          <w:lang w:val="uk-UA"/>
        </w:rPr>
        <w:t>підпри</w:t>
      </w:r>
      <w:r w:rsidRPr="00C9725A">
        <w:rPr>
          <w:rFonts w:ascii="Times New Roman" w:hAnsi="Times New Roman"/>
          <w:sz w:val="28"/>
          <w:szCs w:val="28"/>
          <w:lang w:val="uk-UA"/>
        </w:rPr>
        <w:t>ємства;</w:t>
      </w:r>
    </w:p>
    <w:p w:rsidR="009F1F7F" w:rsidRPr="00C9725A" w:rsidRDefault="009F1F7F" w:rsidP="00C9725A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здійснити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капіталу;</w:t>
      </w:r>
    </w:p>
    <w:p w:rsidR="009F1F7F" w:rsidRPr="00C9725A" w:rsidRDefault="009F1F7F" w:rsidP="00C9725A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вивчити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провести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методів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різними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критеріями;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1F7F" w:rsidRPr="00C9725A" w:rsidRDefault="009F1F7F" w:rsidP="00C9725A">
      <w:pPr>
        <w:widowControl w:val="0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сформувати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заходи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покращення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F67"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F67"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F67"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F67"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Pr="00C9725A">
        <w:rPr>
          <w:rFonts w:ascii="Times New Roman" w:hAnsi="Times New Roman"/>
          <w:sz w:val="28"/>
          <w:szCs w:val="28"/>
          <w:lang w:val="uk-UA"/>
        </w:rPr>
        <w:t>.</w:t>
      </w:r>
    </w:p>
    <w:p w:rsidR="009F1F7F" w:rsidRPr="00C9725A" w:rsidRDefault="009F1F7F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Об’єкт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дослідження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механізм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F67"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F67"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F67" w:rsidRPr="00C9725A">
        <w:rPr>
          <w:rFonts w:ascii="Times New Roman" w:hAnsi="Times New Roman"/>
          <w:sz w:val="28"/>
          <w:szCs w:val="28"/>
          <w:lang w:val="uk-UA"/>
        </w:rPr>
        <w:t>„Імпульс”</w:t>
      </w:r>
      <w:r w:rsidRPr="00C9725A">
        <w:rPr>
          <w:rFonts w:ascii="Times New Roman" w:hAnsi="Times New Roman"/>
          <w:sz w:val="28"/>
          <w:szCs w:val="28"/>
          <w:lang w:val="uk-UA"/>
        </w:rPr>
        <w:t>.</w:t>
      </w:r>
    </w:p>
    <w:p w:rsidR="009F1F7F" w:rsidRPr="00C9725A" w:rsidRDefault="009F1F7F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rStyle w:val="longtext"/>
          <w:sz w:val="28"/>
          <w:szCs w:val="28"/>
          <w:shd w:val="clear" w:color="auto" w:fill="FFFFFF"/>
          <w:lang w:val="uk-UA"/>
        </w:rPr>
      </w:pP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Предмет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дослідження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–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теоретичні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та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методичні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аспекти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управління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цільовою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структурою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капіталу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підприємств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з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метою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її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оптимізації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для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забезпечення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фінансової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стабільності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ефективного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функціонування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підприємств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різних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галузей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Pr="00C9725A">
        <w:rPr>
          <w:rStyle w:val="longtext"/>
          <w:sz w:val="28"/>
          <w:szCs w:val="28"/>
          <w:shd w:val="clear" w:color="auto" w:fill="FFFFFF"/>
          <w:lang w:val="uk-UA"/>
        </w:rPr>
        <w:t>економіки.</w:t>
      </w:r>
      <w:r w:rsidR="00C9725A" w:rsidRPr="00C9725A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</w:p>
    <w:p w:rsidR="00C94F60" w:rsidRPr="00C9725A" w:rsidRDefault="00C94F60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РОЗДІЛ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ОРГАНІЗАЦІЙНО-ПРАВОВА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УКРАЇНІ</w:t>
      </w:r>
    </w:p>
    <w:p w:rsid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1.1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Сутність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Особливістю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наявність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фонду),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повинен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еквівалентної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заробітним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платам,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ставки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заробітної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виконує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ряд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найважливіших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функцій,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зокрема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матеріальне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підприємницької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Важливою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функцією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гарантією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захисту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інтересів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встановлення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значною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перешкоджає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зниженню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нижче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гарантованої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величини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кожний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зобов'язаний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відсотків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зазначеного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грошей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підтверджується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виданими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банківською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установою.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зобов'язаний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пізніше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після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випадку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невиконання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зобов'язання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термін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сплачує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прострочення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відсотків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недовнесеної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суми.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згодою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віддати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декільком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передбачене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Передача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третім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особам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лише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після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вкладу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відступає.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третій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одночасно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переходять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обов'язки.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Вищим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Вони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складаються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призначених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представників.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Представники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постійними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призначеними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певний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строк.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будь-який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замінити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представника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сповістивши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кількість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голосів,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пропорційну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обирають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голову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компетенції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належать: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напрямків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планів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звітів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виконання;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встановлення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порядку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внесків;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вирішення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питання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придбання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виключення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обрання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відкликання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членів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ревізійної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комісії;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включаючи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дочірні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звітів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висновків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ревізійної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комісії,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порядку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розподілу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термінів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порядку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виплати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порядку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покриття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збитків;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реорганізація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ліквідація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дочірніх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філій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представництв,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положень;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притягнення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майнової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відповідальності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посадових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осіб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товариством;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правил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процедури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внутрішніх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організаційної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умов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оплати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посадових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осіб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дочірніх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філій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представництв;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договорів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(угод),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укладених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суму,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перевищує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зазначену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товариства;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•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ухвалення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припинення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призначення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ліквідаційної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комісії,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ліквідаційного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балансу.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вважаються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повноважними,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присутні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(представники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учасників),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володіють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сукупності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60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відсотками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голосів,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питань,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вимагають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одноголосності,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скликають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рідше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двох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рік,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передбачене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Позачергові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скликаються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головою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наявності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обставин,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зазначених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документах,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випадку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неплатоспроможності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будь-якому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випадку,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вимагають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інтереси.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Виконавчим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колегіальний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одноосібний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директор.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Дирекцію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очолює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генеральний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директор,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членами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Дирекція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вирішує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питання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винятком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тих,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котрі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належать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виняткової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компетенції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передачу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повноважень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дирекції.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Дирекція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підзвітна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зборам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виконання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рішень.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Контроль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дирекції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ревізійною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комісією,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створюється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числа,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кількості,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передбаченій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але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трьох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осіб.</w:t>
      </w:r>
    </w:p>
    <w:p w:rsidR="005637E8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Ревізійна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комісія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висновок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звітів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балансів.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Без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висновку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ревізійної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комісії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баланс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</w:p>
    <w:p w:rsidR="00FC485C" w:rsidRPr="00C9725A" w:rsidRDefault="005637E8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Більшість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викладених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положень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регулювання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стосується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категорії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господарських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особливості.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шляхом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реінвестування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змінюють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юридичного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статусу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відбувається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реорганізації,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ліквідації).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пов’язаних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такі: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державне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мито;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вартість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нотаріальних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послуг;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плата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перереєстрацію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засновницьких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документів.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слід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враховувати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викупивши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новий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співвласником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раніше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створених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резервів.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тому,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окрім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номінальної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повинен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сплатити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ажіо,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належному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еквіваленту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раніше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сформованих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резервів.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Величина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ажіо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встановлюватися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оцінки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узгоджуватися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Перевищення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фактичної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продажу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номіналом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належить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згодою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решти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уступити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(її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частину)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кільком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третім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особам.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користуються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переважним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придбання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уступив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пропорційно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часткам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погодженому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розмірі.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здійснюватися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двома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способами: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виходу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кількох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товариства;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окремих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Повернення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означати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без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Законом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України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господарські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виході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виплачується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пропорційна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будь-які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пов’язані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вимагають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засновницькі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перереєстрацію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Виплата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після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звіту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місяців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виходу.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вимогу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згодою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повернено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частково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натуральній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формі.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Досить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суперечливим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статтею</w:t>
      </w:r>
      <w:r w:rsid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57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згаданого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Закону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недостатності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покриття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боргів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вправі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вимагати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виділення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учасника-боржника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підлягає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зменшенню.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Однак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відбуватися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лише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слід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вчинити,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винесуть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рішення?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Крім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того,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наявності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заперечень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будь-кого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допускається.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робити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кредиторам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погоджуються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капіталу?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пов’язаних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(учасників)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суб’єкта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підприємницької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подаються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оформлені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вимог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засвідчують: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добровільний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вихід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юридичної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(учасників)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подається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копія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фізичної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нотаріально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посвідчена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заява;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примусове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виключення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(учасників)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уповноваженого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органу.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Орган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5-денний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термін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(доповнень)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подає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статистики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податкової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служби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копії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реєстраційної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картки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відміткою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змін.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окремих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надати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документи: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а)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реєстраційну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картку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зразка;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нотаріально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посвідчені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(два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оригінали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копію);</w:t>
      </w:r>
    </w:p>
    <w:p w:rsidR="00B65A67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протокол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загальних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учасників;</w:t>
      </w:r>
    </w:p>
    <w:p w:rsidR="00B65A67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г)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засвідчує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реєстрацію.</w:t>
      </w:r>
    </w:p>
    <w:p w:rsidR="00C9725A" w:rsidRP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1.2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Товариство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(ТОВ)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акціонерне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суб’єктом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колективної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власності,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поділений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визначається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України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створюється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повинен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становити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еквівалентної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заробітним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платам.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порівняння: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країн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Європейського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Союзу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(ЄС)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встановлено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тис.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євро;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Швейцарії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тис.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франків.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відміну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Росії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Німеччини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Україні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створюватися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однією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особою,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потрібно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мінімум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(учасниками,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засновниками)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фізичні,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юридичні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засновниками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господарських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кожен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зробити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зазначеного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підтверджується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виданими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банківською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установою.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необхідні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обсязі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пізніше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після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невиконання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сплачує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прострочки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недовнесеної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суми.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сплатив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внесок,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видається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свідоцтво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борги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полегшує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зовнішніх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джерел.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ліквідації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вимоги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задовольняються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останню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чергу,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після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погашення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претензій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кредиторів.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Недоліком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передачі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відміну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акцій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АТ,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досить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мобільними,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оскільки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відсутній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організований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ринок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торгівлі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ними.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Окрім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купівлі-продажу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(переуступлення)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нотаріально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посвідчена.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фізична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юридична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викуповує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належить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оформлюється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договору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купівлі-продажу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оплаті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зазначена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угода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підтверджується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тільки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платіжними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свідоцтвом,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видається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корпоративні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обігу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фондовій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біржі,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характерним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загострення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проблематики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інформаційної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асиметрії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торгівлі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частками,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ускладнює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продаж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третій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стороні.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Потенційний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покупець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виходити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того,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прагне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корпоративні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через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очікувану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збиткову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конфліктну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ситуацію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власниками.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Отже,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продавець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вимушений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запропонувати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ціну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продажу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Враховуючи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перелічені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чинники,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пов’язані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реалізації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часток,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вклади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максимально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тривалий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період.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відміну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АТ)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виключено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підставі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одностайного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систематичного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невиконання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обов’язків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своїми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перешкоджає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досягненню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цілей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числа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типових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зобов’язань,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практиці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виконуються,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неповне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необхідних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(внеску)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засновницьким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договором.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передбачені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передачі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правонаступництва.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відміну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бізнесу,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правонаступники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лише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переважне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автоматичне)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вступу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відмовити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правонаступникові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окремого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прийнятті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виходу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правонаступника)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виплачується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пропорційна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виплачується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належна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одержаного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звітному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виходу.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Звернення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стягнення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зобов’язаннях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допускається.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Реалізація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аналогічно,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АТ,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кількість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голосів,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пропорційну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Повнота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окремого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залежить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величини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можливостей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акціонери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АТ.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зумовлено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напрямів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планів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звітів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виконання,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відбувається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одностайного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голосування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зборах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власників.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здійснюватися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тезаврації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банківських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комерційних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позичок,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шляхом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емісії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облігацій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певних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обставин).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кредитоспроможність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недостатніми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необхідних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ресурсів,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окремі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надавати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поручительства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позички,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виділяються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Завдяки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розширюються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зобов’язаннями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їхніми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вкладами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додатково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поширюється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майно,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надане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забезпечення.</w:t>
      </w:r>
    </w:p>
    <w:p w:rsidR="00880BC3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Досить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метою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економії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податках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замість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надають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довгострокові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позички.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розглядатимуться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одночасно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Ризик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втрати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учасника-кредитора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меншим,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оскільки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банкрутство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претензії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задовольняються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першочерговому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порядку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власниками.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метою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запобігання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зловживань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позичками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законодавствах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європейських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країн,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зокрема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Німеччині,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Швейцарії,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Австрії,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положення,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банкрутства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претензії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учасників-кредиторів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задовольняються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порядку,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тобто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останню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чергу.</w:t>
      </w: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85C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1.3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C9725A" w:rsidRDefault="00C9725A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умовах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ринкової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економіки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для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усіх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власності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організаційно-правового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статусу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основними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джерелами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фінансового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виступають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як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власні,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позикові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кошти.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Утворення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власного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капіталу</w:t>
      </w:r>
      <w:r w:rsidRPr="00C9725A">
        <w:rPr>
          <w:sz w:val="28"/>
          <w:szCs w:val="28"/>
          <w:lang w:val="uk-UA"/>
        </w:rPr>
        <w:t>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відбувається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рахунок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зовнішніх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внутрішніх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власних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коштів.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880BC3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bCs/>
          <w:sz w:val="28"/>
          <w:szCs w:val="28"/>
          <w:lang w:val="uk-UA"/>
        </w:rPr>
        <w:t>До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зовнішніх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джерел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формування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власного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капіталу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належать,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перше,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кошти,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що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формуються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як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рахунок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особистих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внесків,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рахунок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можливостей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фінансового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ринку;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по-друге,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кошти,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що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формуються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порядку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розподілу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перерозподілу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фінансових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ресурсів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масштабах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економічної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системи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держави.</w:t>
      </w:r>
    </w:p>
    <w:p w:rsidR="00C9725A" w:rsidRPr="00C9725A" w:rsidRDefault="00C9725A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80BC3" w:rsidRPr="00C9725A" w:rsidRDefault="00C25CF4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0" type="#_x0000_t75" style="width:459.75pt;height:255.75pt">
            <v:imagedata r:id="rId7" o:title=""/>
          </v:shape>
        </w:pict>
      </w:r>
    </w:p>
    <w:p w:rsidR="00880BC3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Рис.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1.2.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Зовнішні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джерела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</w:p>
    <w:p w:rsidR="00880BC3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До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внутрішніх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належать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фінансові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ресурси,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які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формуються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процесі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виробничо-фінансової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діяльності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(Рис.1.3.).</w:t>
      </w:r>
    </w:p>
    <w:p w:rsidR="00C9725A" w:rsidRPr="00C9725A" w:rsidRDefault="00C9725A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80BC3" w:rsidRPr="00C9725A" w:rsidRDefault="00C25CF4" w:rsidP="00C9725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3" type="#_x0000_t75" style="width:453pt;height:139.5pt">
            <v:imagedata r:id="rId8" o:title=""/>
          </v:shape>
        </w:pict>
      </w:r>
    </w:p>
    <w:p w:rsidR="00880BC3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Рис.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1.3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Внутрішні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створення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фінансового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</w:t>
      </w:r>
    </w:p>
    <w:p w:rsidR="00C9725A" w:rsidRPr="00C9725A" w:rsidRDefault="00C9725A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При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рішенні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питання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обґрунтування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схеми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формування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структури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вибору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його,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власник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стикається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проблемою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вибору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підприємства.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Існує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дві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основні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схеми: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Змішане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власних,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позичкових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залучаються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різних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пропорціях.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Повне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самофінансування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виключно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відповідають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організаційно-правовій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При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виборі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кожної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схем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необхідно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враховувати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переваги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те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недоліки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фінансування.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bCs/>
          <w:sz w:val="28"/>
          <w:szCs w:val="28"/>
          <w:lang w:val="uk-UA"/>
        </w:rPr>
        <w:t>Переваги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власного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капіталу:</w:t>
      </w:r>
      <w:r w:rsidR="00C9725A" w:rsidRPr="00C9725A">
        <w:rPr>
          <w:bCs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залучення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простим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пов'язане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рішення,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пов'язані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приймає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менеджери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без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необхідності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отримання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згоди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інших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господарюючих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суб'єктів;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забезпечує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високу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генерування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сферах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pStyle w:val="ad"/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bCs/>
          <w:sz w:val="28"/>
          <w:szCs w:val="28"/>
          <w:lang w:val="uk-UA"/>
        </w:rPr>
        <w:t>Переваги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позичкового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капіталу:</w:t>
      </w:r>
      <w:r w:rsidR="00C9725A" w:rsidRPr="00C9725A">
        <w:rPr>
          <w:bCs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достатньо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широкі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особливо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високому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рейтингу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забезпечує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ріст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потенціалу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необхідності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суттєвого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розширення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зростанню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темпів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росту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обсягів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більш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низька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"податкового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щита";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numPr>
          <w:ilvl w:val="0"/>
          <w:numId w:val="3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можливість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генерувати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приріст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(коефіцієнт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капіталу).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</w:r>
    </w:p>
    <w:p w:rsidR="00C94F60" w:rsidRPr="00C9725A" w:rsidRDefault="00C94F60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РОЗДІЛ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«ІМПУЛЬС»</w:t>
      </w:r>
    </w:p>
    <w:p w:rsid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F60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2.1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Організаційно-правовий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статус,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напрями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25A">
        <w:rPr>
          <w:rFonts w:ascii="Times New Roman" w:hAnsi="Times New Roman"/>
          <w:sz w:val="28"/>
          <w:szCs w:val="28"/>
          <w:lang w:val="uk-UA"/>
        </w:rPr>
        <w:t>діяльності</w:t>
      </w:r>
    </w:p>
    <w:p w:rsid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25A">
        <w:rPr>
          <w:rFonts w:ascii="Times New Roman" w:hAnsi="Times New Roman"/>
          <w:sz w:val="28"/>
          <w:szCs w:val="28"/>
          <w:lang w:val="uk-UA"/>
        </w:rPr>
        <w:t>«Імпульс»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створено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процесі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реорганізації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шляхом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перетворення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сільськогосподарського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25A">
        <w:rPr>
          <w:rFonts w:ascii="Times New Roman" w:hAnsi="Times New Roman"/>
          <w:sz w:val="28"/>
          <w:szCs w:val="28"/>
          <w:lang w:val="uk-UA"/>
        </w:rPr>
        <w:t>«</w:t>
      </w:r>
      <w:r w:rsidRPr="00C9725A">
        <w:rPr>
          <w:rFonts w:ascii="Times New Roman" w:hAnsi="Times New Roman"/>
          <w:sz w:val="28"/>
          <w:szCs w:val="28"/>
          <w:lang w:val="uk-UA"/>
        </w:rPr>
        <w:t>Путь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25A">
        <w:rPr>
          <w:rFonts w:ascii="Times New Roman" w:hAnsi="Times New Roman"/>
          <w:sz w:val="28"/>
          <w:szCs w:val="28"/>
          <w:lang w:val="uk-UA"/>
        </w:rPr>
        <w:t>Леніна»</w:t>
      </w:r>
      <w:r w:rsidRPr="00C9725A">
        <w:rPr>
          <w:rFonts w:ascii="Times New Roman" w:hAnsi="Times New Roman"/>
          <w:sz w:val="28"/>
          <w:szCs w:val="28"/>
          <w:lang w:val="uk-UA"/>
        </w:rPr>
        <w:t>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правонаступником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правовідносин,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обов’язків.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„Імпульс”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зареєстроване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юридична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Державній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реєстраційній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палаті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свідоцтвом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березня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року.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Станом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грудня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зареєстровано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працівників.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становить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тисяч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гривень.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Основний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змішане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сільське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господарство.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спеціалізується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зовнішньо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економічній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прямих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виробничих,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науково-технічних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зв’язків,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проведення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експортно-імпортних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числі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товарообмінних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або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бартерних,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порядку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зовнішньо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економічної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.</w:t>
      </w:r>
    </w:p>
    <w:p w:rsidR="00FC485C" w:rsidRPr="00C9725A" w:rsidRDefault="00FC485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Важливим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елементом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санаційного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аудиту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техніко-економічних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виробничо-господарської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процесі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виявляються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сильні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слабкі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сторони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виробничої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сфери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метою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виробити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мобілізації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усунення.</w:t>
      </w:r>
    </w:p>
    <w:p w:rsid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A41" w:rsidRDefault="00010A4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94F60" w:rsidRPr="00C9725A" w:rsidRDefault="00C94F60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2.1</w:t>
      </w:r>
      <w:r w:rsid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техніко-економічні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A41">
        <w:rPr>
          <w:rFonts w:ascii="Times New Roman" w:hAnsi="Times New Roman"/>
          <w:sz w:val="28"/>
          <w:szCs w:val="28"/>
          <w:lang w:val="uk-UA"/>
        </w:rPr>
        <w:t xml:space="preserve">виробничо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діяльності</w:t>
      </w:r>
    </w:p>
    <w:tbl>
      <w:tblPr>
        <w:tblW w:w="93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850"/>
        <w:gridCol w:w="791"/>
        <w:gridCol w:w="8"/>
        <w:gridCol w:w="756"/>
        <w:gridCol w:w="33"/>
        <w:gridCol w:w="771"/>
        <w:gridCol w:w="824"/>
        <w:gridCol w:w="26"/>
        <w:gridCol w:w="826"/>
        <w:gridCol w:w="28"/>
        <w:gridCol w:w="26"/>
        <w:gridCol w:w="781"/>
        <w:gridCol w:w="19"/>
        <w:gridCol w:w="832"/>
        <w:gridCol w:w="19"/>
        <w:gridCol w:w="872"/>
      </w:tblGrid>
      <w:tr w:rsidR="00C94F60" w:rsidRPr="00C9725A" w:rsidTr="00010A41">
        <w:trPr>
          <w:trHeight w:val="182"/>
        </w:trPr>
        <w:tc>
          <w:tcPr>
            <w:tcW w:w="1843" w:type="dxa"/>
            <w:vMerge w:val="restart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849" w:type="dxa"/>
            <w:vMerge w:val="restart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9" w:type="dxa"/>
            <w:gridSpan w:val="2"/>
            <w:vMerge w:val="restart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501" w:type="dxa"/>
            <w:gridSpan w:val="6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Абсолютне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відхилення,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тис.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523" w:type="dxa"/>
            <w:gridSpan w:val="5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Відносне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відхилення,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</w:tr>
      <w:tr w:rsidR="00C94F60" w:rsidRPr="00C9725A" w:rsidTr="00010A41">
        <w:trPr>
          <w:trHeight w:val="307"/>
        </w:trPr>
        <w:tc>
          <w:tcPr>
            <w:tcW w:w="1843" w:type="dxa"/>
            <w:vMerge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9" w:type="dxa"/>
            <w:vMerge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850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85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807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89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</w:tr>
      <w:tr w:rsidR="00C94F60" w:rsidRPr="00C9725A" w:rsidTr="00010A41">
        <w:trPr>
          <w:trHeight w:val="289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1.Випуск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діючих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цінах</w:t>
            </w:r>
          </w:p>
        </w:tc>
        <w:tc>
          <w:tcPr>
            <w:tcW w:w="849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2122</w:t>
            </w:r>
          </w:p>
        </w:tc>
        <w:tc>
          <w:tcPr>
            <w:tcW w:w="79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2200</w:t>
            </w:r>
          </w:p>
        </w:tc>
        <w:tc>
          <w:tcPr>
            <w:tcW w:w="78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5110</w:t>
            </w:r>
          </w:p>
        </w:tc>
        <w:tc>
          <w:tcPr>
            <w:tcW w:w="77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850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2910</w:t>
            </w:r>
          </w:p>
        </w:tc>
        <w:tc>
          <w:tcPr>
            <w:tcW w:w="85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2988</w:t>
            </w:r>
          </w:p>
        </w:tc>
        <w:tc>
          <w:tcPr>
            <w:tcW w:w="807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3,68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132,27</w:t>
            </w:r>
          </w:p>
        </w:tc>
        <w:tc>
          <w:tcPr>
            <w:tcW w:w="89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140,81</w:t>
            </w:r>
          </w:p>
        </w:tc>
      </w:tr>
      <w:tr w:rsidR="00C94F60" w:rsidRPr="00C9725A" w:rsidTr="00010A41">
        <w:trPr>
          <w:cantSplit/>
          <w:trHeight w:val="141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2.Чистий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дохід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49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16402</w:t>
            </w:r>
          </w:p>
        </w:tc>
        <w:tc>
          <w:tcPr>
            <w:tcW w:w="79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17964</w:t>
            </w:r>
          </w:p>
        </w:tc>
        <w:tc>
          <w:tcPr>
            <w:tcW w:w="78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18654</w:t>
            </w:r>
          </w:p>
        </w:tc>
        <w:tc>
          <w:tcPr>
            <w:tcW w:w="77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1562</w:t>
            </w:r>
          </w:p>
        </w:tc>
        <w:tc>
          <w:tcPr>
            <w:tcW w:w="850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690</w:t>
            </w:r>
          </w:p>
        </w:tc>
        <w:tc>
          <w:tcPr>
            <w:tcW w:w="85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2252</w:t>
            </w:r>
          </w:p>
        </w:tc>
        <w:tc>
          <w:tcPr>
            <w:tcW w:w="807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9,52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89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13,73</w:t>
            </w:r>
          </w:p>
        </w:tc>
      </w:tr>
      <w:tr w:rsidR="00C94F60" w:rsidRPr="00C9725A" w:rsidTr="00010A41">
        <w:trPr>
          <w:cantSplit/>
          <w:trHeight w:val="951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3.Кількість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промислово-виробничого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персоналу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49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79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78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77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07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5,26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9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5,26</w:t>
            </w:r>
          </w:p>
        </w:tc>
      </w:tr>
      <w:tr w:rsidR="00C94F60" w:rsidRPr="00C9725A" w:rsidTr="00010A41">
        <w:trPr>
          <w:cantSplit/>
          <w:trHeight w:val="70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4.Фонд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оплати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849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716</w:t>
            </w:r>
          </w:p>
        </w:tc>
        <w:tc>
          <w:tcPr>
            <w:tcW w:w="79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805</w:t>
            </w:r>
          </w:p>
        </w:tc>
        <w:tc>
          <w:tcPr>
            <w:tcW w:w="789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1077</w:t>
            </w:r>
          </w:p>
        </w:tc>
        <w:tc>
          <w:tcPr>
            <w:tcW w:w="77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850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272</w:t>
            </w:r>
          </w:p>
        </w:tc>
        <w:tc>
          <w:tcPr>
            <w:tcW w:w="85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361</w:t>
            </w:r>
          </w:p>
        </w:tc>
        <w:tc>
          <w:tcPr>
            <w:tcW w:w="807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12,43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33,79</w:t>
            </w:r>
          </w:p>
        </w:tc>
        <w:tc>
          <w:tcPr>
            <w:tcW w:w="89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50,42</w:t>
            </w:r>
          </w:p>
        </w:tc>
      </w:tr>
      <w:tr w:rsidR="00C94F60" w:rsidRPr="00C9725A" w:rsidTr="00010A41">
        <w:trPr>
          <w:cantSplit/>
          <w:trHeight w:val="487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5.Продуктивність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одного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працівника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ПВП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15,95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16,07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36,5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20,43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20,55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0,75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127,13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128,84</w:t>
            </w:r>
          </w:p>
        </w:tc>
      </w:tr>
      <w:tr w:rsidR="00C94F60" w:rsidRPr="00C9725A" w:rsidTr="00010A41">
        <w:trPr>
          <w:cantSplit/>
          <w:trHeight w:val="70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6.Середньорічна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оплата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5,38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5,75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7,69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0,37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1,94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2,31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6,88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33,79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42,99</w:t>
            </w:r>
          </w:p>
        </w:tc>
      </w:tr>
      <w:tr w:rsidR="00C94F60" w:rsidRPr="00C9725A" w:rsidTr="00010A41">
        <w:trPr>
          <w:cantSplit/>
          <w:trHeight w:val="886"/>
        </w:trPr>
        <w:tc>
          <w:tcPr>
            <w:tcW w:w="1843" w:type="dxa"/>
            <w:tcBorders>
              <w:bottom w:val="nil"/>
            </w:tcBorders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7.Середньорічна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основних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фондів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5436</w:t>
            </w: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6745</w:t>
            </w:r>
          </w:p>
        </w:tc>
        <w:tc>
          <w:tcPr>
            <w:tcW w:w="764" w:type="dxa"/>
            <w:gridSpan w:val="2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10851</w:t>
            </w:r>
          </w:p>
        </w:tc>
        <w:tc>
          <w:tcPr>
            <w:tcW w:w="803" w:type="dxa"/>
            <w:gridSpan w:val="2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1309</w:t>
            </w: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4106</w:t>
            </w:r>
          </w:p>
        </w:tc>
        <w:tc>
          <w:tcPr>
            <w:tcW w:w="852" w:type="dxa"/>
            <w:gridSpan w:val="2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5415</w:t>
            </w:r>
          </w:p>
        </w:tc>
        <w:tc>
          <w:tcPr>
            <w:tcW w:w="854" w:type="dxa"/>
            <w:gridSpan w:val="4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24,08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60,87</w:t>
            </w:r>
          </w:p>
        </w:tc>
        <w:tc>
          <w:tcPr>
            <w:tcW w:w="872" w:type="dxa"/>
            <w:tcBorders>
              <w:bottom w:val="nil"/>
            </w:tcBorders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99,61</w:t>
            </w:r>
          </w:p>
        </w:tc>
      </w:tr>
      <w:tr w:rsidR="00C94F60" w:rsidRPr="00C9725A" w:rsidTr="00010A41">
        <w:trPr>
          <w:cantSplit/>
          <w:trHeight w:val="70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8.Фондовіддача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2,41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3,52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1,40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1,11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-2,12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-1,00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46,06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-60,13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-41,77</w:t>
            </w:r>
          </w:p>
        </w:tc>
      </w:tr>
      <w:tr w:rsidR="00C94F60" w:rsidRPr="00C9725A" w:rsidTr="00010A41">
        <w:trPr>
          <w:cantSplit/>
          <w:trHeight w:val="70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9.Середньорічні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залишки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обігових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коштів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28079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24713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21748,5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-3366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-2964,5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-6330,5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-11,99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-12,00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-22,55</w:t>
            </w:r>
          </w:p>
        </w:tc>
      </w:tr>
      <w:tr w:rsidR="00C94F60" w:rsidRPr="00C9725A" w:rsidTr="00010A41">
        <w:trPr>
          <w:cantSplit/>
          <w:trHeight w:val="873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10.Коефіцієнт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оборотності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обігових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коштів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0,58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0,73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0,86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0,13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0,27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24,44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18,00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46,83</w:t>
            </w:r>
          </w:p>
        </w:tc>
      </w:tr>
      <w:tr w:rsidR="00C94F60" w:rsidRPr="00C9725A" w:rsidTr="00010A41">
        <w:trPr>
          <w:cantSplit/>
          <w:trHeight w:val="82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11.Середньорічна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0,09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0,23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0,01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17,80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163,93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210,91</w:t>
            </w:r>
          </w:p>
        </w:tc>
      </w:tr>
      <w:tr w:rsidR="00C94F60" w:rsidRPr="00C9725A" w:rsidTr="00010A41">
        <w:trPr>
          <w:cantSplit/>
          <w:trHeight w:val="70"/>
        </w:trPr>
        <w:tc>
          <w:tcPr>
            <w:tcW w:w="1843" w:type="dxa"/>
            <w:vAlign w:val="bottom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12.Власний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23558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33634</w:t>
            </w:r>
          </w:p>
        </w:tc>
        <w:tc>
          <w:tcPr>
            <w:tcW w:w="764" w:type="dxa"/>
            <w:gridSpan w:val="2"/>
            <w:noWrap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45119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10076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11485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21561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42,77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34,15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91,52</w:t>
            </w:r>
          </w:p>
        </w:tc>
      </w:tr>
      <w:tr w:rsidR="00C94F60" w:rsidRPr="00C9725A" w:rsidTr="00010A41">
        <w:trPr>
          <w:cantSplit/>
          <w:trHeight w:val="1034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13.Собівартість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реалізованої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9205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8571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10922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-634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2351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1717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-6,89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27,43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18,65</w:t>
            </w:r>
          </w:p>
        </w:tc>
      </w:tr>
      <w:tr w:rsidR="00C94F60" w:rsidRPr="00C9725A" w:rsidTr="00010A41">
        <w:trPr>
          <w:cantSplit/>
          <w:trHeight w:val="190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14.В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т.ч.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прямі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матеріальні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4052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5067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6528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1015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1461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2476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25,05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28,83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61,11</w:t>
            </w:r>
          </w:p>
        </w:tc>
      </w:tr>
      <w:tr w:rsidR="00C94F60" w:rsidRPr="00C9725A" w:rsidTr="00010A41">
        <w:trPr>
          <w:cantSplit/>
          <w:trHeight w:val="131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15.Частка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прямих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матеріальних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витрат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собівартості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44,02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59,12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59,77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15,1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15,74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34,30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1,10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35,78</w:t>
            </w:r>
          </w:p>
        </w:tc>
      </w:tr>
      <w:tr w:rsidR="00C94F60" w:rsidRPr="00C9725A" w:rsidTr="00010A41">
        <w:trPr>
          <w:cantSplit/>
          <w:trHeight w:val="204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16.Витрати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грн.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реалізованої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0,59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-0,08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0,11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-14,29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21,98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4,55</w:t>
            </w:r>
          </w:p>
        </w:tc>
      </w:tr>
      <w:tr w:rsidR="00C94F60" w:rsidRPr="00C9725A" w:rsidTr="00010A41">
        <w:trPr>
          <w:cantSplit/>
          <w:trHeight w:val="70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17.Валовий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7197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9393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7732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2196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-1661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535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30,51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-17,68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7,43</w:t>
            </w:r>
          </w:p>
        </w:tc>
      </w:tr>
      <w:tr w:rsidR="00C94F60" w:rsidRPr="00C9725A" w:rsidTr="00010A41">
        <w:trPr>
          <w:cantSplit/>
          <w:trHeight w:val="77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18.Прибуток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основної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8506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10449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7912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1943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-2537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-594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22,84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-24,28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-6,98</w:t>
            </w:r>
          </w:p>
        </w:tc>
      </w:tr>
      <w:tr w:rsidR="00C94F60" w:rsidRPr="00C9725A" w:rsidTr="00010A41">
        <w:trPr>
          <w:cantSplit/>
          <w:trHeight w:val="151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19.Чистий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8131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6785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1585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-2931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-1346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19,49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-30,17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-16,55</w:t>
            </w:r>
          </w:p>
        </w:tc>
      </w:tr>
      <w:tr w:rsidR="00C94F60" w:rsidRPr="00C9725A" w:rsidTr="00010A41">
        <w:trPr>
          <w:cantSplit/>
          <w:trHeight w:val="209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20.Рентабельність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78,19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109,59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70,79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31,40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-38,80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-7,39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40,17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-35,40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-9,46</w:t>
            </w:r>
          </w:p>
        </w:tc>
      </w:tr>
      <w:tr w:rsidR="00C94F60" w:rsidRPr="00C9725A" w:rsidTr="00010A41">
        <w:trPr>
          <w:cantSplit/>
          <w:trHeight w:val="155"/>
        </w:trPr>
        <w:tc>
          <w:tcPr>
            <w:tcW w:w="1843" w:type="dxa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21.Рентабельність</w:t>
            </w:r>
            <w:r w:rsidR="00C9725A" w:rsidRPr="00C972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</w:p>
        </w:tc>
        <w:tc>
          <w:tcPr>
            <w:tcW w:w="850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34,51</w:t>
            </w:r>
          </w:p>
        </w:tc>
        <w:tc>
          <w:tcPr>
            <w:tcW w:w="791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28,89</w:t>
            </w:r>
          </w:p>
        </w:tc>
        <w:tc>
          <w:tcPr>
            <w:tcW w:w="764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15,04</w:t>
            </w:r>
          </w:p>
        </w:tc>
        <w:tc>
          <w:tcPr>
            <w:tcW w:w="803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-5,63</w:t>
            </w:r>
          </w:p>
        </w:tc>
        <w:tc>
          <w:tcPr>
            <w:tcW w:w="824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-13,85</w:t>
            </w:r>
          </w:p>
        </w:tc>
        <w:tc>
          <w:tcPr>
            <w:tcW w:w="852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-19,47</w:t>
            </w:r>
          </w:p>
        </w:tc>
        <w:tc>
          <w:tcPr>
            <w:tcW w:w="854" w:type="dxa"/>
            <w:gridSpan w:val="4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-16,30</w:t>
            </w:r>
          </w:p>
        </w:tc>
        <w:tc>
          <w:tcPr>
            <w:tcW w:w="851" w:type="dxa"/>
            <w:gridSpan w:val="2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-47,94</w:t>
            </w:r>
          </w:p>
        </w:tc>
        <w:tc>
          <w:tcPr>
            <w:tcW w:w="872" w:type="dxa"/>
            <w:vAlign w:val="center"/>
          </w:tcPr>
          <w:p w:rsidR="00C94F60" w:rsidRPr="00C9725A" w:rsidRDefault="00C94F60" w:rsidP="00C9725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725A">
              <w:rPr>
                <w:rFonts w:ascii="Times New Roman" w:hAnsi="Times New Roman"/>
                <w:sz w:val="20"/>
                <w:szCs w:val="20"/>
                <w:lang w:val="uk-UA"/>
              </w:rPr>
              <w:t>-56,43</w:t>
            </w:r>
          </w:p>
        </w:tc>
      </w:tr>
    </w:tbl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F60" w:rsidRPr="00C9725A" w:rsidRDefault="00C94F60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Загалом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техніко-економічний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являється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стабільним,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ефективною.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Наприклад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випуск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збільшувався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протязі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спочатку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3,68%,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132,27%.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Продуктивність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збільшилася,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пов’язано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оплати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персоналу.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збільшувалася,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але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продуктивність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обладнання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ефективною,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свідчить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фондовіддачі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60,13%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41,77%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роком).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Незважаючи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тенденцію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зниження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залишках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обігових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їх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оборотність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збільшувалася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кожним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відсоток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становив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46,83%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свідчить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підвищення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користуванням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обіговими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коштами.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кожним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збільшувалися,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позитивним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фактором.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прямих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матеріальних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собівартості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свідчити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ринкової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розглянутий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період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нестабільною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вона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знизилася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2009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9,46%,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хоч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становив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109,59%,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тобто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здатність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приносити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фактором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нестабільним.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розрахунків,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знижувалася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кожним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16,3%,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47.94%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свідчить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низьку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«Імпульс».</w:t>
      </w: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0FC" w:rsidRPr="00C9725A" w:rsidRDefault="009F1F7F" w:rsidP="00C9725A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2.2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Оцінка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ефективності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структурою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капіталу</w:t>
      </w: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уявлення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відбувалися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протязі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трьох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досліджуваних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проаналізуємо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«Імпульс»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A41">
        <w:rPr>
          <w:rFonts w:ascii="Times New Roman" w:hAnsi="Times New Roman"/>
          <w:sz w:val="28"/>
          <w:szCs w:val="28"/>
          <w:lang w:val="uk-UA"/>
        </w:rPr>
        <w:t>(Табл.2.5)</w:t>
      </w: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010A41" w:rsidSect="00C9725A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2.5</w:t>
      </w:r>
      <w:r w:rsidR="00010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</w:p>
    <w:tbl>
      <w:tblPr>
        <w:tblW w:w="129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850"/>
        <w:gridCol w:w="884"/>
        <w:gridCol w:w="776"/>
        <w:gridCol w:w="675"/>
        <w:gridCol w:w="675"/>
        <w:gridCol w:w="675"/>
        <w:gridCol w:w="787"/>
        <w:gridCol w:w="788"/>
        <w:gridCol w:w="788"/>
        <w:gridCol w:w="911"/>
        <w:gridCol w:w="788"/>
        <w:gridCol w:w="911"/>
      </w:tblGrid>
      <w:tr w:rsidR="00D510FC" w:rsidRPr="00010A41" w:rsidTr="00010A41">
        <w:trPr>
          <w:trHeight w:val="456"/>
        </w:trPr>
        <w:tc>
          <w:tcPr>
            <w:tcW w:w="3402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850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84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76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025" w:type="dxa"/>
            <w:gridSpan w:val="3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Структура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(%)</w:t>
            </w:r>
          </w:p>
        </w:tc>
        <w:tc>
          <w:tcPr>
            <w:tcW w:w="2363" w:type="dxa"/>
            <w:gridSpan w:val="3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Абсолютне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відхилення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(тис.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2610" w:type="dxa"/>
            <w:gridSpan w:val="3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Відносне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відхилення</w:t>
            </w:r>
            <w:r w:rsid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(%)</w:t>
            </w:r>
          </w:p>
        </w:tc>
      </w:tr>
      <w:tr w:rsidR="00D510FC" w:rsidRPr="00010A41" w:rsidTr="00010A41">
        <w:trPr>
          <w:cantSplit/>
          <w:trHeight w:val="395"/>
        </w:trPr>
        <w:tc>
          <w:tcPr>
            <w:tcW w:w="3402" w:type="dxa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4" w:type="dxa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</w:tr>
      <w:tr w:rsidR="00D510FC" w:rsidRPr="00010A41" w:rsidTr="00010A41">
        <w:trPr>
          <w:trHeight w:val="242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Необоротні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активи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6564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9509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38727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23,52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25,30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71,52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1,78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46,23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48,01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7,57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182,73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204,13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Незавершенбудівництво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374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199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1,34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0,53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-0,81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-0,53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-1,34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-60,49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-100,0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-100,00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Основні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засоби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5436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8054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13648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19,48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21,43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25,21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1,95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3,78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5,73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10,02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17,64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29,42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інвестиції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754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1256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831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3,34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1,53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0,64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-1,81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-1,17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23,69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-54,07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-43,19</w:t>
            </w:r>
          </w:p>
        </w:tc>
      </w:tr>
      <w:tr w:rsidR="00D510FC" w:rsidRPr="00010A41" w:rsidTr="00010A41">
        <w:trPr>
          <w:trHeight w:val="632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24248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44,78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44,78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44,78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Оборотні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активи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21347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28079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15418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76,48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74,70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28,48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-1,78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-46,23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-48,01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-2,33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-61,88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-62,77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Виробничі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1277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1282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1761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4,58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3,41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3,25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-1,16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-0,16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-1,32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-25,45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-4,64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-28,91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біологічні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0,55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0,35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-0,20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-0,07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-0,27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-36,91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-19,90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-49,46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Незавершене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виробництво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1303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1966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2761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5,23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5,10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-0,13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0,43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12,04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-2,51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9,23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Готова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продукція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2122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2200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5110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7,60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5,85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9,44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-1,75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3,58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1,83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-23,02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61,25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24,13</w:t>
            </w:r>
          </w:p>
        </w:tc>
      </w:tr>
      <w:tr w:rsidR="00D510FC" w:rsidRPr="00010A41" w:rsidTr="00010A41">
        <w:trPr>
          <w:trHeight w:val="632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товари,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роботи,послуги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1303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3267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5381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4,67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8,69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9,94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4,02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1,25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5,27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86,18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14,34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112,88</w:t>
            </w:r>
          </w:p>
        </w:tc>
      </w:tr>
      <w:tr w:rsidR="00D510FC" w:rsidRPr="00010A41" w:rsidTr="00010A41">
        <w:trPr>
          <w:trHeight w:val="632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розрахунками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з: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C9725A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бюджетом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319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1,14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-0,98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-0,90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-86,03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51,57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-78,83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C9725A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виданими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авансами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0,01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0,01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0,01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C9725A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із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внутрішніх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510FC"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14797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19166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53,01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50,99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-2,03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-50,99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-53,01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-3,82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-100,00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Інша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поточна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0,01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-0,03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0,01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-0,02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-100,00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-59,91</w:t>
            </w:r>
          </w:p>
        </w:tc>
      </w:tr>
      <w:tr w:rsidR="00D510FC" w:rsidRPr="00010A41" w:rsidTr="00010A41">
        <w:trPr>
          <w:trHeight w:val="632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Грошові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кошти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національній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валюті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0,23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0,21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-0,21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-0,02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-90,72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863,22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-10,60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27911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37588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54145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Власний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капітал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23558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33634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45119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84,40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89,48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83,33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5,08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-6,15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-1,07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6,01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-6,87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-1,27</w:t>
            </w:r>
          </w:p>
        </w:tc>
      </w:tr>
      <w:tr w:rsidR="00D510FC" w:rsidRPr="00010A41" w:rsidTr="00010A41">
        <w:trPr>
          <w:trHeight w:val="331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Інший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додатковий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15427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23918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38334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55,27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63,63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70,80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8,36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7,17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15,53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15,12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11,26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28,09</w:t>
            </w:r>
          </w:p>
        </w:tc>
      </w:tr>
      <w:tr w:rsidR="00D510FC" w:rsidRPr="00010A41" w:rsidTr="00010A41">
        <w:trPr>
          <w:trHeight w:val="632"/>
        </w:trPr>
        <w:tc>
          <w:tcPr>
            <w:tcW w:w="3402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Нерозподілений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(непокритий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збиток)</w:t>
            </w:r>
          </w:p>
        </w:tc>
        <w:tc>
          <w:tcPr>
            <w:tcW w:w="850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8131</w:t>
            </w:r>
          </w:p>
        </w:tc>
        <w:tc>
          <w:tcPr>
            <w:tcW w:w="8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  <w:tc>
          <w:tcPr>
            <w:tcW w:w="7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6785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29,13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25,85</w:t>
            </w:r>
          </w:p>
        </w:tc>
        <w:tc>
          <w:tcPr>
            <w:tcW w:w="675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12,53</w:t>
            </w:r>
          </w:p>
        </w:tc>
        <w:tc>
          <w:tcPr>
            <w:tcW w:w="78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-3,28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-13,32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-16,60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-11,27</w:t>
            </w:r>
          </w:p>
        </w:tc>
        <w:tc>
          <w:tcPr>
            <w:tcW w:w="78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-51,52</w:t>
            </w:r>
          </w:p>
        </w:tc>
        <w:tc>
          <w:tcPr>
            <w:tcW w:w="911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-56,98</w:t>
            </w:r>
          </w:p>
        </w:tc>
      </w:tr>
    </w:tbl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010A41" w:rsidSect="00010A41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Найбільшу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питому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вагу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балансу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займали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2006-2007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оборотні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необоротні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розглядаючи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пасив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балансу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побачити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стабільну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ситуацію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найбільшу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причому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зріс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6,01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Стрімкому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зростанню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необоротних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сприяло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підвищення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дебіторської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заборгованості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44,78%.</w:t>
      </w: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Необоротні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досліджувані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збільшилися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(порівняно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7,57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182,73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Слід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зауважити,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зросли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завдяки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рівномірному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зростанню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оборотних,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необоротних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відсоток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зумовлений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необоротних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182,73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</w:t>
      </w:r>
      <w:r w:rsidRPr="00C9725A">
        <w:rPr>
          <w:rFonts w:ascii="Times New Roman" w:hAnsi="Times New Roman"/>
          <w:sz w:val="28"/>
          <w:lang w:val="uk-UA"/>
        </w:rPr>
        <w:t>.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Згідно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вищенаведеним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даними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Таблиці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2.5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зробити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висновок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Взагалі,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розглядати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пасивів,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побачити,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займає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найбільшу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питому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вагу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позитивним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оскільки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свідчить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невелику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залежність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господарства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самостійність.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Завдяки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взятому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довгостроковому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довгострокові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38984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але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дозволив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підвищити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необоротні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182,73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Значно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збільшився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поточних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зобов’язань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19,05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вплинуло: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взятий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короткостроковий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(збільшився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21,28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%),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заборгованості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роботи,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послуги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99,5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роком).</w:t>
      </w:r>
    </w:p>
    <w:p w:rsidR="00D510FC" w:rsidRPr="00C9725A" w:rsidRDefault="00C9725A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Розглянемо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більш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детально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динаміку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ФГ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«ОАЗИС»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період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2006-2008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роки,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і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визначимо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темпи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зростання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(%)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даних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показників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також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абсолютне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відхилення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(тис.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грн.)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Таблиці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2.6.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Таблиці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2.7,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визначимо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структуру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допомогою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коефіцієнтів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період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2006-2008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роки.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Таким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чином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визначивши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ефективність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капіталом.</w:t>
      </w: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2.6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Динаміка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</w:p>
    <w:tbl>
      <w:tblPr>
        <w:tblW w:w="91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816"/>
        <w:gridCol w:w="816"/>
        <w:gridCol w:w="816"/>
        <w:gridCol w:w="816"/>
        <w:gridCol w:w="816"/>
        <w:gridCol w:w="816"/>
        <w:gridCol w:w="876"/>
        <w:gridCol w:w="876"/>
        <w:gridCol w:w="829"/>
      </w:tblGrid>
      <w:tr w:rsidR="00D510FC" w:rsidRPr="00010A41" w:rsidTr="00010A41">
        <w:trPr>
          <w:trHeight w:val="695"/>
        </w:trPr>
        <w:tc>
          <w:tcPr>
            <w:tcW w:w="1716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816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2006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16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16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448" w:type="dxa"/>
            <w:gridSpan w:val="3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Абсолютне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відхилення,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тис.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581" w:type="dxa"/>
            <w:gridSpan w:val="3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Відносне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відхилення,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%</w:t>
            </w:r>
          </w:p>
        </w:tc>
      </w:tr>
      <w:tr w:rsidR="00D510FC" w:rsidRPr="00010A41" w:rsidTr="00010A41">
        <w:trPr>
          <w:trHeight w:val="337"/>
        </w:trPr>
        <w:tc>
          <w:tcPr>
            <w:tcW w:w="1716" w:type="dxa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2006</w:t>
            </w:r>
          </w:p>
        </w:tc>
        <w:tc>
          <w:tcPr>
            <w:tcW w:w="81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2006</w:t>
            </w:r>
          </w:p>
        </w:tc>
        <w:tc>
          <w:tcPr>
            <w:tcW w:w="8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2006</w:t>
            </w:r>
          </w:p>
        </w:tc>
        <w:tc>
          <w:tcPr>
            <w:tcW w:w="87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2007</w:t>
            </w:r>
          </w:p>
        </w:tc>
        <w:tc>
          <w:tcPr>
            <w:tcW w:w="829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2006</w:t>
            </w:r>
          </w:p>
        </w:tc>
      </w:tr>
      <w:tr w:rsidR="00D510FC" w:rsidRPr="00010A41" w:rsidTr="00010A41">
        <w:trPr>
          <w:trHeight w:val="337"/>
        </w:trPr>
        <w:tc>
          <w:tcPr>
            <w:tcW w:w="171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Власний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капітал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1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23558</w:t>
            </w:r>
          </w:p>
        </w:tc>
        <w:tc>
          <w:tcPr>
            <w:tcW w:w="81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33634</w:t>
            </w:r>
          </w:p>
        </w:tc>
        <w:tc>
          <w:tcPr>
            <w:tcW w:w="81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45119</w:t>
            </w:r>
          </w:p>
        </w:tc>
        <w:tc>
          <w:tcPr>
            <w:tcW w:w="81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10076</w:t>
            </w:r>
          </w:p>
        </w:tc>
        <w:tc>
          <w:tcPr>
            <w:tcW w:w="81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11485</w:t>
            </w:r>
          </w:p>
        </w:tc>
        <w:tc>
          <w:tcPr>
            <w:tcW w:w="81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21561</w:t>
            </w:r>
          </w:p>
        </w:tc>
        <w:tc>
          <w:tcPr>
            <w:tcW w:w="87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42,77</w:t>
            </w:r>
          </w:p>
        </w:tc>
        <w:tc>
          <w:tcPr>
            <w:tcW w:w="876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34,15</w:t>
            </w:r>
          </w:p>
        </w:tc>
        <w:tc>
          <w:tcPr>
            <w:tcW w:w="829" w:type="dxa"/>
            <w:vAlign w:val="bottom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91,52</w:t>
            </w:r>
          </w:p>
        </w:tc>
      </w:tr>
    </w:tbl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Таблиці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2.6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кожним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поступово,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порівнюючи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становило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91,52%,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але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помітніше,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воно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становило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107,35%.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Отже,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зростав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аналізований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період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інтенсивно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капітал.</w:t>
      </w: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2.7</w:t>
      </w: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Коефіцієнти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A67"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A67"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A67" w:rsidRPr="00C9725A">
        <w:rPr>
          <w:rFonts w:ascii="Times New Roman" w:hAnsi="Times New Roman"/>
          <w:sz w:val="28"/>
          <w:szCs w:val="28"/>
          <w:lang w:val="uk-UA"/>
        </w:rPr>
        <w:t>«Імпульс»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8"/>
        <w:gridCol w:w="969"/>
        <w:gridCol w:w="837"/>
        <w:gridCol w:w="792"/>
        <w:gridCol w:w="1206"/>
        <w:gridCol w:w="1134"/>
        <w:gridCol w:w="1184"/>
      </w:tblGrid>
      <w:tr w:rsidR="00D510FC" w:rsidRPr="00010A41" w:rsidTr="00010A41">
        <w:tc>
          <w:tcPr>
            <w:tcW w:w="3108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Коефіцієнт</w:t>
            </w:r>
          </w:p>
        </w:tc>
        <w:tc>
          <w:tcPr>
            <w:tcW w:w="969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37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92" w:type="dxa"/>
            <w:vMerge w:val="restart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3524" w:type="dxa"/>
            <w:gridSpan w:val="3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Абсолютне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відхилення</w:t>
            </w:r>
          </w:p>
        </w:tc>
      </w:tr>
      <w:tr w:rsidR="00D510FC" w:rsidRPr="00010A41" w:rsidTr="00010A41">
        <w:tc>
          <w:tcPr>
            <w:tcW w:w="0" w:type="auto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2007-2006</w:t>
            </w:r>
          </w:p>
        </w:tc>
        <w:tc>
          <w:tcPr>
            <w:tcW w:w="113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2008-2007</w:t>
            </w:r>
          </w:p>
        </w:tc>
        <w:tc>
          <w:tcPr>
            <w:tcW w:w="11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2008-2006</w:t>
            </w:r>
          </w:p>
        </w:tc>
      </w:tr>
      <w:tr w:rsidR="00D510FC" w:rsidRPr="00010A41" w:rsidTr="00010A41">
        <w:tc>
          <w:tcPr>
            <w:tcW w:w="310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Коефіцієнт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позичкового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(Кз)</w:t>
            </w:r>
          </w:p>
        </w:tc>
        <w:tc>
          <w:tcPr>
            <w:tcW w:w="969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83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0,11</w:t>
            </w:r>
          </w:p>
        </w:tc>
        <w:tc>
          <w:tcPr>
            <w:tcW w:w="792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0,17</w:t>
            </w:r>
          </w:p>
        </w:tc>
        <w:tc>
          <w:tcPr>
            <w:tcW w:w="120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-0,05</w:t>
            </w:r>
          </w:p>
        </w:tc>
        <w:tc>
          <w:tcPr>
            <w:tcW w:w="113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1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0,01</w:t>
            </w:r>
          </w:p>
        </w:tc>
      </w:tr>
      <w:tr w:rsidR="00D510FC" w:rsidRPr="00010A41" w:rsidTr="00010A41">
        <w:tc>
          <w:tcPr>
            <w:tcW w:w="3108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Коефіцієнт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власного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(Кв)</w:t>
            </w:r>
          </w:p>
        </w:tc>
        <w:tc>
          <w:tcPr>
            <w:tcW w:w="969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0,84</w:t>
            </w:r>
          </w:p>
        </w:tc>
        <w:tc>
          <w:tcPr>
            <w:tcW w:w="837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0,89</w:t>
            </w:r>
          </w:p>
        </w:tc>
        <w:tc>
          <w:tcPr>
            <w:tcW w:w="792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0,83</w:t>
            </w:r>
          </w:p>
        </w:tc>
        <w:tc>
          <w:tcPr>
            <w:tcW w:w="1206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13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-0,06</w:t>
            </w:r>
          </w:p>
        </w:tc>
        <w:tc>
          <w:tcPr>
            <w:tcW w:w="1184" w:type="dxa"/>
            <w:vAlign w:val="center"/>
          </w:tcPr>
          <w:p w:rsidR="00D510FC" w:rsidRPr="00010A41" w:rsidRDefault="00D510FC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-0,01</w:t>
            </w:r>
          </w:p>
        </w:tc>
      </w:tr>
    </w:tbl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0FC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«Імпульс»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роки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підтримувало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баланс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між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позиковим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власним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слід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зазначити,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користується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переважно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власним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частка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найбільшою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була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0,17,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0,06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більше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ніж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0,01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більше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ніж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році.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свідчить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стабільність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низьку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залежність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зовнішніх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джерел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0FC" w:rsidRPr="00C9725A">
        <w:rPr>
          <w:rFonts w:ascii="Times New Roman" w:hAnsi="Times New Roman"/>
          <w:sz w:val="28"/>
          <w:szCs w:val="28"/>
          <w:lang w:val="uk-UA"/>
        </w:rPr>
        <w:t>фінансування.</w:t>
      </w:r>
    </w:p>
    <w:p w:rsidR="00C94F60" w:rsidRPr="00C9725A" w:rsidRDefault="00C94F60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0FC" w:rsidRPr="00C9725A" w:rsidRDefault="00D510FC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</w:r>
    </w:p>
    <w:p w:rsidR="000C6ABB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3.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ШЛЯХИ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ВДОСКОНАЛЕННЯ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ТОВАРИСТВ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ABB"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numPr>
          <w:ilvl w:val="1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Заходи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оптимальної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Щоб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дізнатися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потенційну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шляхом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обсягу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розрахуємо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сферу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3.1):</w:t>
      </w: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3.1</w:t>
      </w:r>
      <w:r w:rsidR="00010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Сфера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814"/>
        <w:gridCol w:w="895"/>
        <w:gridCol w:w="806"/>
        <w:gridCol w:w="709"/>
        <w:gridCol w:w="742"/>
        <w:gridCol w:w="885"/>
        <w:gridCol w:w="890"/>
        <w:gridCol w:w="890"/>
        <w:gridCol w:w="890"/>
      </w:tblGrid>
      <w:tr w:rsidR="00880BC3" w:rsidRPr="00010A41" w:rsidTr="00010A41">
        <w:tc>
          <w:tcPr>
            <w:tcW w:w="1562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814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95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06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336" w:type="dxa"/>
            <w:gridSpan w:val="3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Абсолютне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відхилення</w:t>
            </w:r>
          </w:p>
        </w:tc>
        <w:tc>
          <w:tcPr>
            <w:tcW w:w="2670" w:type="dxa"/>
            <w:gridSpan w:val="3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Відносне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відхилення,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</w:tr>
      <w:tr w:rsidR="00880BC3" w:rsidRPr="00010A41" w:rsidTr="00010A41"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14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74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88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</w:tr>
      <w:tr w:rsidR="00880BC3" w:rsidRPr="00010A41" w:rsidTr="00010A41">
        <w:tc>
          <w:tcPr>
            <w:tcW w:w="156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Сфера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дії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операційного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важеля</w:t>
            </w:r>
          </w:p>
        </w:tc>
        <w:tc>
          <w:tcPr>
            <w:tcW w:w="81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29058</w:t>
            </w:r>
          </w:p>
        </w:tc>
        <w:tc>
          <w:tcPr>
            <w:tcW w:w="89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32945</w:t>
            </w:r>
          </w:p>
        </w:tc>
        <w:tc>
          <w:tcPr>
            <w:tcW w:w="806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32677</w:t>
            </w:r>
          </w:p>
        </w:tc>
        <w:tc>
          <w:tcPr>
            <w:tcW w:w="70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3887</w:t>
            </w:r>
          </w:p>
        </w:tc>
        <w:tc>
          <w:tcPr>
            <w:tcW w:w="74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-268</w:t>
            </w:r>
          </w:p>
        </w:tc>
        <w:tc>
          <w:tcPr>
            <w:tcW w:w="88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3619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13,38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-0,81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12,45</w:t>
            </w:r>
          </w:p>
        </w:tc>
      </w:tr>
      <w:tr w:rsidR="00880BC3" w:rsidRPr="00010A41" w:rsidTr="00010A41">
        <w:tc>
          <w:tcPr>
            <w:tcW w:w="156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Сфера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дії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фінансового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важеля</w:t>
            </w:r>
          </w:p>
        </w:tc>
        <w:tc>
          <w:tcPr>
            <w:tcW w:w="81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17510</w:t>
            </w:r>
          </w:p>
        </w:tc>
        <w:tc>
          <w:tcPr>
            <w:tcW w:w="89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21107</w:t>
            </w:r>
          </w:p>
        </w:tc>
        <w:tc>
          <w:tcPr>
            <w:tcW w:w="806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17076</w:t>
            </w:r>
          </w:p>
        </w:tc>
        <w:tc>
          <w:tcPr>
            <w:tcW w:w="70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3597</w:t>
            </w:r>
          </w:p>
        </w:tc>
        <w:tc>
          <w:tcPr>
            <w:tcW w:w="74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-4031</w:t>
            </w:r>
          </w:p>
        </w:tc>
        <w:tc>
          <w:tcPr>
            <w:tcW w:w="88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-434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20,54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-19,10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-2,48</w:t>
            </w:r>
          </w:p>
        </w:tc>
      </w:tr>
      <w:tr w:rsidR="00880BC3" w:rsidRPr="00010A41" w:rsidTr="00010A41">
        <w:tc>
          <w:tcPr>
            <w:tcW w:w="156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Сила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дії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операційного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важеля</w:t>
            </w:r>
          </w:p>
        </w:tc>
        <w:tc>
          <w:tcPr>
            <w:tcW w:w="81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1,81</w:t>
            </w:r>
          </w:p>
        </w:tc>
        <w:tc>
          <w:tcPr>
            <w:tcW w:w="89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1,23</w:t>
            </w:r>
          </w:p>
        </w:tc>
        <w:tc>
          <w:tcPr>
            <w:tcW w:w="806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1,53</w:t>
            </w:r>
          </w:p>
        </w:tc>
        <w:tc>
          <w:tcPr>
            <w:tcW w:w="70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-0,59</w:t>
            </w:r>
          </w:p>
        </w:tc>
        <w:tc>
          <w:tcPr>
            <w:tcW w:w="74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0,30</w:t>
            </w:r>
          </w:p>
        </w:tc>
        <w:tc>
          <w:tcPr>
            <w:tcW w:w="88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-0,29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-32,39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24,59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-15,77</w:t>
            </w:r>
          </w:p>
        </w:tc>
      </w:tr>
      <w:tr w:rsidR="00880BC3" w:rsidRPr="00010A41" w:rsidTr="00010A41">
        <w:tc>
          <w:tcPr>
            <w:tcW w:w="156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Сила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дії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фінансового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важеля</w:t>
            </w:r>
          </w:p>
        </w:tc>
        <w:tc>
          <w:tcPr>
            <w:tcW w:w="81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1,04</w:t>
            </w:r>
          </w:p>
        </w:tc>
        <w:tc>
          <w:tcPr>
            <w:tcW w:w="89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1,07</w:t>
            </w:r>
          </w:p>
        </w:tc>
        <w:tc>
          <w:tcPr>
            <w:tcW w:w="806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1,12</w:t>
            </w:r>
          </w:p>
        </w:tc>
        <w:tc>
          <w:tcPr>
            <w:tcW w:w="70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742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885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2,60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5,07</w:t>
            </w:r>
          </w:p>
        </w:tc>
        <w:tc>
          <w:tcPr>
            <w:tcW w:w="890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7,81</w:t>
            </w:r>
          </w:p>
        </w:tc>
      </w:tr>
    </w:tbl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Отже,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аналізований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період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підвищило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темп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шляхом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порівнюючи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Найефективніша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сила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просліджувалася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періоді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виручки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міг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1,81%.</w:t>
      </w: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Потенційна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можливість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темп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чистого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шляхом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обсягів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кожним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зменшувалася,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негативним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фактором,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оскільки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втрачало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силу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впливу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чистого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Темп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порівнюючи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перевищував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темп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зміни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чистого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2,48%.</w:t>
      </w: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Розрахуємо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фактичну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граничну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середньозважену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(Табл.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3.3),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допомогою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даних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Таблиці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3.2:</w:t>
      </w: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3.2</w:t>
      </w:r>
      <w:r w:rsidR="00010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A67"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</w:p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9"/>
        <w:gridCol w:w="1098"/>
        <w:gridCol w:w="886"/>
        <w:gridCol w:w="1035"/>
        <w:gridCol w:w="1186"/>
        <w:gridCol w:w="1098"/>
        <w:gridCol w:w="1011"/>
      </w:tblGrid>
      <w:tr w:rsidR="00880BC3" w:rsidRPr="00010A41" w:rsidTr="00010A41">
        <w:trPr>
          <w:trHeight w:val="343"/>
        </w:trPr>
        <w:tc>
          <w:tcPr>
            <w:tcW w:w="1276" w:type="dxa"/>
            <w:vMerge w:val="restart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Джерела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фінансування</w:t>
            </w:r>
          </w:p>
        </w:tc>
        <w:tc>
          <w:tcPr>
            <w:tcW w:w="3544" w:type="dxa"/>
            <w:gridSpan w:val="4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2008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рік</w:t>
            </w:r>
          </w:p>
        </w:tc>
        <w:tc>
          <w:tcPr>
            <w:tcW w:w="4330" w:type="dxa"/>
            <w:gridSpan w:val="4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2007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рік</w:t>
            </w:r>
          </w:p>
        </w:tc>
      </w:tr>
      <w:tr w:rsidR="00880BC3" w:rsidRPr="00010A41" w:rsidTr="00010A41">
        <w:trPr>
          <w:trHeight w:val="184"/>
        </w:trPr>
        <w:tc>
          <w:tcPr>
            <w:tcW w:w="1276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Структура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каіталу,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gridSpan w:val="2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Вартість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капіталу,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%</w:t>
            </w:r>
          </w:p>
        </w:tc>
        <w:tc>
          <w:tcPr>
            <w:tcW w:w="2221" w:type="dxa"/>
            <w:gridSpan w:val="2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Структура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каіталу,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%</w:t>
            </w:r>
          </w:p>
        </w:tc>
        <w:tc>
          <w:tcPr>
            <w:tcW w:w="2109" w:type="dxa"/>
            <w:gridSpan w:val="2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Вартість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капіталу,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%</w:t>
            </w:r>
          </w:p>
        </w:tc>
      </w:tr>
      <w:tr w:rsidR="00880BC3" w:rsidRPr="00010A41" w:rsidTr="00010A41">
        <w:trPr>
          <w:trHeight w:val="184"/>
        </w:trPr>
        <w:tc>
          <w:tcPr>
            <w:tcW w:w="1276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Фактична</w:t>
            </w:r>
          </w:p>
        </w:tc>
        <w:tc>
          <w:tcPr>
            <w:tcW w:w="709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Цільова</w:t>
            </w:r>
          </w:p>
        </w:tc>
        <w:tc>
          <w:tcPr>
            <w:tcW w:w="1098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Поточна</w:t>
            </w:r>
          </w:p>
        </w:tc>
        <w:tc>
          <w:tcPr>
            <w:tcW w:w="886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Прогнозована</w:t>
            </w:r>
          </w:p>
        </w:tc>
        <w:tc>
          <w:tcPr>
            <w:tcW w:w="1035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Фактична</w:t>
            </w:r>
          </w:p>
        </w:tc>
        <w:tc>
          <w:tcPr>
            <w:tcW w:w="1186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Цільова</w:t>
            </w:r>
          </w:p>
        </w:tc>
        <w:tc>
          <w:tcPr>
            <w:tcW w:w="1098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Поточна</w:t>
            </w:r>
          </w:p>
        </w:tc>
        <w:tc>
          <w:tcPr>
            <w:tcW w:w="1011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Прогнозована</w:t>
            </w:r>
          </w:p>
        </w:tc>
      </w:tr>
      <w:tr w:rsidR="00880BC3" w:rsidRPr="00010A41" w:rsidTr="00010A41">
        <w:trPr>
          <w:trHeight w:val="708"/>
        </w:trPr>
        <w:tc>
          <w:tcPr>
            <w:tcW w:w="1276" w:type="dxa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Нерозподілений</w:t>
            </w:r>
            <w:r w:rsidR="00C9725A" w:rsidRPr="00010A41">
              <w:rPr>
                <w:sz w:val="20"/>
                <w:szCs w:val="20"/>
              </w:rPr>
              <w:t xml:space="preserve"> </w:t>
            </w:r>
            <w:r w:rsidRPr="00010A41">
              <w:rPr>
                <w:sz w:val="20"/>
                <w:szCs w:val="20"/>
              </w:rPr>
              <w:t>прибуток</w:t>
            </w:r>
          </w:p>
        </w:tc>
        <w:tc>
          <w:tcPr>
            <w:tcW w:w="851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80</w:t>
            </w:r>
          </w:p>
        </w:tc>
        <w:tc>
          <w:tcPr>
            <w:tcW w:w="1098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99,6</w:t>
            </w:r>
          </w:p>
        </w:tc>
        <w:tc>
          <w:tcPr>
            <w:tcW w:w="886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99,6</w:t>
            </w:r>
          </w:p>
        </w:tc>
        <w:tc>
          <w:tcPr>
            <w:tcW w:w="1035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89</w:t>
            </w:r>
          </w:p>
        </w:tc>
        <w:tc>
          <w:tcPr>
            <w:tcW w:w="1186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85</w:t>
            </w:r>
          </w:p>
        </w:tc>
        <w:tc>
          <w:tcPr>
            <w:tcW w:w="1098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75,08</w:t>
            </w:r>
          </w:p>
        </w:tc>
        <w:tc>
          <w:tcPr>
            <w:tcW w:w="1011" w:type="dxa"/>
            <w:vAlign w:val="center"/>
          </w:tcPr>
          <w:p w:rsidR="00880BC3" w:rsidRPr="00010A41" w:rsidRDefault="00880BC3" w:rsidP="00010A41">
            <w:pPr>
              <w:pStyle w:val="a3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010A41">
              <w:rPr>
                <w:sz w:val="20"/>
                <w:szCs w:val="20"/>
              </w:rPr>
              <w:t>75,08</w:t>
            </w:r>
          </w:p>
        </w:tc>
      </w:tr>
    </w:tbl>
    <w:p w:rsidR="00010A41" w:rsidRDefault="00010A41" w:rsidP="00C9725A">
      <w:pPr>
        <w:pStyle w:val="a3"/>
        <w:widowControl w:val="0"/>
        <w:spacing w:line="360" w:lineRule="auto"/>
        <w:jc w:val="both"/>
        <w:rPr>
          <w:sz w:val="28"/>
          <w:szCs w:val="28"/>
        </w:rPr>
      </w:pPr>
    </w:p>
    <w:p w:rsidR="00880BC3" w:rsidRPr="00C9725A" w:rsidRDefault="00880BC3" w:rsidP="00C9725A">
      <w:pPr>
        <w:pStyle w:val="a3"/>
        <w:widowControl w:val="0"/>
        <w:spacing w:line="360" w:lineRule="auto"/>
        <w:jc w:val="both"/>
        <w:rPr>
          <w:sz w:val="28"/>
          <w:szCs w:val="28"/>
        </w:rPr>
      </w:pPr>
      <w:r w:rsidRPr="00C9725A">
        <w:rPr>
          <w:sz w:val="28"/>
          <w:szCs w:val="28"/>
        </w:rPr>
        <w:t>Таблиця</w:t>
      </w:r>
      <w:r w:rsidR="00C9725A" w:rsidRPr="00C9725A">
        <w:rPr>
          <w:sz w:val="28"/>
          <w:szCs w:val="28"/>
        </w:rPr>
        <w:t xml:space="preserve"> </w:t>
      </w:r>
      <w:r w:rsidRPr="00C9725A">
        <w:rPr>
          <w:sz w:val="28"/>
          <w:szCs w:val="28"/>
        </w:rPr>
        <w:t>3.3</w:t>
      </w:r>
      <w:r w:rsidR="00010A41">
        <w:rPr>
          <w:sz w:val="28"/>
          <w:szCs w:val="28"/>
        </w:rPr>
        <w:t xml:space="preserve"> </w:t>
      </w:r>
      <w:r w:rsidRPr="00C9725A">
        <w:rPr>
          <w:sz w:val="28"/>
          <w:szCs w:val="28"/>
        </w:rPr>
        <w:t>Фактична</w:t>
      </w:r>
      <w:r w:rsidR="00C9725A" w:rsidRPr="00C9725A">
        <w:rPr>
          <w:sz w:val="28"/>
          <w:szCs w:val="28"/>
        </w:rPr>
        <w:t xml:space="preserve"> </w:t>
      </w:r>
      <w:r w:rsidRPr="00C9725A">
        <w:rPr>
          <w:sz w:val="28"/>
          <w:szCs w:val="28"/>
        </w:rPr>
        <w:t>та</w:t>
      </w:r>
      <w:r w:rsidR="00C9725A" w:rsidRPr="00C9725A">
        <w:rPr>
          <w:sz w:val="28"/>
          <w:szCs w:val="28"/>
        </w:rPr>
        <w:t xml:space="preserve"> </w:t>
      </w:r>
      <w:r w:rsidRPr="00C9725A">
        <w:rPr>
          <w:sz w:val="28"/>
          <w:szCs w:val="28"/>
        </w:rPr>
        <w:t>гранична</w:t>
      </w:r>
      <w:r w:rsidR="00C9725A" w:rsidRPr="00C9725A">
        <w:rPr>
          <w:sz w:val="28"/>
          <w:szCs w:val="28"/>
        </w:rPr>
        <w:t xml:space="preserve"> </w:t>
      </w:r>
      <w:r w:rsidRPr="00C9725A">
        <w:rPr>
          <w:sz w:val="28"/>
          <w:szCs w:val="28"/>
        </w:rPr>
        <w:t>середньозважена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753"/>
        <w:gridCol w:w="1982"/>
        <w:gridCol w:w="2130"/>
        <w:gridCol w:w="1209"/>
        <w:gridCol w:w="1216"/>
      </w:tblGrid>
      <w:tr w:rsidR="00880BC3" w:rsidRPr="00010A41" w:rsidTr="00010A41">
        <w:trPr>
          <w:trHeight w:val="70"/>
        </w:trPr>
        <w:tc>
          <w:tcPr>
            <w:tcW w:w="623" w:type="dxa"/>
            <w:vMerge w:val="restart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53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Середньозважена</w:t>
            </w:r>
          </w:p>
        </w:tc>
        <w:tc>
          <w:tcPr>
            <w:tcW w:w="4112" w:type="dxa"/>
            <w:gridSpan w:val="2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1209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216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</w:tr>
      <w:tr w:rsidR="00880BC3" w:rsidRPr="00010A41" w:rsidTr="00010A41">
        <w:trPr>
          <w:trHeight w:val="246"/>
        </w:trPr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2" w:type="dxa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130" w:type="dxa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80BC3" w:rsidRPr="00010A41" w:rsidTr="00010A41">
        <w:trPr>
          <w:trHeight w:val="70"/>
        </w:trPr>
        <w:tc>
          <w:tcPr>
            <w:tcW w:w="623" w:type="dxa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53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Фактична</w:t>
            </w:r>
          </w:p>
        </w:tc>
        <w:tc>
          <w:tcPr>
            <w:tcW w:w="1982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17*0,4+83*99,6</w:t>
            </w:r>
          </w:p>
        </w:tc>
        <w:tc>
          <w:tcPr>
            <w:tcW w:w="2130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11*24,92+89*75,08</w:t>
            </w:r>
          </w:p>
        </w:tc>
        <w:tc>
          <w:tcPr>
            <w:tcW w:w="120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8273,6</w:t>
            </w:r>
          </w:p>
        </w:tc>
        <w:tc>
          <w:tcPr>
            <w:tcW w:w="1216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6956,24</w:t>
            </w:r>
          </w:p>
        </w:tc>
      </w:tr>
      <w:tr w:rsidR="00880BC3" w:rsidRPr="00010A41" w:rsidTr="00010A41">
        <w:trPr>
          <w:trHeight w:val="70"/>
        </w:trPr>
        <w:tc>
          <w:tcPr>
            <w:tcW w:w="623" w:type="dxa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53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Гранична</w:t>
            </w:r>
          </w:p>
        </w:tc>
        <w:tc>
          <w:tcPr>
            <w:tcW w:w="1982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20*0,4+80*99,6</w:t>
            </w:r>
          </w:p>
        </w:tc>
        <w:tc>
          <w:tcPr>
            <w:tcW w:w="2130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15*24,92+85*75,08</w:t>
            </w:r>
          </w:p>
        </w:tc>
        <w:tc>
          <w:tcPr>
            <w:tcW w:w="120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7976</w:t>
            </w:r>
          </w:p>
        </w:tc>
        <w:tc>
          <w:tcPr>
            <w:tcW w:w="1216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6755,6</w:t>
            </w:r>
          </w:p>
        </w:tc>
      </w:tr>
    </w:tbl>
    <w:p w:rsidR="00010A41" w:rsidRDefault="00010A41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Як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Таблиці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2.8,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ефективнішою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гранична,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тобто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співвідношенням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довгострокових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нерозподіленого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20:80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15:85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Отже,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запропонувати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ресурси,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самим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залучивши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обороту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кількість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отримати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дозволити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довгострокових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4%.</w:t>
      </w: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Розрахуємо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різних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варіантах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(без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допомогою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даних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Таблиці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3.4:</w:t>
      </w:r>
    </w:p>
    <w:p w:rsidR="00010A41" w:rsidRDefault="00010A41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3.4</w:t>
      </w:r>
      <w:r w:rsidR="00010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(без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261"/>
        <w:gridCol w:w="1374"/>
        <w:gridCol w:w="1517"/>
        <w:gridCol w:w="1535"/>
        <w:gridCol w:w="1465"/>
        <w:gridCol w:w="1545"/>
      </w:tblGrid>
      <w:tr w:rsidR="00880BC3" w:rsidRPr="00010A41" w:rsidTr="00010A41">
        <w:tc>
          <w:tcPr>
            <w:tcW w:w="517" w:type="dxa"/>
            <w:vMerge w:val="restart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635" w:type="dxa"/>
            <w:gridSpan w:val="2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Варіанти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структури</w:t>
            </w:r>
          </w:p>
        </w:tc>
        <w:tc>
          <w:tcPr>
            <w:tcW w:w="1517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Середня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ставка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урахуванням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премії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ризик</w:t>
            </w:r>
          </w:p>
        </w:tc>
        <w:tc>
          <w:tcPr>
            <w:tcW w:w="1535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Економічна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рентабельність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</w:p>
        </w:tc>
        <w:tc>
          <w:tcPr>
            <w:tcW w:w="1465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Ефект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фінансового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важеля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(ЕФЛ)</w:t>
            </w:r>
          </w:p>
        </w:tc>
        <w:tc>
          <w:tcPr>
            <w:tcW w:w="1545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Рентабельність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власного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</w:p>
        </w:tc>
      </w:tr>
      <w:tr w:rsidR="00880BC3" w:rsidRPr="00010A41" w:rsidTr="00010A41">
        <w:trPr>
          <w:trHeight w:val="1035"/>
        </w:trPr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1" w:type="dxa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Частка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власного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</w:p>
        </w:tc>
        <w:tc>
          <w:tcPr>
            <w:tcW w:w="1374" w:type="dxa"/>
            <w:vAlign w:val="center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Частка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позикового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</w:p>
        </w:tc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45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80BC3" w:rsidRPr="00010A41" w:rsidTr="00010A41">
        <w:tc>
          <w:tcPr>
            <w:tcW w:w="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61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74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3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14,6</w:t>
            </w:r>
          </w:p>
        </w:tc>
        <w:tc>
          <w:tcPr>
            <w:tcW w:w="146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4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14,6</w:t>
            </w:r>
          </w:p>
        </w:tc>
      </w:tr>
      <w:tr w:rsidR="00880BC3" w:rsidRPr="00010A41" w:rsidTr="00010A41">
        <w:tc>
          <w:tcPr>
            <w:tcW w:w="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1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374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53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14,6</w:t>
            </w:r>
          </w:p>
        </w:tc>
        <w:tc>
          <w:tcPr>
            <w:tcW w:w="146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54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15,1</w:t>
            </w:r>
          </w:p>
        </w:tc>
      </w:tr>
      <w:tr w:rsidR="00880BC3" w:rsidRPr="00010A41" w:rsidTr="00010A41">
        <w:tc>
          <w:tcPr>
            <w:tcW w:w="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61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374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53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14,6</w:t>
            </w:r>
          </w:p>
        </w:tc>
        <w:tc>
          <w:tcPr>
            <w:tcW w:w="146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154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14,9</w:t>
            </w:r>
          </w:p>
        </w:tc>
      </w:tr>
      <w:tr w:rsidR="00880BC3" w:rsidRPr="00010A41" w:rsidTr="00010A41">
        <w:tc>
          <w:tcPr>
            <w:tcW w:w="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61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374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53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14,6</w:t>
            </w:r>
          </w:p>
        </w:tc>
        <w:tc>
          <w:tcPr>
            <w:tcW w:w="146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-0,3</w:t>
            </w:r>
          </w:p>
        </w:tc>
        <w:tc>
          <w:tcPr>
            <w:tcW w:w="154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14,3</w:t>
            </w:r>
          </w:p>
        </w:tc>
      </w:tr>
      <w:tr w:rsidR="00880BC3" w:rsidRPr="00010A41" w:rsidTr="00010A41">
        <w:tc>
          <w:tcPr>
            <w:tcW w:w="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61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374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517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53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14,6</w:t>
            </w:r>
          </w:p>
        </w:tc>
        <w:tc>
          <w:tcPr>
            <w:tcW w:w="146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-2,7</w:t>
            </w:r>
          </w:p>
        </w:tc>
        <w:tc>
          <w:tcPr>
            <w:tcW w:w="1545" w:type="dxa"/>
          </w:tcPr>
          <w:p w:rsidR="00880BC3" w:rsidRPr="00010A41" w:rsidRDefault="00880BC3" w:rsidP="00010A41">
            <w:pPr>
              <w:widowControl w:val="0"/>
              <w:tabs>
                <w:tab w:val="left" w:pos="9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11,9</w:t>
            </w:r>
          </w:p>
        </w:tc>
      </w:tr>
    </w:tbl>
    <w:p w:rsidR="00010A41" w:rsidRDefault="00010A41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Отже,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найефективнішою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являється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80%,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розглянутому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випадку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позитивне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значення,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первищить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економічної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тобто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14,6%.</w:t>
      </w: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Отже,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даному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випадку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слід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орієнтуватися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середню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ставку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відсотка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позиці,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повинна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перевищувати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дозволити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загальну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40%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капіталу.</w:t>
      </w: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Розглянемо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схему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різній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3.5):</w:t>
      </w:r>
    </w:p>
    <w:p w:rsidR="00010A41" w:rsidRDefault="00010A41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Таблиця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3.5</w:t>
      </w:r>
      <w:r w:rsidR="00010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оподаткування)</w:t>
      </w:r>
    </w:p>
    <w:tbl>
      <w:tblPr>
        <w:tblW w:w="873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49"/>
        <w:gridCol w:w="4286"/>
        <w:gridCol w:w="1248"/>
        <w:gridCol w:w="1404"/>
        <w:gridCol w:w="1248"/>
      </w:tblGrid>
      <w:tr w:rsidR="00880BC3" w:rsidRPr="00010A41" w:rsidTr="00010A41">
        <w:trPr>
          <w:trHeight w:val="499"/>
        </w:trPr>
        <w:tc>
          <w:tcPr>
            <w:tcW w:w="549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286" w:type="dxa"/>
            <w:vMerge w:val="restart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3900" w:type="dxa"/>
            <w:gridSpan w:val="3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Варіанти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структури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частці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позикового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</w:p>
        </w:tc>
      </w:tr>
      <w:tr w:rsidR="00880BC3" w:rsidRPr="00010A41" w:rsidTr="00010A41">
        <w:trPr>
          <w:trHeight w:val="303"/>
        </w:trPr>
        <w:tc>
          <w:tcPr>
            <w:tcW w:w="0" w:type="auto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86" w:type="dxa"/>
            <w:vMerge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0%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25%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50%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86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Власний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45119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33839,25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22559,5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Позиковий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11279,75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22559,5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Всього</w:t>
            </w:r>
            <w:r w:rsidR="00C9725A"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капіталу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45119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45119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45119</w:t>
            </w:r>
          </w:p>
        </w:tc>
      </w:tr>
      <w:tr w:rsidR="00880BC3" w:rsidRPr="00010A41" w:rsidTr="00010A41">
        <w:trPr>
          <w:trHeight w:val="320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позикового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відсотках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Річні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4399,10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3383,93</w:t>
            </w:r>
          </w:p>
        </w:tc>
      </w:tr>
      <w:tr w:rsidR="00880BC3" w:rsidRPr="00010A41" w:rsidTr="00010A41">
        <w:trPr>
          <w:trHeight w:val="246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операційної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7912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7912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7912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оподаткування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7912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3512,90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4528,08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прибутку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878,22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1132,02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5934,00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2634,67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3396,06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Рентабельність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власного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капіталу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0,13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0,15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Сила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фінансового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важеля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1,75</w:t>
            </w:r>
          </w:p>
        </w:tc>
      </w:tr>
      <w:tr w:rsidR="00880BC3" w:rsidRPr="00010A41" w:rsidTr="00010A41">
        <w:trPr>
          <w:trHeight w:val="303"/>
        </w:trPr>
        <w:tc>
          <w:tcPr>
            <w:tcW w:w="549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86" w:type="dxa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Ефект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фінансового</w:t>
            </w:r>
            <w:r w:rsidR="00C9725A" w:rsidRPr="00010A4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левериджу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1248" w:type="dxa"/>
            <w:vAlign w:val="center"/>
          </w:tcPr>
          <w:p w:rsidR="00880BC3" w:rsidRPr="00010A41" w:rsidRDefault="00880BC3" w:rsidP="00010A4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0A41">
              <w:rPr>
                <w:rFonts w:ascii="Times New Roman" w:hAnsi="Times New Roman"/>
                <w:sz w:val="20"/>
                <w:szCs w:val="20"/>
                <w:lang w:val="uk-UA"/>
              </w:rPr>
              <w:t>-0,30</w:t>
            </w:r>
          </w:p>
        </w:tc>
      </w:tr>
    </w:tbl>
    <w:p w:rsidR="00010A41" w:rsidRDefault="00010A41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25%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75%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власного.</w:t>
      </w: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Як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показав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аналіз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структури</w:t>
      </w:r>
      <w:r w:rsidR="00C9725A" w:rsidRPr="00C9725A">
        <w:rPr>
          <w:sz w:val="28"/>
          <w:szCs w:val="28"/>
          <w:lang w:val="uk-UA"/>
        </w:rPr>
        <w:t xml:space="preserve"> </w:t>
      </w:r>
      <w:r w:rsidR="00B65A67" w:rsidRPr="00C9725A">
        <w:rPr>
          <w:sz w:val="28"/>
          <w:szCs w:val="28"/>
          <w:lang w:val="uk-UA"/>
        </w:rPr>
        <w:t>власного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="00D510FC" w:rsidRPr="00C9725A">
        <w:rPr>
          <w:sz w:val="28"/>
          <w:szCs w:val="28"/>
          <w:lang w:val="uk-UA"/>
        </w:rPr>
        <w:t>ТОВ</w:t>
      </w:r>
      <w:r w:rsidR="00C9725A" w:rsidRPr="00C9725A">
        <w:rPr>
          <w:sz w:val="28"/>
          <w:szCs w:val="28"/>
          <w:lang w:val="uk-UA"/>
        </w:rPr>
        <w:t xml:space="preserve"> </w:t>
      </w:r>
      <w:r w:rsidR="00D510FC" w:rsidRPr="00C9725A">
        <w:rPr>
          <w:sz w:val="28"/>
          <w:szCs w:val="28"/>
          <w:lang w:val="uk-UA"/>
        </w:rPr>
        <w:t>Агрофірми</w:t>
      </w:r>
      <w:r w:rsidR="00C9725A" w:rsidRPr="00C9725A">
        <w:rPr>
          <w:sz w:val="28"/>
          <w:szCs w:val="28"/>
          <w:lang w:val="uk-UA"/>
        </w:rPr>
        <w:t xml:space="preserve"> </w:t>
      </w:r>
      <w:r w:rsidR="00D510FC" w:rsidRPr="00C9725A">
        <w:rPr>
          <w:sz w:val="28"/>
          <w:szCs w:val="28"/>
          <w:lang w:val="uk-UA"/>
        </w:rPr>
        <w:t>«Імпульс»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період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2006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2008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рік,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обсяг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позичкового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що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використовувався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цей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період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не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перевищував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16%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від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загального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обсягу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капіталу.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Згідно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показником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фінансового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левериджу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використання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певної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частки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позичкових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коштів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дозволяло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підвисити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рентабельність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підприємства.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Отже,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можна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запропонувати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слідуючі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варіанти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для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поліпшення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якості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управління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структурою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="00D510FC" w:rsidRPr="00C9725A">
        <w:rPr>
          <w:sz w:val="28"/>
          <w:szCs w:val="28"/>
          <w:lang w:val="uk-UA"/>
        </w:rPr>
        <w:t>ТОВ</w:t>
      </w:r>
      <w:r w:rsidR="00C9725A" w:rsidRPr="00C9725A">
        <w:rPr>
          <w:sz w:val="28"/>
          <w:szCs w:val="28"/>
          <w:lang w:val="uk-UA"/>
        </w:rPr>
        <w:t xml:space="preserve"> </w:t>
      </w:r>
      <w:r w:rsidR="00D510FC" w:rsidRPr="00C9725A">
        <w:rPr>
          <w:sz w:val="28"/>
          <w:szCs w:val="28"/>
          <w:lang w:val="uk-UA"/>
        </w:rPr>
        <w:t>Агрофірми</w:t>
      </w:r>
      <w:r w:rsidR="00C9725A" w:rsidRPr="00C9725A">
        <w:rPr>
          <w:sz w:val="28"/>
          <w:szCs w:val="28"/>
          <w:lang w:val="uk-UA"/>
        </w:rPr>
        <w:t xml:space="preserve"> </w:t>
      </w:r>
      <w:r w:rsidR="00D510FC" w:rsidRPr="00C9725A">
        <w:rPr>
          <w:sz w:val="28"/>
          <w:szCs w:val="28"/>
          <w:lang w:val="uk-UA"/>
        </w:rPr>
        <w:t>«Імпульс»</w:t>
      </w:r>
      <w:r w:rsidRPr="00C9725A">
        <w:rPr>
          <w:sz w:val="28"/>
          <w:szCs w:val="28"/>
          <w:lang w:val="uk-UA"/>
        </w:rPr>
        <w:t>:</w:t>
      </w:r>
    </w:p>
    <w:p w:rsidR="00880BC3" w:rsidRPr="00C9725A" w:rsidRDefault="00880BC3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1.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Мінімізувати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середньозважену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вартість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капіталу.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При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аналізі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розрахували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середньозважену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вартість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при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якій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ефективність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управління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підвищиться,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це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для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2007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року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15:80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(позиковий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капітал:власний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капітал),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для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2008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року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20:80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(позиковий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капітал:власний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капітал).</w:t>
      </w:r>
    </w:p>
    <w:p w:rsidR="00880BC3" w:rsidRPr="00C9725A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2.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Підвищити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скориставшись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левериджу.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розглянутому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випадку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позитивне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значення,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первищить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економічної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тобто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14,6%.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дозволити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внести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загальну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40%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капіталу.</w:t>
      </w:r>
    </w:p>
    <w:p w:rsidR="00880BC3" w:rsidRDefault="00880BC3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3.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Скористатися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спонтанним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один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економічних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методів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дебіторською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заборгованістю,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допомогою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розширювати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обсяги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продажів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контролювати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дебіторської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заборгованості.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Спонтанне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передбачає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встановлення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знижок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покупцям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скорочення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термінів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розрахунків,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стимулює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покупців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здійснювати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розрахунки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строк,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чином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знижувати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дебіторську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заборгованість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підвищувати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стабільність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підприємства.</w:t>
      </w:r>
    </w:p>
    <w:p w:rsidR="005518CE" w:rsidRPr="005518CE" w:rsidRDefault="005518CE" w:rsidP="005518C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5518CE">
        <w:rPr>
          <w:rFonts w:ascii="Times New Roman" w:hAnsi="Times New Roman"/>
          <w:color w:val="FFFFFF"/>
          <w:sz w:val="28"/>
          <w:szCs w:val="28"/>
          <w:lang w:val="uk-UA"/>
        </w:rPr>
        <w:t>капітал товариство обмежений відповідальність</w:t>
      </w:r>
    </w:p>
    <w:p w:rsidR="006520EB" w:rsidRPr="00C9725A" w:rsidRDefault="00B65A67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</w:r>
      <w:r w:rsidR="006520EB" w:rsidRPr="00C9725A">
        <w:rPr>
          <w:rFonts w:ascii="Times New Roman" w:hAnsi="Times New Roman"/>
          <w:sz w:val="28"/>
          <w:szCs w:val="28"/>
          <w:lang w:val="uk-UA"/>
        </w:rPr>
        <w:t>ВИСНОВКИ</w:t>
      </w:r>
    </w:p>
    <w:p w:rsidR="00010A41" w:rsidRDefault="00010A41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Товариство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документами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установчий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договір.</w:t>
      </w:r>
    </w:p>
    <w:p w:rsidR="00CE54E2" w:rsidRPr="00C9725A" w:rsidRDefault="00CE54E2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Особливістю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наявність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(статутного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фонду),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розмір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повинен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суми,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еквівалентної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заробітним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платам,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ставки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мінімальної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заробітної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плати,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створення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обмеженою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відповідальністю.</w:t>
      </w:r>
    </w:p>
    <w:p w:rsidR="006520EB" w:rsidRPr="00C9725A" w:rsidRDefault="006520EB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Утворення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власного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капіталу</w:t>
      </w:r>
      <w:r w:rsidRPr="00C9725A">
        <w:rPr>
          <w:sz w:val="28"/>
          <w:szCs w:val="28"/>
          <w:lang w:val="uk-UA"/>
        </w:rPr>
        <w:t>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відбувається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рахунок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зовнішніх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внутрішніх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власних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коштів.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6520EB" w:rsidRPr="00C9725A" w:rsidRDefault="006520EB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bCs/>
          <w:sz w:val="28"/>
          <w:szCs w:val="28"/>
          <w:lang w:val="uk-UA"/>
        </w:rPr>
        <w:t>Управління</w:t>
      </w:r>
      <w:r w:rsidR="00C9725A" w:rsidRPr="00C9725A">
        <w:rPr>
          <w:bCs/>
          <w:sz w:val="28"/>
          <w:szCs w:val="28"/>
          <w:lang w:val="uk-UA"/>
        </w:rPr>
        <w:t xml:space="preserve"> </w:t>
      </w:r>
      <w:r w:rsidRPr="00C9725A">
        <w:rPr>
          <w:bCs/>
          <w:sz w:val="28"/>
          <w:szCs w:val="28"/>
          <w:lang w:val="uk-UA"/>
        </w:rPr>
        <w:t>капіталом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–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це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управління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структурою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вартістю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джерел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фінансування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(пасивів)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метою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підвищення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рентабельності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власного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здатності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платити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дохід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кредиторам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співвласникам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(акціонерам)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підприємства.</w:t>
      </w:r>
    </w:p>
    <w:p w:rsidR="006520EB" w:rsidRPr="00C9725A" w:rsidRDefault="006520EB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розглядалося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прикладі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«Імпульс».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Загалом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техніко-економічний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являється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стабільним,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діяльність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ефективною.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розглянутий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період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нестабільною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вона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знизилася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2009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9,46%,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хоч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становив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109,59%,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тобто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здатність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приносити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фактором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нестабільним.</w:t>
      </w:r>
    </w:p>
    <w:p w:rsidR="006520EB" w:rsidRPr="00C9725A" w:rsidRDefault="006520EB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стійкий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стан,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оскільки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високі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коефіцієнтів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стійкості,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стабільності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незалежності,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але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негативним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коефіцієнти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знизилися,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порівнянні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роком.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Негативним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коефіцієнту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залежності,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але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оскільки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цього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знаходиться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нижче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нормативного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значення,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«Імпульс»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являється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дуже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поганим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фактором.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Динаміка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ділової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заслуговує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негативної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оцінки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всі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коефіцієнти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знижуються,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негативним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моментом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свідчить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погіршення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(загального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власного),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готової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продукції,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матеріальних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оборотних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коштів,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дебіторської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кредиторської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заборгованостей.</w:t>
      </w:r>
    </w:p>
    <w:p w:rsidR="006520EB" w:rsidRPr="00C9725A" w:rsidRDefault="006520EB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ТОВ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Агрофірма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«Імпульс»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аналізований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період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підтримувало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баланс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слід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зазначити,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користується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переважно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капіталом,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найбільшою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була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0,17,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що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0,06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0,01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більше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ніж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2006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свідчить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стабільність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його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низьку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залежність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від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зовнішніх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джерел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фінансування.</w:t>
      </w:r>
    </w:p>
    <w:p w:rsidR="006520EB" w:rsidRPr="00C9725A" w:rsidRDefault="006520EB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Управління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структурою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розглядали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допомогою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двох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показників: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середньозваженої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вартості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допомогою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вивчення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впливу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показника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фінансового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левериджу.</w:t>
      </w:r>
    </w:p>
    <w:p w:rsidR="006520EB" w:rsidRPr="00C9725A" w:rsidRDefault="006520EB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Після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розрахунку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середньозваженої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вартості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запропонувати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ресурси,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3%,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може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дозволити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збільшити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довгострокових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кредитів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Таким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чином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(відношення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позикового)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складати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80:20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85:15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році.</w:t>
      </w:r>
    </w:p>
    <w:p w:rsidR="006520EB" w:rsidRPr="00C9725A" w:rsidRDefault="006520EB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Після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вивчення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левериджу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зробили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висновки: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20EB" w:rsidRPr="00C9725A" w:rsidRDefault="006520EB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1.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визначенні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(без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оподаткування).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Найефективнішою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являється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частка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80%,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20%.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розглянутому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випадку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буде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мати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позитивне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значення,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первищить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рівень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економічної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активів,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тобто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14,6%.</w:t>
      </w:r>
    </w:p>
    <w:p w:rsidR="006520EB" w:rsidRPr="00C9725A" w:rsidRDefault="006520EB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2.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важеля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(з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врахуванням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оподаткування).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врахуванні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оподаткування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ефективною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є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структура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25%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75%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власного.</w:t>
      </w:r>
    </w:p>
    <w:p w:rsidR="006520EB" w:rsidRPr="00C9725A" w:rsidRDefault="006520EB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Враховуючи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все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вищевказане,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можемо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запропонувати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слідуючі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варіанти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для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поліпшення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якості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управління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структурою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ТОВ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Агрофірми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«Імпульс»:</w:t>
      </w:r>
    </w:p>
    <w:p w:rsidR="006520EB" w:rsidRPr="00C9725A" w:rsidRDefault="006520EB" w:rsidP="00C9725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9725A">
        <w:rPr>
          <w:sz w:val="28"/>
          <w:szCs w:val="28"/>
          <w:lang w:val="uk-UA"/>
        </w:rPr>
        <w:t>1.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Мінімізувати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середньозважену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вартість</w:t>
      </w:r>
      <w:r w:rsidR="00C9725A" w:rsidRPr="00C9725A">
        <w:rPr>
          <w:sz w:val="28"/>
          <w:szCs w:val="28"/>
          <w:lang w:val="uk-UA"/>
        </w:rPr>
        <w:t xml:space="preserve"> </w:t>
      </w:r>
      <w:r w:rsidRPr="00C9725A">
        <w:rPr>
          <w:sz w:val="28"/>
          <w:szCs w:val="28"/>
          <w:lang w:val="uk-UA"/>
        </w:rPr>
        <w:t>капіталу.</w:t>
      </w:r>
      <w:r w:rsidR="00C9725A" w:rsidRPr="00C9725A">
        <w:rPr>
          <w:sz w:val="28"/>
          <w:szCs w:val="28"/>
          <w:lang w:val="uk-UA"/>
        </w:rPr>
        <w:t xml:space="preserve"> </w:t>
      </w:r>
    </w:p>
    <w:p w:rsidR="006520EB" w:rsidRPr="00C9725A" w:rsidRDefault="006520EB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2.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Підвищити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рентабельність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позикового,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скориставшись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ефектом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левириджу.</w:t>
      </w:r>
    </w:p>
    <w:p w:rsidR="006520EB" w:rsidRPr="00C9725A" w:rsidRDefault="006520EB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3.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Скористатися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спонтанним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фінансуванням.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20EB" w:rsidRDefault="006520EB" w:rsidP="00C9725A">
      <w:pPr>
        <w:widowControl w:val="0"/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4.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Скористатися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лізингом.</w:t>
      </w:r>
    </w:p>
    <w:p w:rsidR="00010A41" w:rsidRPr="00C9725A" w:rsidRDefault="00010A41" w:rsidP="00C9725A">
      <w:pPr>
        <w:widowControl w:val="0"/>
        <w:tabs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</w:r>
    </w:p>
    <w:p w:rsidR="00CE54E2" w:rsidRPr="00C9725A" w:rsidRDefault="00CE54E2" w:rsidP="00C9725A">
      <w:pPr>
        <w:widowControl w:val="0"/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СПИСОК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ВИКОРИСТАНОЇ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ЛІТЕРАТУРИ</w:t>
      </w:r>
    </w:p>
    <w:p w:rsidR="00CE54E2" w:rsidRPr="00C9725A" w:rsidRDefault="00CE54E2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010A41">
      <w:pPr>
        <w:pStyle w:val="HTML"/>
        <w:widowControl w:val="0"/>
        <w:numPr>
          <w:ilvl w:val="0"/>
          <w:numId w:val="39"/>
        </w:numPr>
        <w:tabs>
          <w:tab w:val="clear" w:pos="720"/>
          <w:tab w:val="clear" w:pos="916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9725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Закон</w:t>
      </w:r>
      <w:r w:rsidR="00C9725A" w:rsidRPr="00C9725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України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акціонерні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товариства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Відомості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Верховної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Ради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України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(ВВР),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2008,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N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50-51,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ст.384</w:t>
      </w:r>
      <w:r w:rsidR="00C9725A"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  <w:r w:rsidR="00C9725A" w:rsidRPr="00C9725A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Баканов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И.,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Шеремет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Теория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экономического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анализа: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Учебник.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4-е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изд.;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доп.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перераб.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М.: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Финансы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статистика.2002.-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416с.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108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Батурин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В.М.,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Керимов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В.Э.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Финансовый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леверидж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эффективный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инструмент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управления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финансовой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деятельностью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предприятия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Менеджмент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России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рубежом.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2000.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№2.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Бланк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И.А.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Управление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формированием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капитала.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К.: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"Ника-Центр",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2000.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512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Бланк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И.А.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Финансовый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менеджмент: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Учебный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курс.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К.: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Ника-Центр,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Эльга,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2001.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528с.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Воробйов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Ю.М.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//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Воробйов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Ю.М.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Формування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власного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капіталу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//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6,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Воробьев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С.Ю.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Стратегия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финансирования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деятельности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предприятия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показателей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риска.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Научные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труды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IV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Международной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научно-практической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конференции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"Фундаментальные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прикладные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проблемы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приборостроения,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информатики,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экономики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права".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Секция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"Экономика",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ч.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/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МГАПИ.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Москва,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2001.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С.10.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Дем’яненко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Говорушко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менеджмент: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Курс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лекцій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ден.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Та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заочної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форм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навчання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К.: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НУХТ,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2009.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195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с.</w:t>
      </w:r>
    </w:p>
    <w:p w:rsidR="00CE54E2" w:rsidRPr="00C9725A" w:rsidRDefault="00CE54E2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Дж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Ван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Горн.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Основы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управления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финансами.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М.: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Финансы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статистика,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1996.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-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800с.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Економіка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підприємства: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Підручник/За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заг.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ред.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С.Ф.Покропивного.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Вид-2-ге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,-К.:КНЕУ,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2001.-528с.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Економика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предприятия: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Учебник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под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ред.проф.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Н.А.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Сафронова.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BBB">
        <w:rPr>
          <w:rFonts w:ascii="Times New Roman" w:hAnsi="Times New Roman"/>
          <w:sz w:val="28"/>
          <w:szCs w:val="28"/>
          <w:lang w:val="uk-UA"/>
        </w:rPr>
        <w:t>Юристь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2000.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584с.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Дихал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Бухгалтерский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учёт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уставного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капитала.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//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Баланс.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2000.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№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50.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Ковалёв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В.В.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Введение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менеджмент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/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Пер.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англ.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Информационно-издательский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дом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"Филинь",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1996.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400с.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Ковалев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В.В.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Финансовый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анализ: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Управление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капиталом.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Выбор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инвестиций.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Анализ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отчетности.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Финансы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статистика,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1997.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Коваленко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фінансовий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менеджмент.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–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Ника-Центр,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Эльга,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2001.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120с.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Кондраков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Н.П.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Бухгалтерский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учет.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"Финанси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статистика",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1997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Л.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Кузьменко,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В.В.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Кузьмін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«Фінансовий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менеджмент»,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Херсон: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2003,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185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с.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Лысенко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Ю.Г.,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Макаров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К.Г.,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Петренко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В.Л.,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Филипов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А.В.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Леверидж.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Экономические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приложения.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ДонГУ,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Юго-Восток,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1999.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104с.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Мельник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Основи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економічного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аналізу: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Короткий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теоретично-методичний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курс: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Навч.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посіб.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–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„Кондор”,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2003.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–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128с.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Мойсеєнко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І.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Інвестування: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Навч.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Посібник.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–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Ника-Центр,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2003.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228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с.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Негашев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Е.В.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Анализ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предприятия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условиях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ринка: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Учеб.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пособие.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Висш.шк.,1997.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192с.:ил.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П(С)БУ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№2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от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21.06.99г.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№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396/3689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"Баланс"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Парамонов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А.В.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Учет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анализ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предпринимательского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капитала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(источник: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="00CE54E2" w:rsidRPr="00C9725A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www.OPTIM.RU</w:t>
        </w:r>
      </w:hyperlink>
      <w:r w:rsidR="00CE54E2" w:rsidRPr="00C9725A">
        <w:rPr>
          <w:rFonts w:ascii="Times New Roman" w:hAnsi="Times New Roman"/>
          <w:sz w:val="28"/>
          <w:szCs w:val="28"/>
          <w:lang w:val="uk-UA"/>
        </w:rPr>
        <w:t>.)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Степанов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Эффект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финансового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левериджа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специфика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его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расчета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российских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условиях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(источник: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www.GAAP.RU.)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Стоянова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Е.С.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Финансовый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менеджмент.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Российская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практика.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изд.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"Перспектива",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1995.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1F7F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Т.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В.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Теплова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Финансовые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решения: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стратегия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тактика: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Учебное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пособие.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ИЧП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"Издательство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Магистр",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1998.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-284с.</w:t>
      </w:r>
    </w:p>
    <w:p w:rsidR="009F1F7F" w:rsidRPr="00C9725A" w:rsidRDefault="009F1F7F" w:rsidP="00010A41">
      <w:pPr>
        <w:widowControl w:val="0"/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Фінанси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підприємств: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Навчальний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посібник: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Курс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лекцій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/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ред.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Г.Г.Кірейцева.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–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Київ: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ЦУЛ,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2002.</w:t>
      </w:r>
    </w:p>
    <w:p w:rsidR="00CE54E2" w:rsidRPr="00C9725A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Финансовый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менеджмент: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теория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практика: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Учебник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/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Под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редакцией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Е.С.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Стояновой.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4-е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изд.,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перераб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доп.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Изд-во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"Перспектива",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1999.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656с.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54E2" w:rsidRDefault="00C9725A" w:rsidP="00010A41">
      <w:pPr>
        <w:widowControl w:val="0"/>
        <w:numPr>
          <w:ilvl w:val="0"/>
          <w:numId w:val="39"/>
        </w:numPr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Шим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Джей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К.,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Сигел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Джоэл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Г.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Финансовый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менеджмент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Пер.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с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англ.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М.: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Информационно-издательский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дом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"Филинь",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1996.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-</w:t>
      </w:r>
      <w:r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4E2" w:rsidRPr="00C9725A">
        <w:rPr>
          <w:rFonts w:ascii="Times New Roman" w:hAnsi="Times New Roman"/>
          <w:sz w:val="28"/>
          <w:szCs w:val="28"/>
          <w:lang w:val="uk-UA"/>
        </w:rPr>
        <w:t>400с.</w:t>
      </w:r>
    </w:p>
    <w:p w:rsidR="003C1BBB" w:rsidRPr="00C9725A" w:rsidRDefault="003C1BBB" w:rsidP="003C1BBB">
      <w:pPr>
        <w:widowControl w:val="0"/>
        <w:tabs>
          <w:tab w:val="left" w:pos="567"/>
          <w:tab w:val="left" w:pos="960"/>
          <w:tab w:val="left" w:pos="1200"/>
          <w:tab w:val="left" w:pos="16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0EB" w:rsidRPr="00C9725A" w:rsidRDefault="00CE54E2" w:rsidP="00C9725A">
      <w:pPr>
        <w:widowControl w:val="0"/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</w:r>
    </w:p>
    <w:p w:rsidR="005637E8" w:rsidRPr="00C9725A" w:rsidRDefault="00CE54E2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ДОДАТКИ</w:t>
      </w:r>
    </w:p>
    <w:p w:rsidR="003C1BBB" w:rsidRDefault="003C1BBB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Додаток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</w:t>
      </w:r>
    </w:p>
    <w:p w:rsidR="003C1BBB" w:rsidRDefault="003C1BBB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Баланс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р.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Форма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№1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Код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ДКУД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1801001</w:t>
      </w:r>
    </w:p>
    <w:tbl>
      <w:tblPr>
        <w:tblW w:w="91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1374"/>
        <w:gridCol w:w="1450"/>
        <w:gridCol w:w="1500"/>
      </w:tblGrid>
      <w:tr w:rsidR="00CE54E2" w:rsidRPr="003C1BBB" w:rsidTr="003C1BBB">
        <w:trPr>
          <w:trHeight w:val="113"/>
        </w:trPr>
        <w:tc>
          <w:tcPr>
            <w:tcW w:w="4786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початок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кінець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Необоротні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Нематеріальні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залишкова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011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накопичена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012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Незавершене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020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199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Основні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засоби: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залишкова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030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8054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13648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031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11921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21128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032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3867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7480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біологічні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справедлива(залишкова)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035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036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накопичена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037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інвестиції: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обліковуються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методом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інших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інвестиції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045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1256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831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050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24248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Відстрочені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податкові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060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необоротні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070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9509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38727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ІІ.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Оборотні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Виробничі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1282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1761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біологічні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Незавершене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виробництво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1966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2761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Готова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продукція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2200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5110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Товари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Векселі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одержані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товари,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роботи,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послуги: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чиста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реалізаційна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3267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5381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3267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5381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резерв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сумнівних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боргів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розрахунками: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бюджетом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виданими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авансами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нарахованих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доходів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внутрішніх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19166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CE54E2" w:rsidRPr="003C1BBB" w:rsidTr="003C1BBB">
        <w:trPr>
          <w:trHeight w:val="1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поточна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інвестиції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Грошові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кошти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їх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еквіваленти: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  <w:tcBorders>
              <w:bottom w:val="single" w:sz="4" w:space="0" w:color="auto"/>
            </w:tcBorders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національній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валюті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іноземній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валюті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  <w:tcBorders>
              <w:top w:val="single" w:sz="4" w:space="0" w:color="auto"/>
            </w:tcBorders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оборотні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260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28079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15418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  <w:tcBorders>
              <w:bottom w:val="single" w:sz="4" w:space="0" w:color="auto"/>
            </w:tcBorders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ІІІ.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майбутніх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періодів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  <w:tcBorders>
              <w:bottom w:val="single" w:sz="4" w:space="0" w:color="auto"/>
            </w:tcBorders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280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37588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54145</w:t>
            </w:r>
          </w:p>
        </w:tc>
      </w:tr>
      <w:tr w:rsidR="00CE54E2" w:rsidRPr="003C1BBB" w:rsidTr="003C1BBB">
        <w:trPr>
          <w:trHeight w:val="650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початок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кінець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Власний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Статутний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Пайовий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Додатковий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вкладений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320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додатковий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330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23918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38334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Резервний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340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25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Нерозподілений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прибуток(непокритий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збиток)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6785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Неоплачений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360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Вилучений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370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380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33634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45119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ІІ.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таких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виплат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платежів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витрат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персоналу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Цільове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фінансування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420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430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ІІІ.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кредити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банків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440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2248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450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Відстрочені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податкові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460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470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2252</w:t>
            </w:r>
          </w:p>
        </w:tc>
      </w:tr>
      <w:tr w:rsidR="00CE54E2" w:rsidRPr="003C1BBB" w:rsidTr="003C1BBB">
        <w:trPr>
          <w:trHeight w:val="225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ІV.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Короткострокові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кредити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банків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2980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5206</w:t>
            </w:r>
          </w:p>
        </w:tc>
      </w:tr>
      <w:tr w:rsidR="00CE54E2" w:rsidRPr="003C1BBB" w:rsidTr="003C1BBB">
        <w:trPr>
          <w:trHeight w:val="70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Поточна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довгостроковими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зобов’язаннями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Векселі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видані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5210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70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Кредиторська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товари,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роботи,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530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507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1457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розрахунками: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одержаних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авансів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540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бюджетом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550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427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позабюджетних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платежів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560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зі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страхування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570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оплати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580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учасниками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590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25"/>
        </w:trPr>
        <w:tc>
          <w:tcPr>
            <w:tcW w:w="4786" w:type="dxa"/>
          </w:tcPr>
          <w:p w:rsidR="00CE54E2" w:rsidRPr="003C1BBB" w:rsidRDefault="00C9725A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із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внутрішніх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610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ІV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620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3950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6774</w:t>
            </w:r>
          </w:p>
        </w:tc>
      </w:tr>
      <w:tr w:rsidR="00CE54E2" w:rsidRPr="003C1BBB" w:rsidTr="003C1BBB">
        <w:trPr>
          <w:trHeight w:val="213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V.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майбутніх</w:t>
            </w:r>
            <w:r w:rsidR="00C9725A" w:rsidRPr="003C1B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періодів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630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3C1BBB" w:rsidTr="003C1BBB">
        <w:trPr>
          <w:trHeight w:val="237"/>
        </w:trPr>
        <w:tc>
          <w:tcPr>
            <w:tcW w:w="4786" w:type="dxa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374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640</w:t>
            </w:r>
          </w:p>
        </w:tc>
        <w:tc>
          <w:tcPr>
            <w:tcW w:w="145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37588</w:t>
            </w:r>
          </w:p>
        </w:tc>
        <w:tc>
          <w:tcPr>
            <w:tcW w:w="1500" w:type="dxa"/>
            <w:vAlign w:val="center"/>
          </w:tcPr>
          <w:p w:rsidR="00CE54E2" w:rsidRPr="003C1BBB" w:rsidRDefault="00CE54E2" w:rsidP="003C1BBB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BBB">
              <w:rPr>
                <w:rFonts w:ascii="Times New Roman" w:hAnsi="Times New Roman"/>
                <w:sz w:val="20"/>
                <w:szCs w:val="20"/>
                <w:lang w:val="uk-UA"/>
              </w:rPr>
              <w:t>54145</w:t>
            </w:r>
          </w:p>
        </w:tc>
      </w:tr>
    </w:tbl>
    <w:p w:rsidR="003C1BBB" w:rsidRDefault="003C1BBB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1BBB" w:rsidRDefault="003C1BB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Додаток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Б</w:t>
      </w:r>
    </w:p>
    <w:p w:rsidR="003C1BBB" w:rsidRDefault="003C1BBB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Звіт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результати</w:t>
      </w:r>
      <w:r w:rsidR="003C1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2008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р.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C9725A">
        <w:rPr>
          <w:rFonts w:ascii="Times New Roman" w:hAnsi="Times New Roman"/>
          <w:sz w:val="28"/>
          <w:lang w:val="uk-UA"/>
        </w:rPr>
        <w:t>Форма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№2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Код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ДКУД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1801003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E54E2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результати</w:t>
      </w:r>
    </w:p>
    <w:p w:rsidR="00C7074D" w:rsidRPr="00C9725A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8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3"/>
        <w:gridCol w:w="888"/>
        <w:gridCol w:w="960"/>
        <w:gridCol w:w="1179"/>
      </w:tblGrid>
      <w:tr w:rsidR="00CE54E2" w:rsidRPr="00C7074D" w:rsidTr="00C7074D">
        <w:tc>
          <w:tcPr>
            <w:tcW w:w="5773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Статя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Доход(виручка)від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22386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21554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додану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015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3732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3590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Акцизний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збір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020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вирахування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доходу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(виручка)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035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18654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17964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Собівартість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реалізованої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10922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8571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Валовий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050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7732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9393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055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060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2559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1998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061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070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692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531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збут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283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211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090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1404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091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rPr>
          <w:trHeight w:val="114"/>
        </w:trPr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7912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10449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1127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733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оподаткування: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6785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  <w:tcBorders>
              <w:bottom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6785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</w:tr>
      <w:tr w:rsidR="00CE54E2" w:rsidRPr="00C7074D" w:rsidTr="00C7074D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  <w:tcBorders>
              <w:top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Надзвичайні: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205</w:t>
            </w: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  <w:tcBorders>
              <w:bottom w:val="nil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Податки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надзвичайного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прибутку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6785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</w:tr>
      <w:tr w:rsidR="00CE54E2" w:rsidRPr="00C7074D" w:rsidTr="00C7074D">
        <w:tc>
          <w:tcPr>
            <w:tcW w:w="5773" w:type="dxa"/>
            <w:tcBorders>
              <w:top w:val="single" w:sz="4" w:space="0" w:color="auto"/>
            </w:tcBorders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77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Довідково:</w:t>
            </w:r>
          </w:p>
        </w:tc>
        <w:tc>
          <w:tcPr>
            <w:tcW w:w="88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Елементи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8"/>
        <w:gridCol w:w="872"/>
        <w:gridCol w:w="1360"/>
        <w:gridCol w:w="1295"/>
      </w:tblGrid>
      <w:tr w:rsidR="00CE54E2" w:rsidRPr="00C7074D" w:rsidTr="00C7074D">
        <w:tc>
          <w:tcPr>
            <w:tcW w:w="492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Матеріальні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затрати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6528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5067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оплату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1077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805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Відрахування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соціальні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247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260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1038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828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3135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761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12025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7592</w:t>
            </w:r>
          </w:p>
        </w:tc>
      </w:tr>
    </w:tbl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ІІІ.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прибутковості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акцій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5"/>
        <w:gridCol w:w="872"/>
        <w:gridCol w:w="1360"/>
        <w:gridCol w:w="1295"/>
      </w:tblGrid>
      <w:tr w:rsidR="00CE54E2" w:rsidRPr="00C7074D" w:rsidTr="00C7074D">
        <w:tc>
          <w:tcPr>
            <w:tcW w:w="52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статті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52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524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Середньорічна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акцій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flip:y;z-index:251652096;mso-position-horizontal-relative:text;mso-position-vertical-relative:text" from="-2.5pt,5.15pt" to="177.5pt,58.7pt"/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3120;mso-position-horizontal-relative:text;mso-position-vertical-relative:text" from="-2.75pt,4.55pt" to="177.25pt,4.5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4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Скоригована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середньорічна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акцій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4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(збиток)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54144;mso-position-horizontal-relative:text;mso-position-vertical-relative:text" from="6.25pt,2.95pt" to="159.25pt,2.9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4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Скоригований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(збиток)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4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Дивіденди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29" style="position:absolute;left:0;text-align:left;z-index:251655168;mso-position-horizontal-relative:text;mso-position-vertical-relative:text" from="-2.75pt,5.55pt" to="177.25pt,5.5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74D" w:rsidRDefault="00C7074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Додаток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</w:t>
      </w:r>
    </w:p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Звіт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результати</w:t>
      </w:r>
      <w:r w:rsidR="00C70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р.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C9725A">
        <w:rPr>
          <w:rFonts w:ascii="Times New Roman" w:hAnsi="Times New Roman"/>
          <w:sz w:val="28"/>
          <w:lang w:val="uk-UA"/>
        </w:rPr>
        <w:t>Форма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№2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Код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ДКУД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1801003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результати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5"/>
        <w:gridCol w:w="875"/>
        <w:gridCol w:w="1109"/>
        <w:gridCol w:w="1179"/>
      </w:tblGrid>
      <w:tr w:rsidR="00CE54E2" w:rsidRPr="00C7074D" w:rsidTr="00C7074D">
        <w:tc>
          <w:tcPr>
            <w:tcW w:w="54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Статя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Доход(виручка)від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21554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19679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додану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015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3590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3277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Акцизний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збір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020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вирахування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доходу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(виручка)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035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17964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16402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Собівартість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реалізованої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8571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9205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Валовий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050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9393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7197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055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060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2182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061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070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531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323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збут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211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167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090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383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091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1887,6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rPr>
          <w:trHeight w:val="70"/>
        </w:trPr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10449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8506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733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375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оподаткування: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8131</w:t>
            </w: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  <w:tcBorders>
              <w:bottom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8131</w:t>
            </w:r>
          </w:p>
        </w:tc>
      </w:tr>
      <w:tr w:rsidR="00CE54E2" w:rsidRPr="00C7074D" w:rsidTr="00C7074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Надзвичайні: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  <w:tcBorders>
              <w:top w:val="single" w:sz="4" w:space="0" w:color="auto"/>
            </w:tcBorders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205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  <w:tcBorders>
              <w:bottom w:val="nil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Податки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надзвичайного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прибутку</w:t>
            </w:r>
          </w:p>
        </w:tc>
        <w:tc>
          <w:tcPr>
            <w:tcW w:w="875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Чистий:</w:t>
            </w:r>
          </w:p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8131</w:t>
            </w:r>
          </w:p>
        </w:tc>
      </w:tr>
      <w:tr w:rsidR="00CE54E2" w:rsidRPr="00C7074D" w:rsidTr="00C7074D">
        <w:tc>
          <w:tcPr>
            <w:tcW w:w="5495" w:type="dxa"/>
            <w:tcBorders>
              <w:top w:val="single" w:sz="4" w:space="0" w:color="auto"/>
            </w:tcBorders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225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49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Довідково: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Елементи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8"/>
        <w:gridCol w:w="872"/>
        <w:gridCol w:w="1360"/>
        <w:gridCol w:w="1295"/>
      </w:tblGrid>
      <w:tr w:rsidR="00CE54E2" w:rsidRPr="00C7074D" w:rsidTr="00C7074D">
        <w:tc>
          <w:tcPr>
            <w:tcW w:w="4928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Матеріальні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затрати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5067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4052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оплату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805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716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Відрахування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соціальні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260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828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558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761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533</w:t>
            </w:r>
          </w:p>
        </w:tc>
      </w:tr>
      <w:tr w:rsidR="00CE54E2" w:rsidRPr="00C7074D" w:rsidTr="00C7074D">
        <w:tc>
          <w:tcPr>
            <w:tcW w:w="4928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7592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5937</w:t>
            </w:r>
          </w:p>
        </w:tc>
      </w:tr>
    </w:tbl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ІІІ.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прибутковості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акцій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  <w:gridCol w:w="872"/>
        <w:gridCol w:w="1360"/>
        <w:gridCol w:w="1295"/>
      </w:tblGrid>
      <w:tr w:rsidR="00CE54E2" w:rsidRPr="00C7074D" w:rsidTr="00C7074D">
        <w:tc>
          <w:tcPr>
            <w:tcW w:w="507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статті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507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5070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Середньорічна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акцій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30" style="position:absolute;left:0;text-align:left;flip:y;z-index:251656192;mso-position-horizontal-relative:text;mso-position-vertical-relative:text" from="-2.25pt,5.15pt" to="172.9pt,60.2pt"/>
              </w:pict>
            </w:r>
            <w:r>
              <w:rPr>
                <w:noProof/>
                <w:lang w:eastAsia="ru-RU"/>
              </w:rPr>
              <w:pict>
                <v:line id="_x0000_s1031" style="position:absolute;left:0;text-align:left;z-index:251657216;mso-position-horizontal-relative:text;mso-position-vertical-relative:text" from="-2.75pt,4.55pt" to="177.25pt,4.5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070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Скоригована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середньорічна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акцій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070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(збиток)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32" style="position:absolute;left:0;text-align:left;z-index:251658240;mso-position-horizontal-relative:text;mso-position-vertical-relative:text" from="6.25pt,2.95pt" to="159.25pt,2.9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070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Скоригований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(збиток)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070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Дивіденди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33" style="position:absolute;left:0;text-align:left;z-index:251659264;mso-position-horizontal-relative:text;mso-position-vertical-relative:text" from="-2.75pt,5.55pt" to="177.25pt,5.5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br w:type="page"/>
        <w:t>Додаток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Г</w:t>
      </w:r>
    </w:p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Звіт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про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результати</w:t>
      </w:r>
      <w:r w:rsidR="00C70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2005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р.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C9725A">
        <w:rPr>
          <w:rFonts w:ascii="Times New Roman" w:hAnsi="Times New Roman"/>
          <w:sz w:val="28"/>
          <w:lang w:val="uk-UA"/>
        </w:rPr>
        <w:t>Форма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№2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Код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ДКУД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1801003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Фінансові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результати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5"/>
        <w:gridCol w:w="875"/>
        <w:gridCol w:w="1045"/>
        <w:gridCol w:w="1179"/>
      </w:tblGrid>
      <w:tr w:rsidR="00CE54E2" w:rsidRPr="00C7074D" w:rsidTr="00C7074D">
        <w:tc>
          <w:tcPr>
            <w:tcW w:w="598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Статя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598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Доход(виручка)від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9667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8195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додану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015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1609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1363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Акцизний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збір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020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025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вирахування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доходу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(виручка)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реалізації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035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8058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6832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Собівартість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реалізованої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(товарів,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робіт,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послуг)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5277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3288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Валовий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050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2781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3544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055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060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1065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582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061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269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243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Адміністративні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070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348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збут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217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393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090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3321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3092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визнання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активів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091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rPr>
          <w:trHeight w:val="70"/>
        </w:trPr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оподаткування: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3221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2952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  <w:tcBorders>
              <w:bottom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результати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звичайної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діяльності: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3221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2952</w:t>
            </w:r>
          </w:p>
        </w:tc>
      </w:tr>
      <w:tr w:rsidR="00CE54E2" w:rsidRPr="00C7074D" w:rsidTr="00C7074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  <w:tcBorders>
              <w:top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Надзвичайні: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205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  <w:tcBorders>
              <w:bottom w:val="nil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Податки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надзвичайного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прибутку</w:t>
            </w:r>
          </w:p>
        </w:tc>
        <w:tc>
          <w:tcPr>
            <w:tcW w:w="875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Чистий: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2952</w:t>
            </w:r>
          </w:p>
        </w:tc>
      </w:tr>
      <w:tr w:rsidR="00CE54E2" w:rsidRPr="00C7074D" w:rsidTr="00C7074D">
        <w:tc>
          <w:tcPr>
            <w:tcW w:w="5985" w:type="dxa"/>
            <w:tcBorders>
              <w:top w:val="single" w:sz="4" w:space="0" w:color="auto"/>
            </w:tcBorders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225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Довідково:</w:t>
            </w:r>
            <w:r w:rsid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Нараховано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фіксованого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сільськогосподарського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податку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(ФСП)</w:t>
            </w:r>
          </w:p>
        </w:tc>
        <w:tc>
          <w:tcPr>
            <w:tcW w:w="875" w:type="dxa"/>
            <w:vAlign w:val="center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041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</w:tr>
      <w:tr w:rsidR="00CE54E2" w:rsidRPr="00C7074D" w:rsidTr="00C7074D">
        <w:tc>
          <w:tcPr>
            <w:tcW w:w="5985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Сплачено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ФСП</w:t>
            </w:r>
          </w:p>
        </w:tc>
        <w:tc>
          <w:tcPr>
            <w:tcW w:w="87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042</w:t>
            </w:r>
          </w:p>
        </w:tc>
        <w:tc>
          <w:tcPr>
            <w:tcW w:w="104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7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</w:tr>
    </w:tbl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Елементи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операційних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витрат</w:t>
      </w:r>
    </w:p>
    <w:p w:rsidR="00C7074D" w:rsidRPr="00C9725A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872"/>
        <w:gridCol w:w="1360"/>
        <w:gridCol w:w="1295"/>
      </w:tblGrid>
      <w:tr w:rsidR="00CE54E2" w:rsidRPr="00C7074D" w:rsidTr="00C7074D">
        <w:tc>
          <w:tcPr>
            <w:tcW w:w="4786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4786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4786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Матеріальні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затрати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3333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4927</w:t>
            </w:r>
          </w:p>
        </w:tc>
      </w:tr>
      <w:tr w:rsidR="00CE54E2" w:rsidRPr="00C7074D" w:rsidTr="00C7074D">
        <w:tc>
          <w:tcPr>
            <w:tcW w:w="4786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оплату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631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539</w:t>
            </w:r>
          </w:p>
        </w:tc>
      </w:tr>
      <w:tr w:rsidR="00CE54E2" w:rsidRPr="00C7074D" w:rsidTr="00C7074D">
        <w:tc>
          <w:tcPr>
            <w:tcW w:w="4786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Відрахування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соціальні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</w:tr>
      <w:tr w:rsidR="00CE54E2" w:rsidRPr="00C7074D" w:rsidTr="00C7074D">
        <w:tc>
          <w:tcPr>
            <w:tcW w:w="4786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260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422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306</w:t>
            </w:r>
          </w:p>
        </w:tc>
      </w:tr>
      <w:tr w:rsidR="00CE54E2" w:rsidRPr="00C7074D" w:rsidTr="00C7074D">
        <w:tc>
          <w:tcPr>
            <w:tcW w:w="4786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операційні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625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</w:tr>
      <w:tr w:rsidR="00CE54E2" w:rsidRPr="00C7074D" w:rsidTr="00C7074D">
        <w:tc>
          <w:tcPr>
            <w:tcW w:w="4786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280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5081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6801</w:t>
            </w:r>
          </w:p>
        </w:tc>
      </w:tr>
    </w:tbl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ІІІ.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Розрахунок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показників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прибутковості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акцій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872"/>
        <w:gridCol w:w="1360"/>
        <w:gridCol w:w="1295"/>
      </w:tblGrid>
      <w:tr w:rsidR="00CE54E2" w:rsidRPr="00C7074D" w:rsidTr="00C7074D">
        <w:tc>
          <w:tcPr>
            <w:tcW w:w="5211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статті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попередній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</w:t>
            </w:r>
          </w:p>
        </w:tc>
      </w:tr>
      <w:tr w:rsidR="00CE54E2" w:rsidRPr="00C7074D" w:rsidTr="00C7074D">
        <w:tc>
          <w:tcPr>
            <w:tcW w:w="5211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Середньорічна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акцій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34" style="position:absolute;left:0;text-align:left;flip:y;z-index:251660288;mso-position-horizontal-relative:text;mso-position-vertical-relative:text" from="2.9pt,4.65pt" to="173.65pt,57.85pt"/>
              </w:pict>
            </w:r>
            <w:r>
              <w:rPr>
                <w:noProof/>
                <w:lang w:eastAsia="ru-RU"/>
              </w:rPr>
              <w:pict>
                <v:line id="_x0000_s1035" style="position:absolute;left:0;text-align:left;z-index:251661312;mso-position-horizontal-relative:text;mso-position-vertical-relative:text" from="-2.75pt,4.55pt" to="177.25pt,4.5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11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Скоригована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середньорічна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акцій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11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(збиток)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36" style="position:absolute;left:0;text-align:left;z-index:251662336;mso-position-horizontal-relative:text;mso-position-vertical-relative:text" from="6.25pt,2.95pt" to="159.25pt,2.9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11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Скоригований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(збиток)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5211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Дивіденди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одну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просту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акцію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872" w:type="dxa"/>
            <w:vAlign w:val="center"/>
          </w:tcPr>
          <w:p w:rsidR="00CE54E2" w:rsidRPr="00C7074D" w:rsidRDefault="00C25CF4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37" style="position:absolute;left:0;text-align:left;z-index:251663360;mso-position-horizontal-relative:text;mso-position-vertical-relative:text" from="-2.75pt,5.55pt" to="177.25pt,5.55pt"/>
              </w:pict>
            </w:r>
          </w:p>
        </w:tc>
        <w:tc>
          <w:tcPr>
            <w:tcW w:w="1360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7074D" w:rsidRDefault="00C7074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Додаток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Д</w:t>
      </w:r>
    </w:p>
    <w:p w:rsidR="00C7074D" w:rsidRDefault="00C7074D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725A">
        <w:rPr>
          <w:rFonts w:ascii="Times New Roman" w:hAnsi="Times New Roman"/>
          <w:sz w:val="28"/>
          <w:szCs w:val="28"/>
          <w:lang w:val="uk-UA"/>
        </w:rPr>
        <w:t>Баланс</w:t>
      </w:r>
      <w:r w:rsidR="00C707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2007</w:t>
      </w:r>
      <w:r w:rsidR="00C9725A" w:rsidRPr="00C972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szCs w:val="28"/>
          <w:lang w:val="uk-UA"/>
        </w:rPr>
        <w:t>р.</w:t>
      </w:r>
    </w:p>
    <w:p w:rsidR="00CE54E2" w:rsidRPr="00C9725A" w:rsidRDefault="00CE54E2" w:rsidP="00C9725A">
      <w:pPr>
        <w:widowControl w:val="0"/>
        <w:tabs>
          <w:tab w:val="left" w:pos="426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C9725A">
        <w:rPr>
          <w:rFonts w:ascii="Times New Roman" w:hAnsi="Times New Roman"/>
          <w:sz w:val="28"/>
          <w:lang w:val="uk-UA"/>
        </w:rPr>
        <w:t>Форма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№1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Код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за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ДКУД</w:t>
      </w:r>
      <w:r w:rsidR="00C9725A" w:rsidRPr="00C9725A">
        <w:rPr>
          <w:rFonts w:ascii="Times New Roman" w:hAnsi="Times New Roman"/>
          <w:sz w:val="28"/>
          <w:lang w:val="uk-UA"/>
        </w:rPr>
        <w:t xml:space="preserve"> </w:t>
      </w:r>
      <w:r w:rsidRPr="00C9725A">
        <w:rPr>
          <w:rFonts w:ascii="Times New Roman" w:hAnsi="Times New Roman"/>
          <w:sz w:val="28"/>
          <w:lang w:val="uk-UA"/>
        </w:rPr>
        <w:t>1801001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74"/>
        <w:gridCol w:w="1364"/>
        <w:gridCol w:w="1409"/>
      </w:tblGrid>
      <w:tr w:rsidR="00CE54E2" w:rsidRPr="00C7074D" w:rsidTr="00C7074D">
        <w:tc>
          <w:tcPr>
            <w:tcW w:w="4503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початок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кінець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</w:tr>
      <w:tr w:rsidR="00CE54E2" w:rsidRPr="00C7074D" w:rsidTr="00C7074D">
        <w:tc>
          <w:tcPr>
            <w:tcW w:w="4503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Необоротні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Нематеріальні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залишкова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011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накопичена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012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Незавершене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020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374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199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Основні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засоби: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залишкова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5436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8054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031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8300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11921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032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2864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3867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справедлива(залишкова)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035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036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накопичена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037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інвестиції: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які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обліковуються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методом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участі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капіталі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інших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040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інвестиції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045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754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1256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050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Відстрочені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060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необоротні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070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080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6564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9509</w:t>
            </w:r>
          </w:p>
        </w:tc>
      </w:tr>
      <w:tr w:rsidR="00CE54E2" w:rsidRPr="00C7074D" w:rsidTr="00C7074D">
        <w:tc>
          <w:tcPr>
            <w:tcW w:w="4503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ІІ.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Оборотні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Виробничі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1277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1282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біологічні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Незавершене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виробництво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1303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1966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Готова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продукція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2122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2200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Товари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Векселі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одержані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товари,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роботи,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послуги: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чиста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реалізаційна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1303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3267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первісна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1303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3267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резерв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сумнівних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боргів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розрахунками: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бюджетом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319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виданими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авансами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нарахованих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внутрішніх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14797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19166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поточна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дебіторська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інвестиції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Грошові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кошти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їх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еквіваленти: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національній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валюті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іноземній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валюті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оборотні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активи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260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21347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28079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ІІІ.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майбутніх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27911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37588</w:t>
            </w:r>
          </w:p>
        </w:tc>
      </w:tr>
      <w:tr w:rsidR="00CE54E2" w:rsidRPr="00C7074D" w:rsidTr="00C7074D">
        <w:tc>
          <w:tcPr>
            <w:tcW w:w="4503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Код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початок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кінець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звітного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періоду</w:t>
            </w:r>
          </w:p>
        </w:tc>
      </w:tr>
      <w:tr w:rsidR="00CE54E2" w:rsidRPr="00C7074D" w:rsidTr="00C7074D">
        <w:tc>
          <w:tcPr>
            <w:tcW w:w="4503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Власний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Статутний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Пайовий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Додатковий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вкладений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додатковий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330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15427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23918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Резервний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340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Нерозподілений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прибуток(непокритий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збиток)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8131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9716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Неоплачений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360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Вилучений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капітал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370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380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23558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33634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ІІ.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таких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виплат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платежів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витрат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персоналу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Цільове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фінансування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420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430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ІІІ.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кредити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банків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440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662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фінансові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450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Відстрочені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податкові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460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470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666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ІV.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Короткострокові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кредити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банків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500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3233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2980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Поточна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довгостроковими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зобов’язаннями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Векселі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видані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5210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Кредиторська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товари,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роботи,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530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391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507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розрахунками: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одержаних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авансів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540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бюджетом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550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427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позабюджетних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платежів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560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зі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страхування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570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оплати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праці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580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учасниками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590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9725A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із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внутрішніх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E54E2"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поточні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зобов’язання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610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Усього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розділом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ІV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620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3687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3950</w:t>
            </w:r>
          </w:p>
        </w:tc>
      </w:tr>
      <w:tr w:rsidR="00CE54E2" w:rsidRPr="00C7074D" w:rsidTr="00C7074D"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V.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Доходи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майбутніх</w:t>
            </w:r>
            <w:r w:rsidR="00C9725A" w:rsidRPr="00C707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періодів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630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4E2" w:rsidRPr="00C7074D" w:rsidTr="00C7074D">
        <w:trPr>
          <w:trHeight w:val="301"/>
        </w:trPr>
        <w:tc>
          <w:tcPr>
            <w:tcW w:w="4503" w:type="dxa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17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640</w:t>
            </w:r>
          </w:p>
        </w:tc>
        <w:tc>
          <w:tcPr>
            <w:tcW w:w="1364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27911</w:t>
            </w:r>
          </w:p>
        </w:tc>
        <w:tc>
          <w:tcPr>
            <w:tcW w:w="1409" w:type="dxa"/>
            <w:vAlign w:val="center"/>
          </w:tcPr>
          <w:p w:rsidR="00CE54E2" w:rsidRPr="00C7074D" w:rsidRDefault="00CE54E2" w:rsidP="00C7074D">
            <w:pPr>
              <w:widowControl w:val="0"/>
              <w:tabs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74D">
              <w:rPr>
                <w:rFonts w:ascii="Times New Roman" w:hAnsi="Times New Roman"/>
                <w:sz w:val="20"/>
                <w:szCs w:val="20"/>
                <w:lang w:val="uk-UA"/>
              </w:rPr>
              <w:t>37588</w:t>
            </w:r>
          </w:p>
        </w:tc>
      </w:tr>
    </w:tbl>
    <w:p w:rsidR="00CE54E2" w:rsidRPr="00C7074D" w:rsidRDefault="00CE54E2" w:rsidP="00C7074D">
      <w:pPr>
        <w:pStyle w:val="ad"/>
        <w:widowControl w:val="0"/>
        <w:spacing w:before="0" w:beforeAutospacing="0" w:after="0" w:afterAutospacing="0" w:line="360" w:lineRule="auto"/>
        <w:jc w:val="center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CE54E2" w:rsidRPr="00C7074D" w:rsidSect="00C9725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9E" w:rsidRDefault="0064609E" w:rsidP="008B77FE">
      <w:pPr>
        <w:spacing w:after="0" w:line="240" w:lineRule="auto"/>
      </w:pPr>
      <w:r>
        <w:separator/>
      </w:r>
    </w:p>
  </w:endnote>
  <w:endnote w:type="continuationSeparator" w:id="0">
    <w:p w:rsidR="0064609E" w:rsidRDefault="0064609E" w:rsidP="008B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9E" w:rsidRDefault="0064609E" w:rsidP="008B77FE">
      <w:pPr>
        <w:spacing w:after="0" w:line="240" w:lineRule="auto"/>
      </w:pPr>
      <w:r>
        <w:separator/>
      </w:r>
    </w:p>
  </w:footnote>
  <w:footnote w:type="continuationSeparator" w:id="0">
    <w:p w:rsidR="0064609E" w:rsidRDefault="0064609E" w:rsidP="008B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5A" w:rsidRPr="00C9725A" w:rsidRDefault="00C9725A" w:rsidP="00C9725A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5A" w:rsidRPr="00C9725A" w:rsidRDefault="00C9725A" w:rsidP="00C9725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FFFFFFFE"/>
    <w:multiLevelType w:val="singleLevel"/>
    <w:tmpl w:val="A8347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702872"/>
    <w:multiLevelType w:val="hybridMultilevel"/>
    <w:tmpl w:val="178CC0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E7588"/>
    <w:multiLevelType w:val="hybridMultilevel"/>
    <w:tmpl w:val="0C5E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47CEF"/>
    <w:multiLevelType w:val="multilevel"/>
    <w:tmpl w:val="74FC7A0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0BEB6364"/>
    <w:multiLevelType w:val="hybridMultilevel"/>
    <w:tmpl w:val="89F4FC0A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0D50712D"/>
    <w:multiLevelType w:val="hybridMultilevel"/>
    <w:tmpl w:val="C456BC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0F37707"/>
    <w:multiLevelType w:val="multilevel"/>
    <w:tmpl w:val="392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73694"/>
    <w:multiLevelType w:val="multilevel"/>
    <w:tmpl w:val="74FC7A0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8">
    <w:nsid w:val="15E53354"/>
    <w:multiLevelType w:val="hybridMultilevel"/>
    <w:tmpl w:val="C3E24EB2"/>
    <w:lvl w:ilvl="0" w:tplc="042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>
    <w:nsid w:val="19F75A9E"/>
    <w:multiLevelType w:val="hybridMultilevel"/>
    <w:tmpl w:val="4670846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1BD85FE8"/>
    <w:multiLevelType w:val="hybridMultilevel"/>
    <w:tmpl w:val="66F2DE4A"/>
    <w:lvl w:ilvl="0" w:tplc="F12A81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3F46F54"/>
    <w:multiLevelType w:val="multilevel"/>
    <w:tmpl w:val="510CA15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48D65D8"/>
    <w:multiLevelType w:val="hybridMultilevel"/>
    <w:tmpl w:val="B972EC86"/>
    <w:lvl w:ilvl="0" w:tplc="042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>
    <w:nsid w:val="273302D2"/>
    <w:multiLevelType w:val="hybridMultilevel"/>
    <w:tmpl w:val="C24202FA"/>
    <w:lvl w:ilvl="0" w:tplc="042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4">
    <w:nsid w:val="28451A18"/>
    <w:multiLevelType w:val="hybridMultilevel"/>
    <w:tmpl w:val="9132C4DA"/>
    <w:lvl w:ilvl="0" w:tplc="A426DC8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2A3D2F0D"/>
    <w:multiLevelType w:val="multilevel"/>
    <w:tmpl w:val="762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8248A9"/>
    <w:multiLevelType w:val="hybridMultilevel"/>
    <w:tmpl w:val="E2F4387C"/>
    <w:lvl w:ilvl="0" w:tplc="630EA7C6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DBBA0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DE6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8C6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129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BEE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587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B83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74F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7BB4404"/>
    <w:multiLevelType w:val="multilevel"/>
    <w:tmpl w:val="9132C4D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8">
    <w:nsid w:val="3A0A5F66"/>
    <w:multiLevelType w:val="multilevel"/>
    <w:tmpl w:val="74FC7A0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9">
    <w:nsid w:val="3C5A161A"/>
    <w:multiLevelType w:val="hybridMultilevel"/>
    <w:tmpl w:val="2D14D93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0">
    <w:nsid w:val="4036184D"/>
    <w:multiLevelType w:val="hybridMultilevel"/>
    <w:tmpl w:val="DF1604E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1">
    <w:nsid w:val="422C4587"/>
    <w:multiLevelType w:val="hybridMultilevel"/>
    <w:tmpl w:val="2376DB8E"/>
    <w:lvl w:ilvl="0" w:tplc="042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2">
    <w:nsid w:val="42CC4B77"/>
    <w:multiLevelType w:val="multilevel"/>
    <w:tmpl w:val="B47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CA3848"/>
    <w:multiLevelType w:val="hybridMultilevel"/>
    <w:tmpl w:val="74FC7A00"/>
    <w:lvl w:ilvl="0" w:tplc="93F211B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4">
    <w:nsid w:val="48854794"/>
    <w:multiLevelType w:val="multilevel"/>
    <w:tmpl w:val="9132C4D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5">
    <w:nsid w:val="4A7477B1"/>
    <w:multiLevelType w:val="hybridMultilevel"/>
    <w:tmpl w:val="B3DA58B8"/>
    <w:lvl w:ilvl="0" w:tplc="33B63E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EA411F"/>
    <w:multiLevelType w:val="hybridMultilevel"/>
    <w:tmpl w:val="2A3A772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7">
    <w:nsid w:val="4F886648"/>
    <w:multiLevelType w:val="multilevel"/>
    <w:tmpl w:val="3C808D32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8">
    <w:nsid w:val="5A8E39C0"/>
    <w:multiLevelType w:val="multilevel"/>
    <w:tmpl w:val="9132C4D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9">
    <w:nsid w:val="5B96530F"/>
    <w:multiLevelType w:val="multilevel"/>
    <w:tmpl w:val="9132C4D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0">
    <w:nsid w:val="5BA17E01"/>
    <w:multiLevelType w:val="singleLevel"/>
    <w:tmpl w:val="957AD6B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E70DE8"/>
    <w:multiLevelType w:val="hybridMultilevel"/>
    <w:tmpl w:val="67EE8CC0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2">
    <w:nsid w:val="7959196B"/>
    <w:multiLevelType w:val="hybridMultilevel"/>
    <w:tmpl w:val="2B26BC8E"/>
    <w:lvl w:ilvl="0" w:tplc="5240C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7A6E1717"/>
    <w:multiLevelType w:val="multilevel"/>
    <w:tmpl w:val="9124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34">
    <w:nsid w:val="7A9E4D11"/>
    <w:multiLevelType w:val="multilevel"/>
    <w:tmpl w:val="C24202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5">
    <w:nsid w:val="7B6A7228"/>
    <w:multiLevelType w:val="hybridMultilevel"/>
    <w:tmpl w:val="79005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CAE6E12"/>
    <w:multiLevelType w:val="multilevel"/>
    <w:tmpl w:val="05DC39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7">
    <w:nsid w:val="7EB95818"/>
    <w:multiLevelType w:val="multilevel"/>
    <w:tmpl w:val="9132C4D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•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3">
    <w:abstractNumId w:val="30"/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6">
    <w:abstractNumId w:val="23"/>
  </w:num>
  <w:num w:numId="7">
    <w:abstractNumId w:val="14"/>
  </w:num>
  <w:num w:numId="8">
    <w:abstractNumId w:val="28"/>
  </w:num>
  <w:num w:numId="9">
    <w:abstractNumId w:val="37"/>
  </w:num>
  <w:num w:numId="10">
    <w:abstractNumId w:val="26"/>
  </w:num>
  <w:num w:numId="11">
    <w:abstractNumId w:val="24"/>
  </w:num>
  <w:num w:numId="12">
    <w:abstractNumId w:val="20"/>
  </w:num>
  <w:num w:numId="13">
    <w:abstractNumId w:val="29"/>
  </w:num>
  <w:num w:numId="14">
    <w:abstractNumId w:val="19"/>
  </w:num>
  <w:num w:numId="15">
    <w:abstractNumId w:val="17"/>
  </w:num>
  <w:num w:numId="16">
    <w:abstractNumId w:val="9"/>
  </w:num>
  <w:num w:numId="17">
    <w:abstractNumId w:val="18"/>
  </w:num>
  <w:num w:numId="18">
    <w:abstractNumId w:val="13"/>
  </w:num>
  <w:num w:numId="19">
    <w:abstractNumId w:val="34"/>
  </w:num>
  <w:num w:numId="20">
    <w:abstractNumId w:val="21"/>
  </w:num>
  <w:num w:numId="21">
    <w:abstractNumId w:val="7"/>
  </w:num>
  <w:num w:numId="22">
    <w:abstractNumId w:val="8"/>
  </w:num>
  <w:num w:numId="23">
    <w:abstractNumId w:val="3"/>
  </w:num>
  <w:num w:numId="24">
    <w:abstractNumId w:val="12"/>
  </w:num>
  <w:num w:numId="25">
    <w:abstractNumId w:val="32"/>
  </w:num>
  <w:num w:numId="26">
    <w:abstractNumId w:val="16"/>
  </w:num>
  <w:num w:numId="27">
    <w:abstractNumId w:val="10"/>
  </w:num>
  <w:num w:numId="28">
    <w:abstractNumId w:val="1"/>
  </w:num>
  <w:num w:numId="29">
    <w:abstractNumId w:val="31"/>
  </w:num>
  <w:num w:numId="30">
    <w:abstractNumId w:val="4"/>
  </w:num>
  <w:num w:numId="31">
    <w:abstractNumId w:val="5"/>
  </w:num>
  <w:num w:numId="32">
    <w:abstractNumId w:val="2"/>
  </w:num>
  <w:num w:numId="3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EC5"/>
    <w:rsid w:val="00010A41"/>
    <w:rsid w:val="000C6ABB"/>
    <w:rsid w:val="00141103"/>
    <w:rsid w:val="001A1470"/>
    <w:rsid w:val="00201C35"/>
    <w:rsid w:val="0029793B"/>
    <w:rsid w:val="002E3FFE"/>
    <w:rsid w:val="00355EC5"/>
    <w:rsid w:val="003629B7"/>
    <w:rsid w:val="003C1BBB"/>
    <w:rsid w:val="003C7946"/>
    <w:rsid w:val="005518CE"/>
    <w:rsid w:val="005637E8"/>
    <w:rsid w:val="0064609E"/>
    <w:rsid w:val="006520EB"/>
    <w:rsid w:val="006D0DB6"/>
    <w:rsid w:val="006D57A6"/>
    <w:rsid w:val="006E0205"/>
    <w:rsid w:val="00831856"/>
    <w:rsid w:val="00880BC3"/>
    <w:rsid w:val="008B77FE"/>
    <w:rsid w:val="009F1F7F"/>
    <w:rsid w:val="00AD41A9"/>
    <w:rsid w:val="00B65A67"/>
    <w:rsid w:val="00C25CF4"/>
    <w:rsid w:val="00C7074D"/>
    <w:rsid w:val="00C94F60"/>
    <w:rsid w:val="00C9725A"/>
    <w:rsid w:val="00CE54E2"/>
    <w:rsid w:val="00D162AB"/>
    <w:rsid w:val="00D510FC"/>
    <w:rsid w:val="00D62615"/>
    <w:rsid w:val="00DF4C7D"/>
    <w:rsid w:val="00DF6F67"/>
    <w:rsid w:val="00E33E3B"/>
    <w:rsid w:val="00E375A5"/>
    <w:rsid w:val="00F953F1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03B3A75-C9AA-4ACB-8EB3-6B4B69D7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485C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C485C"/>
    <w:pPr>
      <w:keepNext/>
      <w:tabs>
        <w:tab w:val="left" w:pos="5920"/>
      </w:tabs>
      <w:spacing w:after="0" w:line="360" w:lineRule="auto"/>
      <w:ind w:firstLine="540"/>
      <w:jc w:val="right"/>
      <w:outlineLvl w:val="1"/>
    </w:pPr>
    <w:rPr>
      <w:rFonts w:ascii="Times New Roman" w:hAnsi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C485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C485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C48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485C"/>
    <w:rPr>
      <w:rFonts w:ascii="Times New Roman" w:hAnsi="Times New Roman" w:cs="Times New Roman"/>
      <w:i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locked/>
    <w:rsid w:val="00FC48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locked/>
    <w:rsid w:val="00FC485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FC485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FC485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11">
    <w:name w:val="Абзац списка1"/>
    <w:basedOn w:val="a"/>
    <w:rsid w:val="00355EC5"/>
    <w:pPr>
      <w:ind w:left="720"/>
      <w:contextualSpacing/>
    </w:pPr>
  </w:style>
  <w:style w:type="paragraph" w:styleId="a3">
    <w:name w:val="Body Text Indent"/>
    <w:basedOn w:val="a"/>
    <w:link w:val="a4"/>
    <w:rsid w:val="00FC485C"/>
    <w:pPr>
      <w:spacing w:after="0" w:line="240" w:lineRule="auto"/>
      <w:ind w:firstLine="709"/>
    </w:pPr>
    <w:rPr>
      <w:rFonts w:ascii="Times New Roman" w:hAnsi="Times New Roman"/>
      <w:sz w:val="32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FC485C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FC485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FC485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rsid w:val="00FC485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FC485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FC485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locked/>
    <w:rsid w:val="00FC485C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12">
    <w:name w:val="Обычный1"/>
    <w:rsid w:val="00FC485C"/>
    <w:pPr>
      <w:widowControl w:val="0"/>
      <w:ind w:firstLine="300"/>
      <w:jc w:val="both"/>
    </w:pPr>
    <w:rPr>
      <w:rFonts w:ascii="Times New Roman" w:hAnsi="Times New Roman"/>
      <w:lang w:val="uk-UA"/>
    </w:rPr>
  </w:style>
  <w:style w:type="paragraph" w:styleId="a5">
    <w:name w:val="footer"/>
    <w:basedOn w:val="a"/>
    <w:link w:val="a6"/>
    <w:rsid w:val="00FC48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locked/>
    <w:rsid w:val="00FC485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FC485C"/>
    <w:rPr>
      <w:rFonts w:cs="Times New Roman"/>
    </w:rPr>
  </w:style>
  <w:style w:type="paragraph" w:styleId="a8">
    <w:name w:val="header"/>
    <w:basedOn w:val="a"/>
    <w:link w:val="a9"/>
    <w:rsid w:val="00FC48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FC485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semiHidden/>
    <w:rsid w:val="00FC485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locked/>
    <w:rsid w:val="00FC485C"/>
    <w:rPr>
      <w:rFonts w:ascii="Tahoma" w:hAnsi="Tahoma" w:cs="Tahoma"/>
      <w:sz w:val="16"/>
      <w:szCs w:val="16"/>
      <w:lang w:val="x-none" w:eastAsia="ru-RU"/>
    </w:rPr>
  </w:style>
  <w:style w:type="table" w:styleId="ac">
    <w:name w:val="Table Grid"/>
    <w:basedOn w:val="a1"/>
    <w:rsid w:val="00FC48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80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basedOn w:val="a0"/>
    <w:semiHidden/>
    <w:rsid w:val="00CE54E2"/>
    <w:rPr>
      <w:rFonts w:cs="Times New Roman"/>
      <w:color w:val="0000FF"/>
      <w:u w:val="single"/>
    </w:rPr>
  </w:style>
  <w:style w:type="character" w:styleId="af">
    <w:name w:val="Emphasis"/>
    <w:basedOn w:val="a0"/>
    <w:qFormat/>
    <w:rsid w:val="00CE54E2"/>
    <w:rPr>
      <w:rFonts w:cs="Times New Roman"/>
      <w:b/>
      <w:bCs/>
    </w:rPr>
  </w:style>
  <w:style w:type="paragraph" w:styleId="HTML">
    <w:name w:val="HTML Preformatted"/>
    <w:basedOn w:val="a"/>
    <w:link w:val="HTML0"/>
    <w:semiHidden/>
    <w:rsid w:val="00CE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hAnsi="Verdana" w:cs="Courier New"/>
      <w:color w:val="555555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CE54E2"/>
    <w:rPr>
      <w:rFonts w:ascii="Verdana" w:hAnsi="Verdana" w:cs="Courier New"/>
      <w:color w:val="555555"/>
      <w:sz w:val="23"/>
      <w:szCs w:val="23"/>
      <w:lang w:val="x-none" w:eastAsia="ru-RU"/>
    </w:rPr>
  </w:style>
  <w:style w:type="character" w:customStyle="1" w:styleId="longtext">
    <w:name w:val="long_text"/>
    <w:basedOn w:val="a0"/>
    <w:rsid w:val="00CE54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tim.r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8794</Words>
  <Characters>50128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Microsoft</Company>
  <LinksUpToDate>false</LinksUpToDate>
  <CharactersWithSpaces>58805</CharactersWithSpaces>
  <SharedDoc>false</SharedDoc>
  <HLinks>
    <vt:vector size="6" baseType="variant"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http://www.optim.ru/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Admin</dc:creator>
  <cp:keywords/>
  <dc:description/>
  <cp:lastModifiedBy>admin</cp:lastModifiedBy>
  <cp:revision>2</cp:revision>
  <cp:lastPrinted>2010-11-24T20:59:00Z</cp:lastPrinted>
  <dcterms:created xsi:type="dcterms:W3CDTF">2014-04-12T02:40:00Z</dcterms:created>
  <dcterms:modified xsi:type="dcterms:W3CDTF">2014-04-12T02:40:00Z</dcterms:modified>
</cp:coreProperties>
</file>