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72" w:rsidRDefault="00410472" w:rsidP="00934198">
      <w:pPr>
        <w:widowControl w:val="0"/>
        <w:spacing w:line="360" w:lineRule="auto"/>
        <w:ind w:right="60" w:firstLine="426"/>
        <w:rPr>
          <w:rFonts w:ascii="Times New Roman" w:hAnsi="Times New Roman"/>
          <w:b/>
        </w:rPr>
      </w:pPr>
    </w:p>
    <w:p w:rsidR="0013362E" w:rsidRPr="00934198" w:rsidRDefault="0013362E" w:rsidP="00934198">
      <w:pPr>
        <w:widowControl w:val="0"/>
        <w:spacing w:line="360" w:lineRule="auto"/>
        <w:ind w:right="60" w:firstLine="426"/>
        <w:rPr>
          <w:rFonts w:ascii="Times New Roman" w:hAnsi="Times New Roman"/>
          <w:b/>
        </w:rPr>
      </w:pPr>
      <w:r w:rsidRPr="00934198">
        <w:rPr>
          <w:rFonts w:ascii="Times New Roman" w:hAnsi="Times New Roman"/>
          <w:b/>
        </w:rPr>
        <w:t>1.1.Содержание таможенной процедуры</w:t>
      </w:r>
      <w:r w:rsidRPr="00934198">
        <w:rPr>
          <w:rFonts w:ascii="Times New Roman" w:hAnsi="Times New Roman"/>
        </w:rPr>
        <w:t xml:space="preserve"> </w:t>
      </w:r>
      <w:r w:rsidRPr="00934198">
        <w:rPr>
          <w:rFonts w:ascii="Times New Roman" w:hAnsi="Times New Roman"/>
          <w:b/>
        </w:rPr>
        <w:t>временного ввоза (допуска) товаров</w:t>
      </w:r>
    </w:p>
    <w:p w:rsidR="0013362E" w:rsidRDefault="0013362E" w:rsidP="00934198">
      <w:pPr>
        <w:widowControl w:val="0"/>
        <w:spacing w:line="360" w:lineRule="auto"/>
        <w:ind w:right="60" w:firstLine="426"/>
        <w:rPr>
          <w:rFonts w:ascii="Times New Roman" w:hAnsi="Times New Roman"/>
        </w:rPr>
      </w:pPr>
      <w:r w:rsidRPr="00934198">
        <w:rPr>
          <w:rFonts w:ascii="Times New Roman" w:hAnsi="Times New Roman"/>
        </w:rPr>
        <w:t>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13362E" w:rsidRDefault="0013362E" w:rsidP="00934198">
      <w:pPr>
        <w:widowControl w:val="0"/>
        <w:spacing w:line="360" w:lineRule="auto"/>
        <w:ind w:right="60" w:firstLine="426"/>
        <w:rPr>
          <w:rFonts w:ascii="Times New Roman" w:hAnsi="Times New Roman"/>
          <w:b/>
          <w:bCs/>
        </w:rPr>
      </w:pPr>
      <w:r w:rsidRPr="00934198">
        <w:rPr>
          <w:rFonts w:ascii="Times New Roman" w:hAnsi="Times New Roman"/>
          <w:b/>
        </w:rPr>
        <w:t xml:space="preserve">1.2. Условия помещения товаров под таможенную процедуру </w:t>
      </w:r>
      <w:r w:rsidRPr="00934198">
        <w:rPr>
          <w:rFonts w:ascii="Times New Roman" w:hAnsi="Times New Roman"/>
          <w:b/>
          <w:bCs/>
        </w:rPr>
        <w:t>временного ввоза (допуска)</w:t>
      </w:r>
    </w:p>
    <w:p w:rsidR="0013362E" w:rsidRPr="00934198" w:rsidRDefault="0013362E" w:rsidP="00934198">
      <w:pPr>
        <w:pStyle w:val="a3"/>
        <w:spacing w:line="360" w:lineRule="auto"/>
        <w:rPr>
          <w:sz w:val="20"/>
          <w:szCs w:val="28"/>
          <w:lang w:val="ru-RU"/>
        </w:rPr>
      </w:pPr>
      <w:r w:rsidRPr="00934198">
        <w:rPr>
          <w:sz w:val="20"/>
          <w:szCs w:val="28"/>
          <w:lang w:val="ru-RU"/>
        </w:rPr>
        <w:t xml:space="preserve">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 </w:t>
      </w:r>
    </w:p>
    <w:p w:rsidR="0013362E" w:rsidRPr="00934198" w:rsidRDefault="0013362E" w:rsidP="00934198">
      <w:pPr>
        <w:pStyle w:val="a3"/>
        <w:spacing w:line="360" w:lineRule="auto"/>
        <w:rPr>
          <w:sz w:val="20"/>
          <w:szCs w:val="28"/>
          <w:lang w:val="ru-RU"/>
        </w:rPr>
      </w:pPr>
      <w:r w:rsidRPr="00934198">
        <w:rPr>
          <w:sz w:val="20"/>
          <w:szCs w:val="28"/>
          <w:lang w:val="ru-RU"/>
        </w:rPr>
        <w:t xml:space="preserve">Идентификации товаров не требуется в случаях, когда в соответствии с международными договорами государств - членов таможенного союза допускается замена временно ввезенных товаров. </w:t>
      </w:r>
    </w:p>
    <w:p w:rsidR="0013362E" w:rsidRPr="00934198" w:rsidRDefault="0013362E" w:rsidP="00934198">
      <w:pPr>
        <w:pStyle w:val="a3"/>
        <w:spacing w:line="360" w:lineRule="auto"/>
        <w:rPr>
          <w:sz w:val="20"/>
          <w:szCs w:val="28"/>
          <w:lang w:val="ru-RU"/>
        </w:rPr>
      </w:pPr>
      <w:r w:rsidRPr="00934198">
        <w:rPr>
          <w:sz w:val="20"/>
          <w:szCs w:val="28"/>
          <w:lang w:val="ru-RU"/>
        </w:rPr>
        <w:t xml:space="preserve">2. Не допускается помещение под таможенную процедуру временного ввоза (допуска): </w:t>
      </w:r>
    </w:p>
    <w:p w:rsidR="0013362E" w:rsidRPr="00934198" w:rsidRDefault="0013362E" w:rsidP="00934198">
      <w:pPr>
        <w:pStyle w:val="a3"/>
        <w:spacing w:line="360" w:lineRule="auto"/>
        <w:rPr>
          <w:sz w:val="20"/>
          <w:szCs w:val="28"/>
          <w:lang w:val="ru-RU"/>
        </w:rPr>
      </w:pPr>
      <w:r w:rsidRPr="00934198">
        <w:rPr>
          <w:sz w:val="20"/>
          <w:szCs w:val="28"/>
          <w:lang w:val="ru-RU"/>
        </w:rPr>
        <w:t xml:space="preserve">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 </w:t>
      </w:r>
    </w:p>
    <w:p w:rsidR="0013362E" w:rsidRPr="00934198" w:rsidRDefault="0013362E" w:rsidP="00934198">
      <w:pPr>
        <w:pStyle w:val="a3"/>
        <w:spacing w:line="360" w:lineRule="auto"/>
        <w:rPr>
          <w:sz w:val="20"/>
          <w:szCs w:val="28"/>
          <w:lang w:val="ru-RU"/>
        </w:rPr>
      </w:pPr>
      <w:r w:rsidRPr="00934198">
        <w:rPr>
          <w:sz w:val="20"/>
          <w:szCs w:val="28"/>
          <w:lang w:val="ru-RU"/>
        </w:rPr>
        <w:t xml:space="preserve">2) отходов, в том числе промышленных; </w:t>
      </w:r>
    </w:p>
    <w:p w:rsidR="0013362E" w:rsidRPr="00934198" w:rsidRDefault="0013362E" w:rsidP="00934198">
      <w:pPr>
        <w:pStyle w:val="a3"/>
        <w:spacing w:line="360" w:lineRule="auto"/>
        <w:rPr>
          <w:sz w:val="20"/>
          <w:szCs w:val="28"/>
          <w:lang w:val="ru-RU"/>
        </w:rPr>
      </w:pPr>
      <w:r w:rsidRPr="00934198">
        <w:rPr>
          <w:sz w:val="20"/>
          <w:szCs w:val="28"/>
          <w:lang w:val="ru-RU"/>
        </w:rPr>
        <w:t xml:space="preserve">3) товаров, запрещенных к ввозу на таможенную территорию таможенного союза. </w:t>
      </w:r>
    </w:p>
    <w:p w:rsidR="0013362E" w:rsidRPr="00934198" w:rsidRDefault="0013362E" w:rsidP="00934198">
      <w:pPr>
        <w:pStyle w:val="a3"/>
        <w:spacing w:line="360" w:lineRule="auto"/>
        <w:rPr>
          <w:sz w:val="20"/>
          <w:szCs w:val="28"/>
          <w:lang w:val="ru-RU"/>
        </w:rPr>
      </w:pPr>
      <w:r w:rsidRPr="00934198">
        <w:rPr>
          <w:sz w:val="20"/>
          <w:szCs w:val="28"/>
          <w:lang w:val="ru-RU"/>
        </w:rPr>
        <w:t>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кодексом.</w:t>
      </w:r>
    </w:p>
    <w:p w:rsidR="0013362E" w:rsidRPr="00934198" w:rsidRDefault="0013362E" w:rsidP="00934198">
      <w:pPr>
        <w:pStyle w:val="a3"/>
        <w:spacing w:line="360" w:lineRule="auto"/>
        <w:rPr>
          <w:b/>
          <w:bCs/>
          <w:sz w:val="20"/>
          <w:szCs w:val="28"/>
          <w:lang w:val="ru-RU"/>
        </w:rPr>
      </w:pPr>
      <w:r w:rsidRPr="00934198">
        <w:rPr>
          <w:b/>
          <w:sz w:val="20"/>
          <w:szCs w:val="28"/>
          <w:lang w:val="ru-RU"/>
        </w:rPr>
        <w:t>1.4.</w:t>
      </w:r>
      <w:r w:rsidRPr="00934198">
        <w:rPr>
          <w:sz w:val="20"/>
          <w:szCs w:val="28"/>
          <w:lang w:val="ru-RU"/>
        </w:rPr>
        <w:t xml:space="preserve">  </w:t>
      </w:r>
      <w:r w:rsidRPr="00934198">
        <w:rPr>
          <w:b/>
          <w:bCs/>
          <w:sz w:val="20"/>
          <w:szCs w:val="28"/>
          <w:lang w:val="ru-RU"/>
        </w:rPr>
        <w:t>Срок временного ввоза товаров</w:t>
      </w:r>
    </w:p>
    <w:p w:rsidR="0013362E" w:rsidRPr="00934198" w:rsidRDefault="0013362E" w:rsidP="00934198">
      <w:pPr>
        <w:pStyle w:val="a3"/>
        <w:spacing w:line="360" w:lineRule="auto"/>
        <w:rPr>
          <w:sz w:val="20"/>
          <w:szCs w:val="28"/>
          <w:lang w:val="ru-RU"/>
        </w:rPr>
      </w:pPr>
      <w:r w:rsidRPr="00934198">
        <w:rPr>
          <w:sz w:val="20"/>
          <w:szCs w:val="28"/>
          <w:lang w:val="ru-RU"/>
        </w:rPr>
        <w:t xml:space="preserve">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2 (два) года со дня помещения товаров под таможенную процедуру временного ввоза, за исключением случаев, предусмотренных статьей  280 ТК ТС. </w:t>
      </w:r>
    </w:p>
    <w:p w:rsidR="0013362E" w:rsidRPr="00934198" w:rsidRDefault="0013362E" w:rsidP="00934198">
      <w:pPr>
        <w:pStyle w:val="a3"/>
        <w:spacing w:line="360" w:lineRule="auto"/>
        <w:rPr>
          <w:sz w:val="20"/>
          <w:szCs w:val="28"/>
          <w:lang w:val="ru-RU"/>
        </w:rPr>
      </w:pPr>
      <w:r w:rsidRPr="00934198">
        <w:rPr>
          <w:sz w:val="20"/>
          <w:szCs w:val="28"/>
          <w:lang w:val="ru-RU"/>
        </w:rPr>
        <w:t xml:space="preserve">По письменному заявлению декларанта срок временного ввоза товаров может быть продлен таможенным органом в пределах срока, указанного в части первой настоящего пункта, либо срока, определенного в соответствии с пунктом 2 статьи 280 ТК ТС. </w:t>
      </w:r>
    </w:p>
    <w:p w:rsidR="0013362E" w:rsidRPr="00934198" w:rsidRDefault="0013362E" w:rsidP="00934198">
      <w:pPr>
        <w:pStyle w:val="a3"/>
        <w:spacing w:line="360" w:lineRule="auto"/>
        <w:rPr>
          <w:sz w:val="20"/>
          <w:szCs w:val="28"/>
          <w:lang w:val="ru-RU"/>
        </w:rPr>
      </w:pPr>
      <w:r w:rsidRPr="00934198">
        <w:rPr>
          <w:sz w:val="20"/>
          <w:szCs w:val="28"/>
          <w:lang w:val="ru-RU"/>
        </w:rPr>
        <w:t xml:space="preserve">2. Для отдельных категорий товаров в зависимости от целей их ввоза на таможенную территорию таможенного союза могут устанавливаться в соответствии с законодательством государств - членов таможенного союза более короткие или более продолжительные сроки временного ввоза, чем срок, указанный в абзаце первом пункта 1 статьи 280 ТК ТС. </w:t>
      </w:r>
    </w:p>
    <w:p w:rsidR="0013362E" w:rsidRPr="00934198" w:rsidRDefault="0013362E" w:rsidP="00934198">
      <w:pPr>
        <w:pStyle w:val="a3"/>
        <w:spacing w:line="360" w:lineRule="auto"/>
        <w:rPr>
          <w:sz w:val="20"/>
          <w:szCs w:val="28"/>
          <w:lang w:val="ru-RU"/>
        </w:rPr>
      </w:pPr>
      <w:r w:rsidRPr="00934198">
        <w:rPr>
          <w:sz w:val="20"/>
          <w:szCs w:val="28"/>
          <w:lang w:val="ru-RU"/>
        </w:rPr>
        <w:t xml:space="preserve">3.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части первой пункта 1, либо срока, определенного в соответствии с пунктом 2 статьи  280 ТК ТС. </w:t>
      </w:r>
    </w:p>
    <w:p w:rsidR="0013362E" w:rsidRPr="00934198" w:rsidRDefault="0013362E" w:rsidP="00934198">
      <w:pPr>
        <w:pStyle w:val="a3"/>
        <w:spacing w:line="360" w:lineRule="auto"/>
        <w:rPr>
          <w:b/>
          <w:bCs/>
          <w:sz w:val="20"/>
          <w:szCs w:val="28"/>
          <w:lang w:val="ru-RU"/>
        </w:rPr>
      </w:pPr>
      <w:r w:rsidRPr="00934198">
        <w:rPr>
          <w:b/>
          <w:sz w:val="20"/>
          <w:szCs w:val="28"/>
          <w:lang w:val="ru-RU"/>
        </w:rPr>
        <w:t>1.5.</w:t>
      </w:r>
      <w:r w:rsidRPr="00934198">
        <w:rPr>
          <w:sz w:val="20"/>
          <w:szCs w:val="28"/>
          <w:lang w:val="ru-RU"/>
        </w:rPr>
        <w:t xml:space="preserve"> </w:t>
      </w:r>
      <w:r w:rsidRPr="00934198">
        <w:rPr>
          <w:b/>
          <w:bCs/>
          <w:sz w:val="20"/>
          <w:szCs w:val="28"/>
          <w:lang w:val="ru-RU"/>
        </w:rPr>
        <w:t>Завершение и приостановление действия таможенной процедуры временного ввоза (допуска)</w:t>
      </w:r>
    </w:p>
    <w:p w:rsidR="0013362E" w:rsidRPr="00934198" w:rsidRDefault="0013362E" w:rsidP="00934198">
      <w:pPr>
        <w:pStyle w:val="a3"/>
        <w:spacing w:line="360" w:lineRule="auto"/>
        <w:rPr>
          <w:sz w:val="20"/>
          <w:szCs w:val="28"/>
          <w:lang w:val="ru-RU"/>
        </w:rPr>
      </w:pPr>
      <w:r w:rsidRPr="00934198">
        <w:rPr>
          <w:sz w:val="20"/>
          <w:szCs w:val="28"/>
          <w:lang w:val="ru-RU"/>
        </w:rPr>
        <w:t xml:space="preserve">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Таможенным Кодексом Таможенного Союза. </w:t>
      </w:r>
    </w:p>
    <w:p w:rsidR="0013362E" w:rsidRPr="00934198" w:rsidRDefault="0013362E" w:rsidP="00934198">
      <w:pPr>
        <w:pStyle w:val="a3"/>
        <w:spacing w:line="360" w:lineRule="auto"/>
        <w:rPr>
          <w:sz w:val="20"/>
          <w:szCs w:val="28"/>
          <w:lang w:val="ru-RU"/>
        </w:rPr>
      </w:pPr>
      <w:r w:rsidRPr="00934198">
        <w:rPr>
          <w:sz w:val="20"/>
          <w:szCs w:val="28"/>
          <w:lang w:val="ru-RU"/>
        </w:rPr>
        <w:t xml:space="preserve">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ТК ТС. </w:t>
      </w:r>
    </w:p>
    <w:p w:rsidR="0013362E" w:rsidRPr="00934198" w:rsidRDefault="0013362E" w:rsidP="00934198">
      <w:pPr>
        <w:pStyle w:val="a3"/>
        <w:spacing w:line="360" w:lineRule="auto"/>
        <w:rPr>
          <w:sz w:val="20"/>
          <w:szCs w:val="28"/>
          <w:lang w:val="ru-RU"/>
        </w:rPr>
      </w:pPr>
      <w:r w:rsidRPr="00934198">
        <w:rPr>
          <w:sz w:val="20"/>
          <w:szCs w:val="28"/>
          <w:lang w:val="ru-RU"/>
        </w:rPr>
        <w:t xml:space="preserve">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Порядок приостановления и возобновления действия таможенной процедуры временного ввоза (допуска) определяется решением Комиссии таможенного союза. </w:t>
      </w:r>
    </w:p>
    <w:p w:rsidR="0013362E" w:rsidRPr="00934198" w:rsidRDefault="0013362E" w:rsidP="00934198">
      <w:pPr>
        <w:pStyle w:val="a3"/>
        <w:spacing w:line="360" w:lineRule="auto"/>
        <w:rPr>
          <w:sz w:val="20"/>
          <w:szCs w:val="28"/>
          <w:lang w:val="ru-RU"/>
        </w:rPr>
      </w:pPr>
      <w:r w:rsidRPr="00934198">
        <w:rPr>
          <w:sz w:val="20"/>
          <w:szCs w:val="28"/>
          <w:lang w:val="ru-RU"/>
        </w:rPr>
        <w:t xml:space="preserve">3. Временно ввезенные товары могут помещаться под таможенную процедуру реэкспорта либо под иную таможенную процедуру одной или несколькими партиями. </w:t>
      </w:r>
    </w:p>
    <w:p w:rsidR="0013362E" w:rsidRPr="00934198" w:rsidRDefault="0013362E" w:rsidP="00934198">
      <w:pPr>
        <w:ind w:firstLine="709"/>
        <w:jc w:val="both"/>
        <w:rPr>
          <w:rFonts w:ascii="Times New Roman" w:hAnsi="Times New Roman"/>
          <w:sz w:val="20"/>
          <w:szCs w:val="28"/>
        </w:rPr>
      </w:pPr>
      <w:r w:rsidRPr="00934198">
        <w:rPr>
          <w:rFonts w:ascii="Times New Roman" w:hAnsi="Times New Roman"/>
          <w:sz w:val="20"/>
          <w:szCs w:val="28"/>
        </w:rPr>
        <w:t>Рассмотрим заполнение основных  граф  таможенной декларации при таможенной процедуре временного ввоза (допуска) товаров.</w:t>
      </w:r>
    </w:p>
    <w:p w:rsidR="0013362E" w:rsidRPr="00934198" w:rsidRDefault="0013362E" w:rsidP="00934198">
      <w:pPr>
        <w:jc w:val="both"/>
        <w:rPr>
          <w:rFonts w:ascii="Times New Roman" w:hAnsi="Times New Roman"/>
          <w:sz w:val="20"/>
          <w:szCs w:val="28"/>
        </w:rPr>
      </w:pPr>
      <w:r w:rsidRPr="00934198">
        <w:rPr>
          <w:rFonts w:ascii="Times New Roman" w:hAnsi="Times New Roman"/>
          <w:sz w:val="20"/>
          <w:szCs w:val="28"/>
        </w:rPr>
        <w:t>Графа 1: “Декларация”</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895"/>
        <w:gridCol w:w="955"/>
      </w:tblGrid>
      <w:tr w:rsidR="0013362E" w:rsidRPr="000A60C0" w:rsidTr="0018488A">
        <w:trPr>
          <w:trHeight w:val="22"/>
        </w:trPr>
        <w:tc>
          <w:tcPr>
            <w:tcW w:w="2816" w:type="dxa"/>
            <w:gridSpan w:val="3"/>
            <w:tcBorders>
              <w:bottom w:val="nil"/>
            </w:tcBorders>
          </w:tcPr>
          <w:p w:rsidR="0013362E" w:rsidRPr="00934198" w:rsidRDefault="0013362E" w:rsidP="0018488A">
            <w:pPr>
              <w:ind w:left="6"/>
              <w:rPr>
                <w:rFonts w:ascii="Times New Roman" w:hAnsi="Times New Roman"/>
                <w:sz w:val="20"/>
                <w:szCs w:val="28"/>
              </w:rPr>
            </w:pPr>
            <w:r w:rsidRPr="00934198">
              <w:rPr>
                <w:rFonts w:ascii="Times New Roman" w:hAnsi="Times New Roman"/>
                <w:sz w:val="20"/>
                <w:szCs w:val="28"/>
              </w:rPr>
              <w:t>1    Декларация</w:t>
            </w:r>
          </w:p>
        </w:tc>
      </w:tr>
      <w:tr w:rsidR="0013362E" w:rsidRPr="000A60C0" w:rsidTr="0018488A">
        <w:trPr>
          <w:trHeight w:val="54"/>
        </w:trPr>
        <w:tc>
          <w:tcPr>
            <w:tcW w:w="966" w:type="dxa"/>
            <w:tcBorders>
              <w:top w:val="nil"/>
            </w:tcBorders>
          </w:tcPr>
          <w:p w:rsidR="0013362E" w:rsidRPr="00934198" w:rsidRDefault="0013362E" w:rsidP="0018488A">
            <w:pPr>
              <w:ind w:left="6"/>
              <w:jc w:val="center"/>
              <w:rPr>
                <w:rFonts w:ascii="Times New Roman" w:hAnsi="Times New Roman"/>
                <w:sz w:val="20"/>
                <w:szCs w:val="28"/>
              </w:rPr>
            </w:pPr>
            <w:r w:rsidRPr="00934198">
              <w:rPr>
                <w:rFonts w:ascii="Times New Roman" w:hAnsi="Times New Roman"/>
                <w:sz w:val="20"/>
                <w:szCs w:val="28"/>
              </w:rPr>
              <w:t>ИМ</w:t>
            </w:r>
          </w:p>
          <w:p w:rsidR="0013362E" w:rsidRPr="00934198" w:rsidRDefault="0013362E" w:rsidP="0018488A">
            <w:pPr>
              <w:jc w:val="both"/>
              <w:rPr>
                <w:rFonts w:ascii="Times New Roman" w:hAnsi="Times New Roman"/>
                <w:sz w:val="20"/>
                <w:szCs w:val="28"/>
              </w:rPr>
            </w:pPr>
          </w:p>
        </w:tc>
        <w:tc>
          <w:tcPr>
            <w:tcW w:w="895" w:type="dxa"/>
            <w:tcBorders>
              <w:top w:val="nil"/>
            </w:tcBorders>
          </w:tcPr>
          <w:p w:rsidR="0013362E" w:rsidRPr="00934198" w:rsidRDefault="0013362E" w:rsidP="0018488A">
            <w:pPr>
              <w:spacing w:after="0" w:line="240" w:lineRule="auto"/>
              <w:rPr>
                <w:rFonts w:ascii="Times New Roman" w:hAnsi="Times New Roman"/>
                <w:sz w:val="20"/>
                <w:szCs w:val="28"/>
              </w:rPr>
            </w:pPr>
            <w:r w:rsidRPr="000A60C0">
              <w:rPr>
                <w:rFonts w:ascii="Times New Roman" w:hAnsi="Times New Roman"/>
                <w:sz w:val="20"/>
                <w:szCs w:val="28"/>
              </w:rPr>
              <w:t>53</w:t>
            </w:r>
          </w:p>
          <w:p w:rsidR="0013362E" w:rsidRPr="00934198" w:rsidRDefault="0013362E" w:rsidP="0018488A">
            <w:pPr>
              <w:jc w:val="both"/>
              <w:rPr>
                <w:rFonts w:ascii="Times New Roman" w:hAnsi="Times New Roman"/>
                <w:sz w:val="20"/>
                <w:szCs w:val="28"/>
              </w:rPr>
            </w:pPr>
          </w:p>
        </w:tc>
        <w:tc>
          <w:tcPr>
            <w:tcW w:w="955" w:type="dxa"/>
            <w:tcBorders>
              <w:top w:val="nil"/>
            </w:tcBorders>
          </w:tcPr>
          <w:p w:rsidR="0013362E" w:rsidRPr="00934198" w:rsidRDefault="0013362E" w:rsidP="0018488A">
            <w:pPr>
              <w:spacing w:after="0" w:line="240" w:lineRule="auto"/>
              <w:rPr>
                <w:rFonts w:ascii="Times New Roman" w:hAnsi="Times New Roman"/>
                <w:sz w:val="20"/>
                <w:szCs w:val="28"/>
              </w:rPr>
            </w:pPr>
          </w:p>
          <w:p w:rsidR="0013362E" w:rsidRPr="00934198" w:rsidRDefault="0013362E" w:rsidP="0018488A">
            <w:pPr>
              <w:jc w:val="both"/>
              <w:rPr>
                <w:rFonts w:ascii="Times New Roman" w:hAnsi="Times New Roman"/>
                <w:sz w:val="20"/>
                <w:szCs w:val="28"/>
              </w:rPr>
            </w:pPr>
          </w:p>
        </w:tc>
      </w:tr>
    </w:tbl>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В первом подразделе графы производится запись "ИМ".</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 Код 53.В случае использования ДТ в виде электронного документа в третьем подразделе графы производится запись: "ЭД";</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2) графа 37 "Процедура"</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В первом подразделе графы указывается составной код, который формируется по следующей схеме: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716"/>
      </w:tblGrid>
      <w:tr w:rsidR="0013362E" w:rsidRPr="000A60C0" w:rsidTr="0018488A">
        <w:trPr>
          <w:trHeight w:val="184"/>
        </w:trPr>
        <w:tc>
          <w:tcPr>
            <w:tcW w:w="3359" w:type="dxa"/>
            <w:gridSpan w:val="2"/>
            <w:tcBorders>
              <w:bottom w:val="nil"/>
            </w:tcBorders>
          </w:tcPr>
          <w:p w:rsidR="0013362E" w:rsidRPr="00934198" w:rsidRDefault="0013362E" w:rsidP="0018488A">
            <w:pPr>
              <w:rPr>
                <w:rFonts w:ascii="Times New Roman" w:hAnsi="Times New Roman"/>
                <w:sz w:val="20"/>
                <w:szCs w:val="28"/>
              </w:rPr>
            </w:pPr>
            <w:r w:rsidRPr="00934198">
              <w:rPr>
                <w:rFonts w:ascii="Times New Roman" w:hAnsi="Times New Roman"/>
                <w:sz w:val="20"/>
                <w:szCs w:val="28"/>
              </w:rPr>
              <w:t>37       Процедура</w:t>
            </w:r>
          </w:p>
        </w:tc>
      </w:tr>
      <w:tr w:rsidR="0013362E" w:rsidRPr="000A60C0" w:rsidTr="0018488A">
        <w:trPr>
          <w:trHeight w:val="369"/>
        </w:trPr>
        <w:tc>
          <w:tcPr>
            <w:tcW w:w="1643" w:type="dxa"/>
            <w:tcBorders>
              <w:top w:val="nil"/>
            </w:tcBorders>
          </w:tcPr>
          <w:p w:rsidR="0013362E" w:rsidRPr="00934198" w:rsidRDefault="0013362E" w:rsidP="0018488A">
            <w:pPr>
              <w:spacing w:line="240" w:lineRule="auto"/>
              <w:jc w:val="both"/>
              <w:rPr>
                <w:rFonts w:ascii="Times New Roman" w:hAnsi="Times New Roman"/>
                <w:sz w:val="20"/>
                <w:szCs w:val="28"/>
              </w:rPr>
            </w:pPr>
            <w:r w:rsidRPr="00934198">
              <w:rPr>
                <w:rFonts w:ascii="Times New Roman" w:hAnsi="Times New Roman"/>
                <w:sz w:val="20"/>
                <w:szCs w:val="28"/>
              </w:rPr>
              <w:t xml:space="preserve">1 ХХ </w:t>
            </w:r>
          </w:p>
          <w:p w:rsidR="0013362E" w:rsidRPr="00934198" w:rsidRDefault="0013362E" w:rsidP="0018488A">
            <w:pPr>
              <w:spacing w:line="240" w:lineRule="auto"/>
              <w:jc w:val="center"/>
              <w:rPr>
                <w:rFonts w:ascii="Times New Roman" w:hAnsi="Times New Roman"/>
                <w:sz w:val="20"/>
                <w:szCs w:val="28"/>
              </w:rPr>
            </w:pPr>
            <w:r w:rsidRPr="000A60C0">
              <w:rPr>
                <w:rFonts w:ascii="Times New Roman" w:hAnsi="Times New Roman"/>
                <w:sz w:val="20"/>
                <w:szCs w:val="28"/>
              </w:rPr>
              <w:t>53</w:t>
            </w:r>
          </w:p>
        </w:tc>
        <w:tc>
          <w:tcPr>
            <w:tcW w:w="1716" w:type="dxa"/>
            <w:tcBorders>
              <w:top w:val="nil"/>
            </w:tcBorders>
          </w:tcPr>
          <w:p w:rsidR="0013362E" w:rsidRPr="00934198" w:rsidRDefault="0013362E" w:rsidP="0018488A">
            <w:pPr>
              <w:spacing w:after="0" w:line="240" w:lineRule="auto"/>
              <w:rPr>
                <w:rFonts w:ascii="Times New Roman" w:hAnsi="Times New Roman"/>
                <w:sz w:val="20"/>
                <w:szCs w:val="28"/>
              </w:rPr>
            </w:pPr>
            <w:r w:rsidRPr="00934198">
              <w:rPr>
                <w:rFonts w:ascii="Times New Roman" w:hAnsi="Times New Roman"/>
                <w:sz w:val="20"/>
                <w:szCs w:val="28"/>
              </w:rPr>
              <w:t>2 ХХ</w:t>
            </w:r>
          </w:p>
          <w:p w:rsidR="0013362E" w:rsidRPr="00934198" w:rsidRDefault="0013362E" w:rsidP="0018488A">
            <w:pPr>
              <w:spacing w:line="240" w:lineRule="auto"/>
              <w:jc w:val="both"/>
              <w:rPr>
                <w:rFonts w:ascii="Times New Roman" w:hAnsi="Times New Roman"/>
                <w:sz w:val="20"/>
                <w:szCs w:val="28"/>
              </w:rPr>
            </w:pPr>
            <w:r w:rsidRPr="00934198">
              <w:rPr>
                <w:rFonts w:ascii="Times New Roman" w:hAnsi="Times New Roman"/>
                <w:sz w:val="20"/>
                <w:szCs w:val="28"/>
              </w:rPr>
              <w:t>00</w:t>
            </w:r>
          </w:p>
          <w:p w:rsidR="0013362E" w:rsidRPr="00934198" w:rsidRDefault="0013362E" w:rsidP="0018488A">
            <w:pPr>
              <w:spacing w:line="240" w:lineRule="auto"/>
              <w:jc w:val="center"/>
              <w:rPr>
                <w:rFonts w:ascii="Times New Roman" w:hAnsi="Times New Roman"/>
                <w:sz w:val="20"/>
                <w:szCs w:val="28"/>
              </w:rPr>
            </w:pPr>
          </w:p>
        </w:tc>
      </w:tr>
    </w:tbl>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элемент 1 - двузначный код заявляемой таможенной процедуры в соответствии с Классификатором видов таможенных процедур;</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элемент 2 -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либо указывается два нуля "00", если декларируемые товары ранее не были помещены под иную таможенную процедуру.</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графа 44 "Дополнительная информация/Предоставленные документы"</w:t>
      </w:r>
    </w:p>
    <w:p w:rsidR="0013362E"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p w:rsidR="0013362E" w:rsidRPr="00934198" w:rsidRDefault="0013362E" w:rsidP="00934198">
      <w:pPr>
        <w:spacing w:before="100" w:beforeAutospacing="1" w:after="100" w:afterAutospacing="1" w:line="360" w:lineRule="auto"/>
        <w:jc w:val="both"/>
        <w:rPr>
          <w:rFonts w:ascii="Times New Roman" w:hAnsi="Times New Roman"/>
          <w:sz w:val="20"/>
          <w:szCs w:val="28"/>
        </w:rPr>
      </w:pPr>
      <w:r w:rsidRPr="00934198">
        <w:rPr>
          <w:rFonts w:ascii="Times New Roman" w:hAnsi="Times New Roman"/>
          <w:sz w:val="20"/>
          <w:szCs w:val="28"/>
        </w:rPr>
        <w:t>при завершении действия таможенной процедуры временного ввоза (допуска) или временного вывоза соответственно таможенной процедурой реэкспорта или реимпорта указываются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Графа1. ЭК 31</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u w:val="single"/>
          <w:lang w:val="ru-RU"/>
        </w:rPr>
      </w:pPr>
      <w:r w:rsidRPr="00934198">
        <w:rPr>
          <w:rFonts w:ascii="Times New Roman" w:hAnsi="Times New Roman"/>
          <w:sz w:val="20"/>
          <w:szCs w:val="28"/>
          <w:lang w:val="ru-RU"/>
        </w:rPr>
        <w:t>Графа37.</w:t>
      </w:r>
      <w:r w:rsidRPr="00934198">
        <w:rPr>
          <w:rFonts w:ascii="Times New Roman" w:hAnsi="Times New Roman"/>
          <w:sz w:val="20"/>
          <w:szCs w:val="28"/>
          <w:u w:val="single"/>
          <w:lang w:val="ru-RU"/>
        </w:rPr>
        <w:t>31.53.00</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Графа40. Номер ТД по временному ввозу(предшеств.процедуры)</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Например: №___ /01.02.09/ 00001</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Графа44. 1)№контракта</w:t>
      </w:r>
    </w:p>
    <w:p w:rsidR="0013362E" w:rsidRPr="00934198" w:rsidRDefault="0013362E" w:rsidP="00934198">
      <w:pPr>
        <w:pStyle w:val="1"/>
        <w:tabs>
          <w:tab w:val="left" w:pos="1980"/>
        </w:tabs>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ab/>
        <w:t>2) №акта таможенного досмотра(два) №1 и №2 сравнить.</w:t>
      </w:r>
    </w:p>
    <w:p w:rsidR="0013362E"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ab/>
        <w:t>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p>
    <w:p w:rsidR="0013362E" w:rsidRPr="00934198" w:rsidRDefault="0013362E" w:rsidP="00934198">
      <w:pPr>
        <w:pStyle w:val="1"/>
        <w:spacing w:before="100" w:beforeAutospacing="1" w:after="100" w:afterAutospacing="1" w:line="360" w:lineRule="auto"/>
        <w:jc w:val="both"/>
        <w:rPr>
          <w:rFonts w:ascii="Times New Roman" w:hAnsi="Times New Roman"/>
          <w:sz w:val="20"/>
          <w:szCs w:val="28"/>
          <w:lang w:val="ru-RU"/>
        </w:rPr>
      </w:pPr>
      <w:r w:rsidRPr="00934198">
        <w:rPr>
          <w:rFonts w:ascii="Times New Roman" w:hAnsi="Times New Roman"/>
          <w:sz w:val="20"/>
          <w:szCs w:val="28"/>
          <w:lang w:val="ru-RU"/>
        </w:rPr>
        <w:t>номера и даты иных документов и (или) сведения об обязательствах, предоставление которых предусмотрено в соответствии с условиями таможенных процедур;</w:t>
      </w:r>
    </w:p>
    <w:p w:rsidR="0013362E" w:rsidRPr="00934198" w:rsidRDefault="0013362E" w:rsidP="00934198">
      <w:pPr>
        <w:widowControl w:val="0"/>
        <w:spacing w:line="360" w:lineRule="auto"/>
        <w:ind w:right="60" w:firstLine="426"/>
        <w:rPr>
          <w:rFonts w:ascii="Times New Roman" w:hAnsi="Times New Roman"/>
          <w:sz w:val="16"/>
        </w:rPr>
      </w:pPr>
      <w:bookmarkStart w:id="0" w:name="_GoBack"/>
      <w:bookmarkEnd w:id="0"/>
    </w:p>
    <w:sectPr w:rsidR="0013362E" w:rsidRPr="00934198" w:rsidSect="001B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98"/>
    <w:rsid w:val="000A60C0"/>
    <w:rsid w:val="0013362E"/>
    <w:rsid w:val="0018488A"/>
    <w:rsid w:val="001B7ABC"/>
    <w:rsid w:val="003C207E"/>
    <w:rsid w:val="00410472"/>
    <w:rsid w:val="00934198"/>
    <w:rsid w:val="00B852AB"/>
    <w:rsid w:val="00E6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7A5A2-855A-4EB3-B784-2B2E368D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B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4198"/>
    <w:pPr>
      <w:spacing w:before="100" w:beforeAutospacing="1" w:after="100" w:afterAutospacing="1" w:line="240" w:lineRule="auto"/>
    </w:pPr>
    <w:rPr>
      <w:rFonts w:ascii="Times New Roman" w:hAnsi="Times New Roman"/>
      <w:sz w:val="24"/>
      <w:szCs w:val="24"/>
      <w:lang w:val="en-US" w:eastAsia="en-US"/>
    </w:rPr>
  </w:style>
  <w:style w:type="paragraph" w:customStyle="1" w:styleId="1">
    <w:name w:val="Абзац списка1"/>
    <w:basedOn w:val="a"/>
    <w:rsid w:val="00934198"/>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миша</dc:creator>
  <cp:keywords/>
  <dc:description/>
  <cp:lastModifiedBy>admin</cp:lastModifiedBy>
  <cp:revision>2</cp:revision>
  <dcterms:created xsi:type="dcterms:W3CDTF">2014-04-11T21:19:00Z</dcterms:created>
  <dcterms:modified xsi:type="dcterms:W3CDTF">2014-04-11T21:19:00Z</dcterms:modified>
</cp:coreProperties>
</file>