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A93" w:rsidRDefault="00625A93" w:rsidP="001F08EB">
      <w:pPr>
        <w:ind w:left="720" w:firstLine="0"/>
        <w:jc w:val="center"/>
      </w:pPr>
    </w:p>
    <w:p w:rsidR="00A02364" w:rsidRPr="00B64BFD" w:rsidRDefault="00A02364" w:rsidP="001F08EB">
      <w:pPr>
        <w:ind w:left="720" w:firstLine="0"/>
        <w:jc w:val="center"/>
      </w:pPr>
      <w:r w:rsidRPr="00B64BFD">
        <w:t xml:space="preserve">Негосударственное образовательное </w:t>
      </w:r>
      <w:r>
        <w:t xml:space="preserve">частное </w:t>
      </w:r>
      <w:r w:rsidRPr="00B64BFD">
        <w:t>учреждение</w:t>
      </w:r>
    </w:p>
    <w:p w:rsidR="00A02364" w:rsidRPr="00B64BFD" w:rsidRDefault="00A02364" w:rsidP="001F08EB">
      <w:pPr>
        <w:ind w:left="720" w:firstLine="0"/>
        <w:jc w:val="center"/>
      </w:pPr>
      <w:r>
        <w:t>в</w:t>
      </w:r>
      <w:r w:rsidRPr="00B64BFD">
        <w:t>ысшего профессионального образования</w:t>
      </w:r>
    </w:p>
    <w:p w:rsidR="00A02364" w:rsidRPr="00B64BFD" w:rsidRDefault="00A02364" w:rsidP="001F08EB">
      <w:pPr>
        <w:ind w:left="720" w:firstLine="0"/>
        <w:jc w:val="center"/>
      </w:pPr>
    </w:p>
    <w:p w:rsidR="00A02364" w:rsidRPr="00B64BFD" w:rsidRDefault="00330436" w:rsidP="001F08EB">
      <w:pPr>
        <w:ind w:left="720" w:firstLine="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0.5pt;height:26.25pt;visibility:visible">
            <v:imagedata r:id="rId5" o:title=""/>
          </v:shape>
        </w:pict>
      </w:r>
    </w:p>
    <w:p w:rsidR="00A02364" w:rsidRDefault="00A02364" w:rsidP="001F08EB">
      <w:pPr>
        <w:ind w:left="720" w:firstLine="0"/>
        <w:jc w:val="center"/>
        <w:rPr>
          <w:sz w:val="24"/>
        </w:rPr>
      </w:pPr>
      <w:r w:rsidRPr="00B64BFD">
        <w:t>Уральский институт фондового рынка</w:t>
      </w:r>
    </w:p>
    <w:p w:rsidR="00A02364" w:rsidRDefault="00A02364" w:rsidP="001F08EB">
      <w:pPr>
        <w:pStyle w:val="a3"/>
        <w:spacing w:after="0"/>
        <w:ind w:left="0"/>
        <w:jc w:val="center"/>
        <w:rPr>
          <w:sz w:val="24"/>
        </w:rPr>
      </w:pPr>
    </w:p>
    <w:p w:rsidR="00A02364" w:rsidRDefault="00A02364" w:rsidP="001F08EB">
      <w:pPr>
        <w:pStyle w:val="a3"/>
        <w:spacing w:after="0"/>
        <w:ind w:left="0"/>
        <w:jc w:val="center"/>
        <w:rPr>
          <w:sz w:val="24"/>
        </w:rPr>
      </w:pPr>
      <w:r>
        <w:rPr>
          <w:sz w:val="24"/>
        </w:rPr>
        <w:t>Дата отправления: «___» _______________2011 г</w:t>
      </w:r>
    </w:p>
    <w:p w:rsidR="00A02364" w:rsidRDefault="00A02364" w:rsidP="001F08EB">
      <w:pPr>
        <w:jc w:val="center"/>
        <w:rPr>
          <w:sz w:val="24"/>
        </w:rPr>
      </w:pPr>
    </w:p>
    <w:p w:rsidR="00A02364" w:rsidRDefault="00A02364" w:rsidP="001F08EB">
      <w:pPr>
        <w:pStyle w:val="3"/>
        <w:spacing w:before="0" w:after="0"/>
        <w:jc w:val="center"/>
      </w:pPr>
      <w:bookmarkStart w:id="0" w:name="_Toc117317014"/>
      <w:bookmarkStart w:id="1" w:name="_Toc120959283"/>
      <w:r>
        <w:t>Контрольная работа №</w:t>
      </w:r>
      <w:bookmarkEnd w:id="0"/>
      <w:bookmarkEnd w:id="1"/>
      <w:r>
        <w:t xml:space="preserve"> 1</w:t>
      </w:r>
    </w:p>
    <w:p w:rsidR="00A02364" w:rsidRDefault="00A02364" w:rsidP="001F08EB">
      <w:pPr>
        <w:pStyle w:val="a3"/>
        <w:spacing w:after="0"/>
        <w:ind w:left="0"/>
        <w:jc w:val="center"/>
        <w:rPr>
          <w:sz w:val="24"/>
        </w:rPr>
      </w:pPr>
      <w:r>
        <w:rPr>
          <w:sz w:val="24"/>
        </w:rPr>
        <w:t>По____________</w:t>
      </w:r>
      <w:r>
        <w:rPr>
          <w:sz w:val="24"/>
          <w:u w:val="single"/>
        </w:rPr>
        <w:t>Мировая экономика</w:t>
      </w:r>
      <w:r>
        <w:rPr>
          <w:sz w:val="24"/>
        </w:rPr>
        <w:t>__________</w:t>
      </w:r>
    </w:p>
    <w:p w:rsidR="00A02364" w:rsidRDefault="00A02364" w:rsidP="001F08EB">
      <w:pPr>
        <w:pStyle w:val="2"/>
        <w:ind w:left="0" w:firstLine="720"/>
        <w:jc w:val="center"/>
        <w:rPr>
          <w:sz w:val="24"/>
        </w:rPr>
      </w:pPr>
      <w:r>
        <w:rPr>
          <w:sz w:val="24"/>
        </w:rPr>
        <w:t>Студент(ка) ___</w:t>
      </w:r>
      <w:r>
        <w:rPr>
          <w:sz w:val="24"/>
          <w:u w:val="single"/>
        </w:rPr>
        <w:t>3</w:t>
      </w:r>
      <w:r>
        <w:rPr>
          <w:sz w:val="24"/>
        </w:rPr>
        <w:t>___ курса заочного отделения</w:t>
      </w:r>
    </w:p>
    <w:p w:rsidR="00A02364" w:rsidRDefault="00A02364" w:rsidP="001F08EB">
      <w:pPr>
        <w:pStyle w:val="2"/>
        <w:ind w:left="0" w:firstLine="720"/>
        <w:jc w:val="center"/>
        <w:rPr>
          <w:sz w:val="24"/>
        </w:rPr>
      </w:pPr>
      <w:r>
        <w:rPr>
          <w:sz w:val="24"/>
        </w:rPr>
        <w:t>Специальности _________</w:t>
      </w:r>
      <w:r w:rsidRPr="00CC7D3D">
        <w:rPr>
          <w:sz w:val="24"/>
          <w:u w:val="single"/>
        </w:rPr>
        <w:t>менеджмент организации</w:t>
      </w:r>
      <w:r>
        <w:rPr>
          <w:sz w:val="24"/>
        </w:rPr>
        <w:t>______________________</w:t>
      </w:r>
    </w:p>
    <w:p w:rsidR="00A02364" w:rsidRDefault="00A02364" w:rsidP="001F08EB">
      <w:pPr>
        <w:pStyle w:val="2"/>
        <w:ind w:left="0" w:firstLine="720"/>
        <w:jc w:val="center"/>
        <w:rPr>
          <w:sz w:val="24"/>
        </w:rPr>
      </w:pPr>
      <w:r>
        <w:rPr>
          <w:sz w:val="24"/>
        </w:rPr>
        <w:t>Шувалов</w:t>
      </w:r>
    </w:p>
    <w:p w:rsidR="00A02364" w:rsidRPr="00CC7D3D" w:rsidRDefault="00A02364" w:rsidP="001F08EB">
      <w:pPr>
        <w:pStyle w:val="4"/>
        <w:pBdr>
          <w:top w:val="single" w:sz="12" w:space="1" w:color="auto"/>
          <w:bottom w:val="single" w:sz="12" w:space="1" w:color="auto"/>
        </w:pBdr>
        <w:spacing w:before="0" w:after="0"/>
      </w:pPr>
      <w:r>
        <w:t>Михаил Сергеевич</w:t>
      </w:r>
    </w:p>
    <w:p w:rsidR="00A02364" w:rsidRDefault="00A02364" w:rsidP="001F08EB">
      <w:pPr>
        <w:pStyle w:val="4"/>
        <w:spacing w:before="0" w:after="0"/>
      </w:pPr>
      <w:bookmarkStart w:id="2" w:name="_Toc120959285"/>
      <w:r>
        <w:t>Имя, Отчество</w:t>
      </w:r>
      <w:bookmarkEnd w:id="2"/>
    </w:p>
    <w:p w:rsidR="00A02364" w:rsidRDefault="00A02364" w:rsidP="001F08EB">
      <w:pPr>
        <w:pStyle w:val="a3"/>
        <w:pBdr>
          <w:bottom w:val="single" w:sz="12" w:space="1" w:color="auto"/>
        </w:pBdr>
        <w:ind w:left="0"/>
        <w:jc w:val="center"/>
        <w:rPr>
          <w:sz w:val="24"/>
        </w:rPr>
      </w:pPr>
    </w:p>
    <w:p w:rsidR="00A02364" w:rsidRDefault="00A02364" w:rsidP="001F08EB">
      <w:pPr>
        <w:jc w:val="center"/>
        <w:rPr>
          <w:sz w:val="24"/>
        </w:rPr>
      </w:pPr>
    </w:p>
    <w:p w:rsidR="00A02364" w:rsidRDefault="00A02364" w:rsidP="001F08EB">
      <w:pPr>
        <w:pStyle w:val="2"/>
        <w:ind w:left="0" w:firstLine="720"/>
        <w:jc w:val="center"/>
        <w:outlineLvl w:val="0"/>
        <w:rPr>
          <w:sz w:val="24"/>
        </w:rPr>
      </w:pPr>
    </w:p>
    <w:p w:rsidR="00A02364" w:rsidRDefault="00A02364" w:rsidP="001F08EB">
      <w:pPr>
        <w:pStyle w:val="2"/>
        <w:ind w:left="0" w:firstLine="720"/>
        <w:jc w:val="center"/>
        <w:outlineLvl w:val="0"/>
        <w:rPr>
          <w:sz w:val="24"/>
        </w:rPr>
      </w:pPr>
    </w:p>
    <w:p w:rsidR="00A02364" w:rsidRDefault="00A02364" w:rsidP="001F08EB">
      <w:pPr>
        <w:pStyle w:val="2"/>
        <w:ind w:left="0" w:firstLine="720"/>
        <w:jc w:val="center"/>
        <w:outlineLvl w:val="0"/>
        <w:rPr>
          <w:sz w:val="24"/>
        </w:rPr>
      </w:pPr>
    </w:p>
    <w:p w:rsidR="00A02364" w:rsidRDefault="00A02364" w:rsidP="001F08EB">
      <w:pPr>
        <w:pStyle w:val="2"/>
        <w:ind w:left="0" w:firstLine="720"/>
        <w:jc w:val="center"/>
        <w:outlineLvl w:val="0"/>
        <w:rPr>
          <w:sz w:val="24"/>
        </w:rPr>
      </w:pPr>
    </w:p>
    <w:p w:rsidR="00A02364" w:rsidRDefault="00A02364" w:rsidP="001F08EB">
      <w:pPr>
        <w:pStyle w:val="2"/>
        <w:ind w:left="0" w:firstLine="720"/>
        <w:jc w:val="center"/>
        <w:outlineLvl w:val="0"/>
        <w:rPr>
          <w:sz w:val="24"/>
        </w:rPr>
      </w:pPr>
      <w:r>
        <w:rPr>
          <w:sz w:val="24"/>
        </w:rPr>
        <w:t xml:space="preserve"> </w:t>
      </w:r>
      <w:bookmarkStart w:id="3" w:name="_Toc120959286"/>
      <w:r>
        <w:rPr>
          <w:sz w:val="24"/>
        </w:rPr>
        <w:t>Оценка: ___________________</w:t>
      </w:r>
      <w:bookmarkEnd w:id="3"/>
    </w:p>
    <w:p w:rsidR="00A02364" w:rsidRDefault="00A02364" w:rsidP="001F08EB">
      <w:pPr>
        <w:pStyle w:val="2"/>
        <w:ind w:left="0" w:firstLine="720"/>
        <w:jc w:val="center"/>
        <w:rPr>
          <w:sz w:val="24"/>
        </w:rPr>
      </w:pPr>
      <w:r>
        <w:rPr>
          <w:sz w:val="24"/>
        </w:rPr>
        <w:t xml:space="preserve"> Проверил: «___» _____________2011 г.</w:t>
      </w:r>
    </w:p>
    <w:p w:rsidR="00A02364" w:rsidRDefault="00A02364" w:rsidP="001F08EB">
      <w:pPr>
        <w:pStyle w:val="2"/>
        <w:ind w:left="0" w:firstLine="720"/>
        <w:jc w:val="center"/>
        <w:rPr>
          <w:sz w:val="24"/>
        </w:rPr>
      </w:pPr>
      <w:r>
        <w:rPr>
          <w:sz w:val="24"/>
        </w:rPr>
        <w:t xml:space="preserve"> Преподаватель: ____________</w:t>
      </w:r>
    </w:p>
    <w:p w:rsidR="00A02364" w:rsidRDefault="00A02364" w:rsidP="001F08EB">
      <w:pPr>
        <w:jc w:val="center"/>
        <w:rPr>
          <w:sz w:val="24"/>
        </w:rPr>
      </w:pPr>
    </w:p>
    <w:p w:rsidR="00A02364" w:rsidRDefault="00A02364" w:rsidP="001F08EB">
      <w:pPr>
        <w:pStyle w:val="a5"/>
        <w:ind w:firstLine="0"/>
        <w:outlineLvl w:val="0"/>
        <w:rPr>
          <w:sz w:val="24"/>
        </w:rPr>
      </w:pPr>
      <w:bookmarkStart w:id="4" w:name="_Toc120959287"/>
    </w:p>
    <w:p w:rsidR="00A02364" w:rsidRDefault="00A02364" w:rsidP="001F08EB">
      <w:pPr>
        <w:pStyle w:val="a5"/>
        <w:jc w:val="center"/>
        <w:outlineLvl w:val="0"/>
        <w:rPr>
          <w:sz w:val="24"/>
        </w:rPr>
      </w:pPr>
    </w:p>
    <w:p w:rsidR="00A02364" w:rsidRDefault="00A02364" w:rsidP="001F08EB">
      <w:pPr>
        <w:pStyle w:val="a5"/>
        <w:jc w:val="center"/>
        <w:outlineLvl w:val="0"/>
        <w:rPr>
          <w:sz w:val="24"/>
        </w:rPr>
      </w:pPr>
    </w:p>
    <w:p w:rsidR="00A02364" w:rsidRDefault="00A02364" w:rsidP="001F08EB">
      <w:pPr>
        <w:pStyle w:val="a5"/>
        <w:jc w:val="center"/>
        <w:outlineLvl w:val="0"/>
        <w:rPr>
          <w:sz w:val="24"/>
        </w:rPr>
      </w:pPr>
    </w:p>
    <w:p w:rsidR="00A02364" w:rsidRDefault="00A02364" w:rsidP="001F08EB">
      <w:pPr>
        <w:pStyle w:val="a5"/>
        <w:jc w:val="center"/>
        <w:outlineLvl w:val="0"/>
        <w:rPr>
          <w:sz w:val="24"/>
        </w:rPr>
      </w:pPr>
      <w:r>
        <w:rPr>
          <w:sz w:val="24"/>
        </w:rPr>
        <w:t>Екатеринбург</w:t>
      </w:r>
      <w:bookmarkEnd w:id="4"/>
      <w:r>
        <w:rPr>
          <w:sz w:val="24"/>
        </w:rPr>
        <w:t xml:space="preserve"> </w:t>
      </w:r>
    </w:p>
    <w:p w:rsidR="00A02364" w:rsidRDefault="00A02364" w:rsidP="001F08EB">
      <w:pPr>
        <w:pStyle w:val="a3"/>
        <w:ind w:left="0"/>
        <w:jc w:val="center"/>
        <w:rPr>
          <w:sz w:val="24"/>
        </w:rPr>
      </w:pPr>
      <w:r>
        <w:rPr>
          <w:sz w:val="24"/>
        </w:rPr>
        <w:t xml:space="preserve">2011 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708"/>
        <w:jc w:val="left"/>
      </w:pPr>
      <w:r>
        <w:t>Об экспортной специализации России.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708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В середине 90-х годов Россия оказалась перед выбором адекватной экспортной стратегии и оптимальных форм международного экономического сотрудничества, способных обеспечить стабильно высокий приток валюты и укрепление позиций страны на мировом рынке. От выбора экспортной стратегии зависят и средства ее реализации, меняются акценты при планировании и проведении мероприятий по стимулированию экспорта.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Современная международная специализация России сформировалась в основном в 70-е годы и определяется прежде всего ее топливно-сырьевыми ресурсами.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В то же время в первой половине 90-х годов положение в этом комплексе ухудшилось в результате сокращения объемов геолого-разведочных работ, неоптимальной эксплуатации имеющихся ресурсов и прогрессирующего старения мощностей.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Все это привносит элементы нестабильности в развитие экспорта страны, основанного на сырье, тем более что доля последнего в мировой торговле имеет тенденцию к снижению, а мировые цены на него подвержены резким колебаниям.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Тем не менее в ближайшей и среднесрочной перспективе российский экспорт сохранит топливно-сырьевую направленность, и задача состоит в укреплении материально-технической базы соответствующих отраслей.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Важным шагом в этом направлении станет оживление инвестиционной деятельности в топливно-сырьевых отраслях, в частности уже отмечено усиление активности крупного отечественного капитала в нефтегазовой промышленности, металлургии, базовой химии.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Необходимо развивать взаимовыгодное сотрудничество оборонной промышленности и сырьевых отраслей, способное обеспечить эти отрасли высококачественным оборудованием и передовыми технологиями, что в первую очередь касается топливно-энергетического и лесопромышленного комплексов.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С точки зрения повышения эффективности топливно-сырьевого экспорта особое значение имеют:</w:t>
      </w:r>
    </w:p>
    <w:p w:rsidR="00A02364" w:rsidRPr="001F08EB" w:rsidRDefault="00A02364" w:rsidP="001F08EB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увеличение глубины переработки и улучшение качества вывозимых за рубеж сырьевых товаров и полуфабрикатов; оптимизация ценовых и иных условий контрактов;</w:t>
      </w:r>
    </w:p>
    <w:p w:rsidR="00A02364" w:rsidRPr="001F08EB" w:rsidRDefault="00A02364" w:rsidP="001F08EB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гибкое маневрирование совокупным экспортным потенциалом сырьевых отраслей в зависимости от конъюнктуры на внешних рынках, в том числе путем создания, по мере появления у государства необходимых финансовых ресурсов, стабилизирующих экспортных резервов для оперативного реагирования на изменения мировых цен;</w:t>
      </w:r>
    </w:p>
    <w:p w:rsidR="00A02364" w:rsidRPr="001F08EB" w:rsidRDefault="00A02364" w:rsidP="001F08EB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совершенствование транспортной инфраструктуры в интересах снижения издержек по экспорту.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Дополнительные резервы развития сырьевого экспорта заключаются в государственной политике энергосбережения, суммарный потенциал которого составляет порядка 500 млн. тонн условного топлива, а также интенсивном взаимном сотрудничестве оборонной промышленности и сырьевых отраслей по производству оборудования для более качественной обработки первичных ресурсов.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Преобладание топливно-сырьевых товаров в российском экспорте является объективным отражением реальных и наиболее значимых конкурентных преимуществ России в международном разделении труда.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Вместе с тем интеграция России в мировую экономику в качестве равноправного партнера, усиление ее роли на внешних рынках невозможны без улучшения структуры и пропорций внешнеэкономического обмена в пользу повышения удельного веса готовой продукции, активного освоения более эффективных форм сотрудничества - производственной и научно-технической кооперации, инвестиционного сотрудничества, совместной реализации инновационных проектов и т.д.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Таким образом, основой долгосрочной экспортной стратегии России должен быть экспорт товаров высокой степени обработки, и в первую очередь машинотехнических изделий, на основе государственной поддержки.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С экспортом машинотехнической продукции связаны процессы модернизации и прогрессивной структурной перестройки народного хозяйства, увеличения занятости трудоспособного населения страны, а также усиления позиции страны в мировой экономике.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В то же время позиции российского машинотехнического экспорта за последние годы значительно ослабли. При общемировой тенденции к росту удельного веса продукции машиностроения в структуре международной торговли, достигающего 1/3 и более, отечественные поставки этой продукции в дальнее зарубежье сократились с 5,2 млрд. долларов США в 1991 году до 3,1 млрд. долларов США в 1994 году, а их доля в общей стоимости экспорта снизилась почти вдвое - до 6 процентов.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Динамика российского экспорта машин и оборудования свидетельствует не только об общей тенденции утраты Россией традиционных рынков, но и о крайне тяжелом положении отечественного машиностроения по сравнению с другими отраслями.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Ранее существовавшие конкурентные преимущества в производстве капиталоемкой, материалоемкой и энергоемкой машинотехнической продукции в значительной степени сведены на нет опережающим ростом цен на первичные ресурсы, ухудшением экономического положения производителей.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В этой связи определенное стимулирующее влияние на производителей готовой продукции, и в первую очередь машинотехнических изделий, окажут меры по сбалансированию внутреннего ценообразования, содержащиеся в Указе Президента Российской Федерации от 30 ноября 1995 г. N 1204 "О первоочередных мерах по поддержке экспортеров" и предусматривающие, что в первом полугодии 1996 г. среднемесячный рост цен на продукцию и услуги естественных монополий (тарифы на энергию, перевозку грузов и т.д.) не должен превышать среднемесячный рост индекса цен на промышленную продукцию в целом.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Для стабилизации и последующего роста экспорта машин и оборудования необходимы совместные усилия предприятий и государства в этой области, последовательная деятельность Правительства Российской Федерации в сфере экономической и внешнеэкономической политики.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Перспективным является создание при участии государства финансово-промышленных групп и консорциумов экспортной ориентации. Реализация конкретных экспортных проектов должна опираться на четкую оценку конкурентных преимуществ России, связанных как с дешевизной рабочей силы, так и с накопленным интеллектуальным и технологическим потенциалом, включающим в себя опережающие технические идеи и разработки оборонных производств и научно-исследовательских институтов.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Ближайшие задачи в развитии российского экспорта готовой промышленной продукции состоят в восстановлении утраченных позиций страны на внешних рынках. Однако не все государства - бывшие партнеры России смогут обеспечить платежеспособный спрос, особенно на машины и оборудование.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В этой связи в качестве предварительного условия развития сотрудничества выступает разработка адекватных механизмов его реализации.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С позиций расширения российского машинотехнического экспорта на традиционные рынки ближнего зарубежья важное значение имеют подписанные Россией и государствами - участниками СНГ соглашения об общих условиях и механизме поддержки и развития производственной кооперации и о льготном таможенном режиме для участников такой кооперации.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Сотрудничество с государствами - участниками СНГ важно с точки зрения восстановления хозяйственных связей, вовлечения России в интеграционные процессы и технологические цепочки нарождающихся межнациональных производственных комплексов.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Объективные предпосылки развития сотрудничества с государствами - участниками СНГ определяются наличием общей границы, транспортных артерий, хозяйственной инфраструктуры, схожего финансового устройства, культурных традиций и языка.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Необходимы усилия по расширению экспорта в относительно благополучные страны Восточной Европы, которые заинтересованы не только в сырье и энергоносителях, но и в создании сборочных производств, восстановлении и развитии кооперации, техническом обслуживании поставленного оборудования и т.д.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Перспективным направлением является активизация торгово-экономического сотрудничества с развивающимися странами, имеющими интерес к развитию технического содействия, получению технологического опыта и ноу-хау, товарных поставок.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При этом наибольшие возможности существуют для экспорта комплектного оборудования. Объем экспорта машинотехнической продукции и услуг в рамках технического содействия к 2000 году при условии целенаправленной государственной поддержки соответствующей деятельности можно было бы увеличить с 0,8 млрд. долларов США до 1,5 млрд. долларов США. Кроме восстановления утраченных позиций в этой области сотрудничества, экспорт в рамках технического содействия представляет собой вложение средств в развитие экспортного потенциала страны, и в первую очередь машиностроительных отраслей.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Одним из основных направлений сотрудничества России с зарубежными партнерами на ближайшую перспективу следует считать сооружение объектов энергетики, в том числе атомной, строительство и реконструкцию предприятий горнодобывающей, нефтеперерабатывающей, металлургической промышленности, транспорта, ирригации и др.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Расширение военно-технического сотрудничества с зарубежными странами является одним из наиболее мощных и эффективных рычагов развития наукоемкого машинотехнического экспорта.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В этой связи необходимо ускорить работу по подготовке федеральной программы военно-технического сотрудничества Российской Федерации с зарубежными странами на период до 2005 года, имея в виду активную государственную поддержку соответствующей деятельности.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Значительным является экспортный потенциал конверсионных производств, однако его эффективная реализация осложняется крайне неустойчивым финансовым положением соответствующих предприятий, отсутствием навыков маркетинга и специальных знаний в области внешнеэкономической деятельности и т.д.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Несмотря на ограниченные возможности по наращиванию совокупного экспорта страны в краткосрочной перспективе, эти предприятия способны внедряться на зарубежные рынки, в том числе и развитых стран, как с принципиально новой машинотехнической продукцией, так и с прогрессивными композиционными и специальными материалами, отдельными сложными узлами и агрегатами, другими изделиями, в которых воплощены опережающие технические идеи и решения.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Кроме "прорывных" разработок и технологий, уже имеющих устойчивый спрос на внешних рынках, возможно поэтапное налаживание конкурентоспособного массового производства на конверсионных предприятиях, включающее в себя работу по субконтрактам и заказам инофирм в целях приобретения опыта и навыков эффективной коммерческой деятельности и поддержки за счет получаемых валютных средств головных производств и программ НИОКР, насыщение внутреннего рынка высококачественной продукцией инвестиционного и потребительского назначения в условиях нарастающей конкурентной борьбы, с выходом через 5 - 10 лет на внешние рынки.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Существует также значительное число других отраслей и подотраслей материального производства, способных внести определенный вклад в наращивание объемов и совершенствование структуры продаж. К ним можно отнести химическую промышленность, промышленность строительных материалов, рыболовецкую и рыбоперерабатывающую промышленность, отдельные производства пищевой промышленности, заготовку товаров тибетской медицины (с ориентацией на страны Азиатско-Тихоокеанского региона) и др.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Определенные перспективы связаны с увеличением экспорта различных видов услуг, в том числе в области коммерческого освоения космоса, международного туризма, обучения иностранных граждан, осуществления транзитных перевозок и др. Более точные и развернутые отраслевые приоритеты по поддержке экспорта необходимо устанавливать в рамках ежегодной Федеральной программы развития внешнеторговой деятельности в разделе "Меры стимулирования промышленного экспорта".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Дополнительные возможности увеличения российского экспорта открываются при кооперации малых и крупных предприятий в производстве продукции, потенциально конкурентоспособной на внешнем рынке.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Это может быть как сотрудничество малых предприятий с традиционными экспортерами машинотехнических изделий, позволяющее последним не передавать на откуп иностранным посредникам доведение продукции до западных потребительских стандартов, поручая эти операции отечественным субподрядчикам, так и доработка небольшими инновационными фирмами технологичной и качественной продукции конверсионных производств в части экспортного дизайна и комплектации.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Определенную роль может сыграть мобилизация собственных экспортных возможностей малого предпринимательства и кустарных промыслов.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Важным элементом национальной экспортной стратегии является оптимальное использование различных форм международного экономического сотрудничества для развития экспортного потенциала страны.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Для России основной формой сотрудничества являются внешнеторговые операции. В последние годы получили распространение такие формы, как привлечение иностранных инвестиций и создание совместных предприятий, международных объединений и организаций, сотрудничество на компенсационной основе, кредитные соглашения, переработка давальческого сырья, лицензионная торговля, международный лизинг, инжиниринг, прибрежная и приграничная торговля, создание свободных экономических зон, компенсационные перевозки с участием более чем двух стран, иностранный туризм и др.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Мировой практике известно более двадцати основных форм экономического сотрудничества, причем многие формы применяются не в чистом виде, а в сочетании с другими формами. Каждая форма имеет свои организационные и экономические особенности, умелое использование которых в конкретных ситуациях может гарантировать наибольшую отдачу для российской стороны. Важно освободить отношение к различным формам международного экономического сотрудничества от излишней идеологизации, поскольку все они, при должной законодательной и организационной проработке, могут использоваться без угрозы суверенитету и экономической безопасности страны.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Важной задачей в этом направлении является создание условий для более широкого участия совместных предприятий непосредственно в производственной деятельности и особенно в области машиностроения, поскольку в настоящее время иностранные партнеры больше заинтересованы в осуществлении инвестиций в сферу услуг или в развитие ресурсной базы и модернизацию мощностей топливно-энергетического комплекса.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Определенное значение для развития экспортной базы России может иметь Федеральный закон "О соглашениях о разделе продукции", в том числе для вовлечения в хозяйственный оборот нефтегазовых месторождений шельфа Сахалина и Якутии. Актуальной является постановка вопроса о концессиях, в первую очередь применительно к разработке лесных ресурсов страны.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В настоящее время резко возрастает значимость активной внешнеэкономической политики для развития как сырьевого, так и машинотехнического экспорта. Включение России в систему мирового хозяйства, в том числе развитие ее экспорта, происходит на фоне усиления международной конкуренции.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Россия как экспортер все чаще сталкивается со скрытыми и явными формами противодействия со стороны группы промышленно развитых стран. Кроме того, в последнее время активизировали свою деятельность региональные интеграционные группировки, участники которых при общем положительном отношении к развитию сотрудничества с третьими странами ориентируются на всемерное укрепление внутрирегиональных связей, что может иметь неблагоприятные последствия для России.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В этой связи важную роль играет взвешенное определение географических приоритетов в экспортной деятельности, обеспечение баланса взаимных интересов в целях последовательного укрепления геоэкономического положения России.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При определении экспортной стратегии и ее тактических приоритетов необходимо исходить из того, что решающим фактором развития экспорта является повышение конкурентоспособности народного хозяйства, способствующее расширению ассортимента и совершенствованию товарной структуры.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Поэтому актуальной является разработка комплексной государственной программы повышения конкурентоспособности отечественной промышленной продукции, делающей упор на эффективные формы государственной финансовой и иной поддержки наиболее перспективных производств, смешанные государственно-коммерческие проекты, создание организационно-правовых и иных условий для притока частных, в том числе и иностранных, капиталов в освоение прогрессивных технологий и продукции.</w:t>
      </w:r>
    </w:p>
    <w:p w:rsidR="00A02364" w:rsidRPr="001F08EB" w:rsidRDefault="00A02364" w:rsidP="001F08E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8EB">
        <w:rPr>
          <w:sz w:val="24"/>
          <w:szCs w:val="24"/>
        </w:rPr>
        <w:t>Активная позиция государства в этих вопросах наряду с эффективным использованием, в рамках политики стимулирования экспорта, имеющихся конкурентных преимуществ (сырье, трудовые ресурсы, технологический и интеллектуальный потенциал) позволят России вернуть утраченные позиции на внешних рынках и занять достойное место в системе международного разделения труда.</w:t>
      </w:r>
    </w:p>
    <w:p w:rsidR="00A02364" w:rsidRPr="001F08EB" w:rsidRDefault="00A02364">
      <w:pPr>
        <w:rPr>
          <w:sz w:val="24"/>
          <w:szCs w:val="24"/>
        </w:rPr>
      </w:pPr>
      <w:bookmarkStart w:id="5" w:name="_GoBack"/>
      <w:bookmarkEnd w:id="5"/>
    </w:p>
    <w:sectPr w:rsidR="00A02364" w:rsidRPr="001F08EB" w:rsidSect="0048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B1509"/>
    <w:multiLevelType w:val="multilevel"/>
    <w:tmpl w:val="D5E6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08EB"/>
    <w:rsid w:val="001F08EB"/>
    <w:rsid w:val="00330436"/>
    <w:rsid w:val="0037589A"/>
    <w:rsid w:val="004854BE"/>
    <w:rsid w:val="00625A93"/>
    <w:rsid w:val="0079670A"/>
    <w:rsid w:val="007F5D94"/>
    <w:rsid w:val="00A02364"/>
    <w:rsid w:val="00AB2284"/>
    <w:rsid w:val="00B64BFD"/>
    <w:rsid w:val="00CC7D3D"/>
    <w:rsid w:val="00FA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9BBC91A-1512-4FD9-A501-8E248993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List 2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8EB"/>
    <w:pPr>
      <w:spacing w:line="360" w:lineRule="auto"/>
      <w:ind w:firstLine="720"/>
      <w:jc w:val="both"/>
    </w:pPr>
    <w:rPr>
      <w:rFonts w:ascii="Times New Roman" w:hAnsi="Times New Roman"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1F08EB"/>
    <w:pPr>
      <w:keepNext/>
      <w:spacing w:before="240" w:after="60"/>
      <w:outlineLvl w:val="2"/>
    </w:pPr>
    <w:rPr>
      <w:i/>
    </w:rPr>
  </w:style>
  <w:style w:type="paragraph" w:styleId="4">
    <w:name w:val="heading 4"/>
    <w:basedOn w:val="a"/>
    <w:next w:val="a"/>
    <w:link w:val="40"/>
    <w:qFormat/>
    <w:rsid w:val="001F08EB"/>
    <w:pPr>
      <w:keepNext/>
      <w:spacing w:before="240" w:after="60"/>
      <w:jc w:val="center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1F08EB"/>
    <w:rPr>
      <w:rFonts w:ascii="Times New Roman" w:hAnsi="Times New Roman" w:cs="Times New Roman"/>
      <w:i/>
      <w:color w:val="000000"/>
      <w:sz w:val="28"/>
      <w:szCs w:val="28"/>
      <w:lang w:val="x-none" w:eastAsia="ru-RU"/>
    </w:rPr>
  </w:style>
  <w:style w:type="character" w:customStyle="1" w:styleId="40">
    <w:name w:val="Заголовок 4 Знак"/>
    <w:basedOn w:val="a0"/>
    <w:link w:val="4"/>
    <w:locked/>
    <w:rsid w:val="001F08EB"/>
    <w:rPr>
      <w:rFonts w:ascii="Times New Roman" w:hAnsi="Times New Roman" w:cs="Times New Roman"/>
      <w:color w:val="000000"/>
      <w:sz w:val="28"/>
      <w:szCs w:val="28"/>
      <w:lang w:val="x-none" w:eastAsia="ru-RU"/>
    </w:rPr>
  </w:style>
  <w:style w:type="paragraph" w:styleId="2">
    <w:name w:val="List 2"/>
    <w:basedOn w:val="a"/>
    <w:rsid w:val="001F08EB"/>
    <w:pPr>
      <w:ind w:left="566" w:hanging="283"/>
    </w:pPr>
  </w:style>
  <w:style w:type="paragraph" w:styleId="a3">
    <w:name w:val="Body Text Indent"/>
    <w:basedOn w:val="a"/>
    <w:link w:val="a4"/>
    <w:rsid w:val="001F08E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locked/>
    <w:rsid w:val="001F08EB"/>
    <w:rPr>
      <w:rFonts w:ascii="Times New Roman" w:hAnsi="Times New Roman" w:cs="Times New Roman"/>
      <w:color w:val="000000"/>
      <w:sz w:val="28"/>
      <w:szCs w:val="28"/>
      <w:lang w:val="x-none" w:eastAsia="ru-RU"/>
    </w:rPr>
  </w:style>
  <w:style w:type="paragraph" w:styleId="a5">
    <w:name w:val="Body Text"/>
    <w:basedOn w:val="a"/>
    <w:link w:val="a6"/>
    <w:rsid w:val="001F08EB"/>
    <w:pPr>
      <w:spacing w:after="120"/>
    </w:pPr>
  </w:style>
  <w:style w:type="character" w:customStyle="1" w:styleId="a6">
    <w:name w:val="Основной текст Знак"/>
    <w:basedOn w:val="a0"/>
    <w:link w:val="a5"/>
    <w:locked/>
    <w:rsid w:val="001F08EB"/>
    <w:rPr>
      <w:rFonts w:ascii="Times New Roman" w:hAnsi="Times New Roman" w:cs="Times New Roman"/>
      <w:color w:val="000000"/>
      <w:sz w:val="28"/>
      <w:szCs w:val="28"/>
      <w:lang w:val="x-none" w:eastAsia="ru-RU"/>
    </w:rPr>
  </w:style>
  <w:style w:type="paragraph" w:styleId="a7">
    <w:name w:val="Balloon Text"/>
    <w:basedOn w:val="a"/>
    <w:link w:val="a8"/>
    <w:semiHidden/>
    <w:rsid w:val="001F08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1F08EB"/>
    <w:rPr>
      <w:rFonts w:ascii="Tahoma" w:hAnsi="Tahoma" w:cs="Tahoma"/>
      <w:color w:val="000000"/>
      <w:sz w:val="16"/>
      <w:szCs w:val="16"/>
      <w:lang w:val="x-none" w:eastAsia="ru-RU"/>
    </w:rPr>
  </w:style>
  <w:style w:type="paragraph" w:styleId="a9">
    <w:name w:val="Normal (Web)"/>
    <w:basedOn w:val="a"/>
    <w:semiHidden/>
    <w:rsid w:val="001F08EB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частное учреждение</vt:lpstr>
    </vt:vector>
  </TitlesOfParts>
  <Company/>
  <LinksUpToDate>false</LinksUpToDate>
  <CharactersWithSpaces>16844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частное учреждение</dc:title>
  <dc:subject/>
  <dc:creator>Дом</dc:creator>
  <cp:keywords/>
  <dc:description/>
  <cp:lastModifiedBy>admin</cp:lastModifiedBy>
  <cp:revision>2</cp:revision>
  <dcterms:created xsi:type="dcterms:W3CDTF">2014-04-05T21:45:00Z</dcterms:created>
  <dcterms:modified xsi:type="dcterms:W3CDTF">2014-04-05T21:45:00Z</dcterms:modified>
</cp:coreProperties>
</file>