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96" w:rsidRDefault="006F5596" w:rsidP="00380EB2">
      <w:pPr>
        <w:jc w:val="center"/>
        <w:rPr>
          <w:sz w:val="32"/>
          <w:szCs w:val="32"/>
        </w:rPr>
      </w:pPr>
    </w:p>
    <w:p w:rsidR="009A6D32" w:rsidRDefault="009A6D32" w:rsidP="00380EB2">
      <w:pPr>
        <w:jc w:val="center"/>
        <w:rPr>
          <w:sz w:val="32"/>
          <w:szCs w:val="32"/>
        </w:rPr>
      </w:pPr>
      <w:r>
        <w:rPr>
          <w:sz w:val="32"/>
          <w:szCs w:val="32"/>
        </w:rPr>
        <w:t>ФЕДЕРАЛЬНОЕ АГЕНСТВО ПО ОБРАЗОВАНИЮ</w:t>
      </w:r>
    </w:p>
    <w:p w:rsidR="009A6D32" w:rsidRDefault="009A6D32" w:rsidP="00380EB2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РОССИЙСКОЙ ФЕДЕРАЦИИ</w:t>
      </w:r>
    </w:p>
    <w:p w:rsidR="009A6D32" w:rsidRDefault="009A6D32" w:rsidP="00380EB2">
      <w:pPr>
        <w:jc w:val="center"/>
        <w:rPr>
          <w:sz w:val="32"/>
          <w:szCs w:val="32"/>
        </w:rPr>
      </w:pPr>
    </w:p>
    <w:p w:rsidR="009A6D32" w:rsidRDefault="009A6D32" w:rsidP="00380E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НОВОШАХТИНСКИЙ ФИЛИАЛ </w:t>
      </w:r>
    </w:p>
    <w:p w:rsidR="009A6D32" w:rsidRDefault="009A6D32" w:rsidP="00380EB2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ГОСУДАРСТВЕННОГО ОБРАЗОВАТЕЛЬНОГО УЧРЕЖДЕНИЯ</w:t>
      </w:r>
    </w:p>
    <w:p w:rsidR="009A6D32" w:rsidRDefault="009A6D32" w:rsidP="00380EB2">
      <w:pPr>
        <w:jc w:val="center"/>
        <w:rPr>
          <w:sz w:val="32"/>
          <w:szCs w:val="32"/>
        </w:rPr>
      </w:pPr>
      <w:r>
        <w:rPr>
          <w:sz w:val="32"/>
          <w:szCs w:val="32"/>
        </w:rPr>
        <w:t>ВЫСШЕГО ПРОФЕССИОНАЛЬНОГО ОБРАЗОВАНИЯ</w:t>
      </w:r>
    </w:p>
    <w:p w:rsidR="009A6D32" w:rsidRDefault="009A6D32" w:rsidP="00380EB2">
      <w:pPr>
        <w:jc w:val="center"/>
        <w:rPr>
          <w:sz w:val="32"/>
          <w:szCs w:val="32"/>
        </w:rPr>
      </w:pPr>
      <w:r>
        <w:rPr>
          <w:sz w:val="32"/>
          <w:szCs w:val="32"/>
        </w:rPr>
        <w:t>«ЮЖНЫЙ ФЕДЕРАЛЬНЫЙ УНИВЕРСИТЕТ»</w:t>
      </w:r>
    </w:p>
    <w:p w:rsidR="009A6D32" w:rsidRDefault="009A6D32" w:rsidP="00380EB2">
      <w:pPr>
        <w:jc w:val="center"/>
        <w:rPr>
          <w:sz w:val="32"/>
          <w:szCs w:val="32"/>
        </w:rPr>
      </w:pPr>
    </w:p>
    <w:p w:rsidR="009A6D32" w:rsidRDefault="009A6D32" w:rsidP="00380EB2">
      <w:pPr>
        <w:jc w:val="center"/>
        <w:rPr>
          <w:sz w:val="32"/>
          <w:szCs w:val="32"/>
        </w:rPr>
      </w:pPr>
    </w:p>
    <w:p w:rsidR="009A6D32" w:rsidRDefault="009A6D32" w:rsidP="00380EB2">
      <w:pPr>
        <w:jc w:val="center"/>
        <w:rPr>
          <w:sz w:val="32"/>
          <w:szCs w:val="32"/>
        </w:rPr>
      </w:pPr>
    </w:p>
    <w:p w:rsidR="009A6D32" w:rsidRPr="00866289" w:rsidRDefault="009A6D32" w:rsidP="00380EB2">
      <w:pPr>
        <w:jc w:val="center"/>
        <w:rPr>
          <w:b/>
          <w:sz w:val="36"/>
          <w:szCs w:val="36"/>
        </w:rPr>
      </w:pPr>
      <w:r w:rsidRPr="00866289">
        <w:rPr>
          <w:b/>
          <w:sz w:val="36"/>
          <w:szCs w:val="36"/>
        </w:rPr>
        <w:t>Отчет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 w:rsidRPr="00866289">
        <w:rPr>
          <w:sz w:val="28"/>
          <w:szCs w:val="28"/>
        </w:rPr>
        <w:t>По</w:t>
      </w:r>
      <w:r>
        <w:rPr>
          <w:sz w:val="32"/>
          <w:szCs w:val="32"/>
        </w:rPr>
        <w:t>________________________________________________________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 w:rsidRPr="00866289">
        <w:rPr>
          <w:sz w:val="28"/>
          <w:szCs w:val="28"/>
        </w:rPr>
        <w:t>на</w:t>
      </w:r>
      <w:r>
        <w:rPr>
          <w:sz w:val="32"/>
          <w:szCs w:val="32"/>
        </w:rPr>
        <w:t>________________________________________________________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 w:rsidRPr="00866289">
        <w:rPr>
          <w:sz w:val="28"/>
          <w:szCs w:val="28"/>
        </w:rPr>
        <w:t>Студентки</w:t>
      </w:r>
      <w:r>
        <w:rPr>
          <w:sz w:val="32"/>
          <w:szCs w:val="32"/>
        </w:rPr>
        <w:t>___________________</w:t>
      </w:r>
      <w:r w:rsidRPr="00866289">
        <w:rPr>
          <w:sz w:val="28"/>
          <w:szCs w:val="28"/>
        </w:rPr>
        <w:t>курса</w:t>
      </w:r>
      <w:r>
        <w:rPr>
          <w:sz w:val="32"/>
          <w:szCs w:val="32"/>
        </w:rPr>
        <w:t>_____________________</w:t>
      </w:r>
      <w:r w:rsidRPr="00866289">
        <w:rPr>
          <w:sz w:val="28"/>
          <w:szCs w:val="28"/>
        </w:rPr>
        <w:t>группы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 w:rsidRPr="00866289">
        <w:rPr>
          <w:sz w:val="28"/>
          <w:szCs w:val="28"/>
        </w:rPr>
        <w:t>Фамилия</w:t>
      </w:r>
      <w:r>
        <w:rPr>
          <w:sz w:val="32"/>
          <w:szCs w:val="32"/>
        </w:rPr>
        <w:t>_______________</w:t>
      </w:r>
      <w:r w:rsidRPr="00866289">
        <w:rPr>
          <w:sz w:val="28"/>
          <w:szCs w:val="28"/>
        </w:rPr>
        <w:t>Имя</w:t>
      </w:r>
      <w:r>
        <w:rPr>
          <w:sz w:val="32"/>
          <w:szCs w:val="32"/>
        </w:rPr>
        <w:t>____________</w:t>
      </w:r>
      <w:r w:rsidRPr="00866289">
        <w:rPr>
          <w:sz w:val="28"/>
          <w:szCs w:val="28"/>
        </w:rPr>
        <w:t>Отчество</w:t>
      </w:r>
      <w:r>
        <w:rPr>
          <w:sz w:val="32"/>
          <w:szCs w:val="32"/>
        </w:rPr>
        <w:t>______________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 w:rsidRPr="00866289">
        <w:rPr>
          <w:sz w:val="28"/>
          <w:szCs w:val="28"/>
        </w:rPr>
        <w:t>Руководитель практики от НШФ ЮФУ</w:t>
      </w:r>
      <w:r>
        <w:rPr>
          <w:sz w:val="32"/>
          <w:szCs w:val="32"/>
        </w:rPr>
        <w:t>_____________________________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 w:rsidRPr="00866289">
        <w:rPr>
          <w:sz w:val="28"/>
          <w:szCs w:val="28"/>
        </w:rPr>
        <w:t>Руководитель практики от предприятия</w:t>
      </w:r>
      <w:r>
        <w:rPr>
          <w:sz w:val="32"/>
          <w:szCs w:val="32"/>
        </w:rPr>
        <w:t>____________________________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 w:rsidRPr="00866289">
        <w:rPr>
          <w:b/>
          <w:sz w:val="32"/>
          <w:szCs w:val="32"/>
        </w:rPr>
        <w:t>Оценка</w:t>
      </w:r>
      <w:r>
        <w:rPr>
          <w:sz w:val="32"/>
          <w:szCs w:val="32"/>
        </w:rPr>
        <w:t>___________________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  <w:r>
        <w:rPr>
          <w:sz w:val="32"/>
          <w:szCs w:val="32"/>
        </w:rPr>
        <w:t>Дата защиты______________</w:t>
      </w: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380EB2">
      <w:pPr>
        <w:rPr>
          <w:sz w:val="32"/>
          <w:szCs w:val="32"/>
        </w:rPr>
      </w:pPr>
    </w:p>
    <w:p w:rsidR="009A6D32" w:rsidRDefault="009A6D32" w:rsidP="00866289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Новошахтинск 2009</w:t>
      </w:r>
    </w:p>
    <w:p w:rsidR="009A6D32" w:rsidRDefault="009A6D32" w:rsidP="00866289">
      <w:pPr>
        <w:jc w:val="center"/>
        <w:rPr>
          <w:sz w:val="32"/>
          <w:szCs w:val="32"/>
        </w:rPr>
      </w:pPr>
    </w:p>
    <w:p w:rsidR="009A6D32" w:rsidRDefault="009A6D32" w:rsidP="00866289">
      <w:pPr>
        <w:jc w:val="center"/>
        <w:rPr>
          <w:sz w:val="32"/>
          <w:szCs w:val="32"/>
        </w:rPr>
      </w:pP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 w:rsidRPr="00EC1E1A">
        <w:rPr>
          <w:sz w:val="28"/>
          <w:szCs w:val="28"/>
        </w:rPr>
        <w:t>ВВЕДЕНИЕ……………………………………………………………</w:t>
      </w:r>
      <w:r>
        <w:rPr>
          <w:sz w:val="28"/>
          <w:szCs w:val="28"/>
        </w:rPr>
        <w:t>…….</w:t>
      </w:r>
      <w:r w:rsidRPr="00EC1E1A">
        <w:rPr>
          <w:sz w:val="28"/>
          <w:szCs w:val="28"/>
        </w:rPr>
        <w:t>……</w:t>
      </w:r>
      <w:r>
        <w:rPr>
          <w:sz w:val="28"/>
          <w:szCs w:val="28"/>
        </w:rPr>
        <w:t>3</w:t>
      </w:r>
    </w:p>
    <w:p w:rsidR="009A6D32" w:rsidRPr="00EC1E1A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EC1E1A">
        <w:rPr>
          <w:sz w:val="28"/>
          <w:szCs w:val="28"/>
        </w:rPr>
        <w:t>ОБЩАЯ ХАРАКТЕРИСТИКА ПРЕДПРИТИЯ……</w:t>
      </w:r>
      <w:r>
        <w:rPr>
          <w:sz w:val="28"/>
          <w:szCs w:val="28"/>
        </w:rPr>
        <w:t>..</w:t>
      </w:r>
      <w:r w:rsidRPr="00EC1E1A">
        <w:rPr>
          <w:sz w:val="28"/>
          <w:szCs w:val="28"/>
        </w:rPr>
        <w:t>………………………..</w:t>
      </w:r>
      <w:r>
        <w:rPr>
          <w:sz w:val="28"/>
          <w:szCs w:val="28"/>
        </w:rPr>
        <w:t>4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1.1 Положения о дополнительном офисе №5190/038 Родионо-  Несветайского отделения №5190 Сбербанка России...........................................4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1.2Задачи и функции дополнительного офиса……………………………….5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1.3Организаия работы дополнительного офиса………...……………………7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1.4Управление дополнительным офисом………………………………...…..8</w:t>
      </w:r>
    </w:p>
    <w:p w:rsidR="009A6D32" w:rsidRPr="00EC1E1A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EC1E1A">
        <w:rPr>
          <w:sz w:val="28"/>
          <w:szCs w:val="28"/>
        </w:rPr>
        <w:t>ДОЛЖНОСТНЫЕ ОБЯЗАННОСТИ КОНТРОЛЕРА-КАССИРА</w:t>
      </w:r>
      <w:r>
        <w:rPr>
          <w:sz w:val="28"/>
          <w:szCs w:val="28"/>
        </w:rPr>
        <w:t>…………..9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3.ЕДИНЫЙ СОЦИАЛЬНЫЙ НАЛОГ……………………………...…………..11             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3.1</w:t>
      </w:r>
      <w:r w:rsidRPr="00CF5830">
        <w:rPr>
          <w:bCs/>
          <w:iCs/>
          <w:color w:val="000000"/>
          <w:sz w:val="28"/>
          <w:szCs w:val="28"/>
        </w:rPr>
        <w:t>Порядок исчисления, порядок и сроки уплаты ЕСН плательщи</w:t>
      </w:r>
      <w:r w:rsidRPr="00CF5830">
        <w:rPr>
          <w:bCs/>
          <w:iCs/>
          <w:color w:val="000000"/>
          <w:sz w:val="28"/>
          <w:szCs w:val="28"/>
        </w:rPr>
        <w:softHyphen/>
        <w:t>ками, производящими выплаты физическим лицам</w:t>
      </w:r>
      <w:r>
        <w:rPr>
          <w:bCs/>
          <w:iCs/>
          <w:color w:val="000000"/>
          <w:sz w:val="28"/>
          <w:szCs w:val="28"/>
        </w:rPr>
        <w:t>………….</w:t>
      </w:r>
      <w:r>
        <w:rPr>
          <w:sz w:val="28"/>
          <w:szCs w:val="28"/>
        </w:rPr>
        <w:t>……………………...14</w:t>
      </w:r>
    </w:p>
    <w:p w:rsidR="009A6D32" w:rsidRPr="00EE4A55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3.2</w:t>
      </w:r>
      <w:r w:rsidRPr="00EE4A55">
        <w:rPr>
          <w:iCs/>
          <w:color w:val="000000"/>
          <w:sz w:val="28"/>
          <w:szCs w:val="28"/>
        </w:rPr>
        <w:t xml:space="preserve"> </w:t>
      </w:r>
      <w:r w:rsidRPr="00812247">
        <w:rPr>
          <w:iCs/>
          <w:color w:val="000000"/>
          <w:sz w:val="28"/>
          <w:szCs w:val="28"/>
        </w:rPr>
        <w:t>Порядок исчисления и уплаты налога плательщиками, не про</w:t>
      </w:r>
      <w:r w:rsidRPr="00812247">
        <w:rPr>
          <w:iCs/>
          <w:color w:val="000000"/>
          <w:sz w:val="28"/>
          <w:szCs w:val="28"/>
        </w:rPr>
        <w:softHyphen/>
        <w:t>изводящими выплаты и вознаграждения в пользу физических ли</w:t>
      </w:r>
      <w:r w:rsidRPr="00EE4A55">
        <w:rPr>
          <w:iCs/>
          <w:color w:val="000000"/>
          <w:sz w:val="28"/>
          <w:szCs w:val="28"/>
        </w:rPr>
        <w:t>ц.</w:t>
      </w:r>
      <w:r w:rsidRPr="00EE4A55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………………………………………………………………...…...16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ВЫВОД…………………………………………………………………………...18</w:t>
      </w:r>
    </w:p>
    <w:p w:rsidR="009A6D32" w:rsidRPr="00EC1E1A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ПРИЛОЖЕНИЯ………………………………………………………………….20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ЛИТЕРАТУРЫ…………………………………………………….....23</w:t>
      </w: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ВВДЕНИЕ</w:t>
      </w:r>
    </w:p>
    <w:p w:rsidR="009A6D32" w:rsidRDefault="009A6D32" w:rsidP="00E07AF4">
      <w:pPr>
        <w:pStyle w:val="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 практики - закрепление теоретических знаний, полученных при изучении общепрофессиональных и специальных дисциплин; приобретение практических навыков по управлению финансами, организации денежного обращения.</w:t>
      </w:r>
    </w:p>
    <w:p w:rsidR="009A6D32" w:rsidRPr="00D32F59" w:rsidRDefault="009A6D32" w:rsidP="00E07AF4">
      <w:pPr>
        <w:pStyle w:val="1"/>
        <w:spacing w:line="360" w:lineRule="auto"/>
        <w:ind w:firstLine="709"/>
        <w:rPr>
          <w:sz w:val="28"/>
          <w:szCs w:val="28"/>
        </w:rPr>
      </w:pPr>
      <w:r w:rsidRPr="00D32F59">
        <w:rPr>
          <w:sz w:val="28"/>
          <w:szCs w:val="28"/>
        </w:rPr>
        <w:t xml:space="preserve">Основанный в 1841 г. Сбербанк России сегодня - современный универсальный банк, удовлетворяющий потребности различных групп клиентов в широком спектре банковских услуг. Сбербанк занимает крупнейшую долю на рынке вкладов и является основным кредитором российской экономики. Сбербанк России обладает уникальной </w:t>
      </w:r>
      <w:hyperlink r:id="rId7" w:history="1">
        <w:r w:rsidRPr="00D32F59">
          <w:rPr>
            <w:sz w:val="28"/>
            <w:szCs w:val="28"/>
          </w:rPr>
          <w:t>филиальной</w:t>
        </w:r>
        <w:r w:rsidRPr="00D32F59">
          <w:rPr>
            <w:color w:val="0000FF"/>
            <w:sz w:val="28"/>
            <w:szCs w:val="28"/>
            <w:u w:val="single"/>
          </w:rPr>
          <w:t xml:space="preserve"> </w:t>
        </w:r>
        <w:r w:rsidRPr="00D32F59">
          <w:rPr>
            <w:sz w:val="28"/>
            <w:szCs w:val="28"/>
          </w:rPr>
          <w:t>сетью</w:t>
        </w:r>
      </w:hyperlink>
      <w:r w:rsidRPr="00D32F59">
        <w:rPr>
          <w:sz w:val="28"/>
          <w:szCs w:val="28"/>
        </w:rPr>
        <w:t xml:space="preserve"> и в настоящее время в нее входят 17 территориальных банков и более 20 000 подразделений по всей стране. Рассматривая международный вектор как важнейшую составляющую стратегии своего развития, Сбербанк России осуществляет казначейские операции на международном рынке и операции торгового финансирования, поддерживает корреспондентские отношения с более чем 220 ведущими банками мира и участвует в деятельности ряда авторитетных международных организаций, представляющих интересы мирового банковского сообщества. Активная позиция и международный авторитет позволяют Сбербанку России наиболее полно удовлетворять внешнеэкономические запросы своих клиентов, привлекать на выгодных условиях ресурсы с мировых финансовых рынков и соответствовать лучшей практике, принятой в международном банковском сообществе. </w:t>
      </w:r>
      <w:r>
        <w:rPr>
          <w:sz w:val="28"/>
          <w:szCs w:val="28"/>
        </w:rPr>
        <w:t xml:space="preserve"> О</w:t>
      </w:r>
      <w:r w:rsidRPr="00D32F59">
        <w:rPr>
          <w:sz w:val="28"/>
          <w:szCs w:val="28"/>
        </w:rPr>
        <w:t xml:space="preserve">дной из главных стратегических задач является существенное повышение клиентоориентированности банка. Вот почему основной вектор движения </w:t>
      </w:r>
      <w:r>
        <w:rPr>
          <w:sz w:val="28"/>
          <w:szCs w:val="28"/>
        </w:rPr>
        <w:t>-</w:t>
      </w:r>
      <w:r w:rsidRPr="00D32F59">
        <w:rPr>
          <w:sz w:val="28"/>
          <w:szCs w:val="28"/>
        </w:rPr>
        <w:t>выстраивание технологических процессов под запросы клиентов</w:t>
      </w:r>
      <w:r>
        <w:rPr>
          <w:sz w:val="28"/>
          <w:szCs w:val="28"/>
        </w:rPr>
        <w:t>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90378C">
      <w:pPr>
        <w:pStyle w:val="10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 ХАРАКТЕРИСТИКА ПРЕДПРИТИЯ</w:t>
      </w:r>
    </w:p>
    <w:p w:rsidR="009A6D32" w:rsidRPr="0090378C" w:rsidRDefault="009A6D32" w:rsidP="0090378C">
      <w:pPr>
        <w:pStyle w:val="10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0378C">
        <w:rPr>
          <w:sz w:val="28"/>
          <w:szCs w:val="28"/>
        </w:rPr>
        <w:t xml:space="preserve">ОБЩИЕ ПОЛОЖНИЯ О ДОПОЛНИТЕЛЬНОМ ОФИСЕ №5190/038 </w:t>
      </w:r>
      <w:r>
        <w:rPr>
          <w:sz w:val="28"/>
          <w:szCs w:val="28"/>
        </w:rPr>
        <w:t>РОДИОНО-НЕСВЕТАЙСКОГО ОТДЕЛЕНИЯ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Место нахождения дополнительного  офиса: 346905 Ростовская область, г.Новошахтинск, ул.Радио, дом №4, помещение 1.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Дополнительный офис является специализированным по обслуживанию физических лиц внутренним структурным подразделением отделения, расположенным вне его местонахождения.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Организационные мероприятия по открытию (закрытию) дополнительных офисов осуществляет территориальный банк (отделение -  в случае делегирования ему соответствующих полномочий).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Дополнительный офис входит в единую систему Банка и организационно подчиняется Родионо-Несветайскому отделению № 5190 Сбербанка России. Он не имеет  отдельного баланса. Операции, осуществляемые дополнительным офисом, отражаются в балансе отделения.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В своей деятельности дополнительный офис руководствуется законодательством Российской Федерации, иными нормативными правовыми актами, в том числе нормативными актами Банка Росси, Уставом банка, Положением о филиале Акционерного коммерческого Сберегательного банка Российской Федерации открытого акционерного общества Радионово-Несветайском отделении №5190, нормативными и распорядительными документами банка, территориального банк и  отделения и Положением.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Дополнительный офис осуществляет от имени банка банковские операции и сделки, предусмотренные положением. Ответственность по обязательствам перед клиентами, вытекающим из деятельности дополнительного офиса, несет банк.</w:t>
      </w: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D4656E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И ФНКЦИИ ДОПОЛНИТЕЛЬНОГО ОФИСА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Основными задачами дополнительного офиса являются: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увеличение объема продаж банковских продуктов и услуг,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расширение клиентской базы,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укрепление имиджа банка, в том числе путем улучшения качества обслуживания клиентов.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Для решения стоящих перед дополнительным офисом задач он выполняет следующие функции: 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организация работы с физическими лицами,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осуществление работы по привлечению в банк и на расчетно-кассовое обслуживание клиентов, по продаже банковских продуктов и услуг (кредиты, депозиты, векселя и иные  продукты),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формирование и своевременное предоставление в отделение первичных документов и требуемой отчетности,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консультирование клиентов,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         - разработка предложений по изменению порядка реализации действующих банковских продуктов и услуг и внедрению новых,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         - подготовка предложений по изменению  режима работы дополнительного офиса с целью улучшения качества обслуживания клиентов,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         -  проведение необходимого контроля операций клиентов, осуществление необходимых мер по предотвращению операционных, финансовых и кредитных  рисков, возникающих в деятельности дополнительного офиса или доведение информации о них до отделения, и обеспечивает: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1) повышение культуры обслуживания клиентов и квалификации работников,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2) оказание всего спектра банковских  операций и услуг клиентам, предусмотренных Положением,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3) своевременное информирование клиентов о новых банковских продуктах и услугах,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4) наглядность, доступность и соответствие  требованиям Банка банковской атрибутики, внешних и внутренних информационных и рекламных материалов.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32"/>
          <w:szCs w:val="32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4656E">
        <w:rPr>
          <w:sz w:val="28"/>
          <w:szCs w:val="28"/>
        </w:rPr>
        <w:t>ОРГАНИЗАЦ</w:t>
      </w:r>
      <w:r>
        <w:rPr>
          <w:sz w:val="28"/>
          <w:szCs w:val="28"/>
        </w:rPr>
        <w:t>ИЯ РАБОТЫ ДОПОЛНИТЕЛЬНОГО ОФИСА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Деятельность дополнительного офиса осуществляется на основе устанавливаемых отделением плановых заданий.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Отношения дополнительного офиса с клиентами  строятся на основе договоров и иных документов и иных документов, оформляемых в порядке  и на условиях, установленных банком, с обязательным использованием форм договоров и других документов, утвержденных банком в соответствии с законодательством Российской Федерации.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Дополнительный офис гарантирует тайну об операциях, о счетах и вкладах клиентов банка, а также об иных сведениях, отнесенных правлением банка и коммерческой тайне. Справки по операциям и сетам клиентов могут быть представлены только самим клиентам или их представителям. Государственным органам и их должностным лицам такие сведения  могут быть предоставлены исключительно в случаях и порядке, предусмотренных законом.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Дополнительный офис имеет установленный режим работы, определяемый в соответствии с утвержденным в территориальном банке порядком.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D4656E">
        <w:rPr>
          <w:sz w:val="28"/>
          <w:szCs w:val="28"/>
        </w:rPr>
        <w:t>У</w:t>
      </w:r>
      <w:r>
        <w:rPr>
          <w:sz w:val="28"/>
          <w:szCs w:val="28"/>
        </w:rPr>
        <w:t>ПРАВЛЕНИЕ ДОПОЛНИТЕЛЬНЫМ ОФИСОМ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Руководство текущей деятельностью дополнительного офиса осуществляет заведующий дополнительным офисом. Он действует на основании доверенности, выданной ему в порядке, установленном банком и территориальным банком. В своей деятельности заведующий дополнительным офисом непосредственно подчиняется управляющему отделением, несет ответственность за работу дополнительного офиса и за решение возложенных на него задач, а так же заключает договоры с клиентами на осуществление дополнительным офисом  банковских операций и сделок.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Исполнение обязанностей заведующего дополнительным офисом в его  отсутствие осуществляется на основании соответствующего распорядительного документа управляющего отделением, сотрудником отделения или дополнительного офиса. 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2457DD" w:rsidRDefault="009A6D32" w:rsidP="002457DD">
      <w:pPr>
        <w:pStyle w:val="1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457DD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ОБЯЗАННОСТИ КОНТРОЛЕРА-КАССИРА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Контролер-кассир осуществляет функции и банковские операции, а так же выполняет поручения руководства в рамках своей компетенции  и должностной инструкции.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Текущие обязанности контролера-кассира  устанавливают заведующим дополнительным офисом или лицом его заменяющим, в соответствии с текущими планами работ и должностной инструкции.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Контролер-кассир: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 своевременно и качественно обслуживает клиентов дополнительного офиса, соблюдает операционно-кассовые правила, правила  работы с денежной наличностью и другими ценностями.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обеспечивает сохранность вверенных  ему наличных денег и других ценностей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обеспечивает сохранность имущества, закрепленного за дополнительным офисом.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выполнение  требований по информационной безопасности.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соблюдение лимита денежной наличности, действующего в течении операционного дня на рабочем месте и др.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Также осуществляет следующие операции по обслуживанию физических лиц: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прием документов на выпуск международных банковских карт, выдача и обслуживание международных банковских карт Сбербанка России, ведение информационной базы счетов банковских карт и резервных счетов,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операции по вкладам и счетам, а также денежным переводам и расчетно-кассовому обслуживанию физических лиц.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Контролер-кассир  несет ответственность за: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своевременное и качественное обслуживание клиентов дополнительного офиса,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соблюдение  правил работы с денежной наличностью и другими ценностями,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сохранность и безопасность иных материальных ценностей,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соблюдение конфиденциальности, правил внутреннего трудового распорядка, трудового распорядка, трудовой дисциплины, правил охраны труда и техники безопасности, правил пожарной безопасности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обеспечение сохранности банковской тайны, связанной как с деятельности банка, так и его клиентами.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В своей служебной деятельности контролер-кассир подчиняется непосредственно заведующему дополнительным офисом или лицу его замещающему.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Назначается и освобождается от должности  контролер-кассир приказом территориального банка в  установленном банком порядке.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В своей служебной деятельности контролер-кассир  руководствуется: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законами, указами Президента Российской Федерации, постановлениями, распоряжениями исполнительных органов, действующими на территории Российской Федерации, и относящимися  к деятельности  подразделения,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приказами, инструкциями и иными нормативными актами банка России, относящимися к деятельности подразделения,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нормативными документами Сбербанка России, обязательными к исполнению всеми работниками, положением о филиале, Положением о дополнительном офисе территориального банка, нормативными и распорядительными документами по территориальному банку, настоящей инструкцией и распоряжениями руководства.</w:t>
      </w: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3E4A89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 w:rsidRPr="003E4A89">
        <w:rPr>
          <w:sz w:val="28"/>
          <w:szCs w:val="28"/>
        </w:rPr>
        <w:t>3.ЕДИНЫЙ СОЦИАЛЬНЫЙ НАЛОГ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 w:rsidRPr="003E4A89">
        <w:rPr>
          <w:sz w:val="28"/>
          <w:szCs w:val="28"/>
        </w:rPr>
        <w:t>С 1 января 2001 г. Введен единый социальный налог. Этот налог зачисляется в Пенсионный фонд, Фонд социального страхования и фонды обязательного медицинского страхования.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Плательщиками налога признаются:</w:t>
      </w:r>
    </w:p>
    <w:p w:rsidR="009A6D32" w:rsidRDefault="009A6D32" w:rsidP="003E4A89">
      <w:pPr>
        <w:pStyle w:val="1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Лица, производящие выплаты физическим лицам:</w:t>
      </w:r>
    </w:p>
    <w:p w:rsidR="009A6D32" w:rsidRDefault="009A6D32" w:rsidP="003E4A89">
      <w:pPr>
        <w:pStyle w:val="1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</w:t>
      </w:r>
    </w:p>
    <w:p w:rsidR="009A6D32" w:rsidRDefault="009A6D32" w:rsidP="003E4A89">
      <w:pPr>
        <w:pStyle w:val="1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предприниматели,</w:t>
      </w:r>
    </w:p>
    <w:p w:rsidR="009A6D32" w:rsidRDefault="009A6D32" w:rsidP="003E4A89">
      <w:pPr>
        <w:pStyle w:val="1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лица, не признаваемые  индивидуальными предпринимателями,</w:t>
      </w:r>
    </w:p>
    <w:p w:rsidR="009A6D32" w:rsidRDefault="009A6D32" w:rsidP="003E4A89">
      <w:pPr>
        <w:pStyle w:val="1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предприниматели, адвокаты. 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крестьянского хозяйства приравниваются к индивидуальным предпринимателям.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плательщик одновременно относится к нескольким  перечисленным категориям, он исчисляет и уплачивает налог по каждому основанию.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 налога, а так же налоговая база определяются по-разному в зависимости от категории плательщика.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налоговой базы выплаты и  иные вознаграждения в натуральной форме в виде товаров учитываются как их стоимость на день выплаты, исчисленная исходя из рыночных цен, а при государственном регулировании цен – исходя из государственных регулируемых розничных цен. При этом в стоимость  товаров включается сумма НДС, а для подакцизных товаров и сумма акцизов.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выплаты не признаются объектом налогообложения, если они производятся из средств, остающихся у организации после уплаты налога на прибыль, или средств, оставшихся у индивидуального предпринимателя либо физического лица после уплаты налога на доходы физических лиц.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выплат, не подлежащих обложению, определяемые НК РФ: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1)государственные пособия, выплачиваемые в соответствии с законодательством, - по временной нетрудоспособности, по уходу за больным ребенком, по безработице, беременности и родам,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2)суммы страховых платежей  по обязательному страхованию работников, осуществляемому плательщиком в установленном порядке, суммы платежей плательщика по договорам добровольного личного страхования работников, заключаемый на срок не менее года, предусматривающим оплату страховщиками медицинских расходов этих застрахованных лиц,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3)стоимость проезда работников и членов и  семей к месту проведения отпуска и обратно, оплачиваемая работодателем лицам, работающим и проживающим в районах Крайнего Севера и приравненных к нам местностях,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4)стоимость форменной одежды  и обмундирования, выдаваемых работникам, обучающимся, воспитанникам в соответствии с законодательством РФ бесплатно или  с частичной оплатой и остающихся в личном постоянном пользовании,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5)суммы оплаты труда и другие суммы в иностранной валюте, выплачиваемые своими работниками, а так же военнослужащими, направленным на работу за границу, налогоплательщиками, финансируемыми из федерального бюджета государственными учреждениями или организациями, - в пределах законодательно установленных размеров и др.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налоговую базу не включаются так же любые вознаграждения, выплачиваемые работниками по договорам  гражданско-правового характера, авторским и лицензионным договорам.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устанавливает ряд льгот по единому социальному налогу. От уплаты налога освобождаются: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любых организационно-правовых форм – с сумм выплат и иных вознаграждений, не превышающих в течение налогового периода 100 тыс. руб. на каждое физическое лицо, являющееся инвалидом </w:t>
      </w:r>
      <w:r>
        <w:rPr>
          <w:sz w:val="28"/>
          <w:szCs w:val="28"/>
          <w:lang w:val="en-US"/>
        </w:rPr>
        <w:t>I</w:t>
      </w:r>
      <w:r w:rsidRPr="0031773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или</w:t>
      </w:r>
      <w:r w:rsidRPr="003177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группы,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следующие категории работодателей – с сумм выплат и иных вознаграждений, не превышающих 10000 руб. в течение налогового периода на каждого отдельного работника: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1.общественные организации инвалидов, среди членов которых инвалиды и их законные представители составляют не менее 80%, их региональные и местные отделения,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2.организации, уставный капитал которых полностью состоит из  вкладов общественных организаций инвалидов и в которых средне списочная численность инвалидов составляет не менее 50%, а доля заработной платы инвалидов  в фонде оплаты труда составляет не менее 25%,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3.прелприниматели и адвокаты, не производящие выплаты физическим лицам, являющиеся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2040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или</w:t>
      </w:r>
      <w:r w:rsidRPr="002040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группы, в части доходов от их предпринимательской и иной профессиональной деятельности в размере, не превышающем 100 тыс.руб. в течение налогового периода.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Налоговым периодом признается календарный год, а отчетным периодом – календарный месяц.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Ставки социального налога, так же как и объект и база обложения, зависят от категории плательщика. Так, лицам, производящими выплаты физическим лицам, применяются ставки, приведенные в приложении 1.</w:t>
      </w:r>
    </w:p>
    <w:p w:rsidR="009A6D32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сельскохозяйственный товаропроизводителей, применяются ставки , приведенные в приложении 2.</w:t>
      </w:r>
    </w:p>
    <w:p w:rsidR="009A6D32" w:rsidRPr="0020405F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предпринимателей, не осуществляющих выплаты физическим лицам, применяются ставки, приведенные в приложении 3.</w:t>
      </w:r>
    </w:p>
    <w:p w:rsidR="009A6D32" w:rsidRPr="00354F7F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Не только объект, налоговая база и ставки ЕСН зависят от категории плательщиков. От категории плательщиков зависит также порядок исчисления и уплаты этого налога.</w:t>
      </w:r>
    </w:p>
    <w:p w:rsidR="009A6D32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iCs/>
          <w:color w:val="000000"/>
          <w:sz w:val="28"/>
          <w:szCs w:val="28"/>
        </w:rPr>
      </w:pPr>
    </w:p>
    <w:p w:rsidR="009A6D32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3.1.ПОРЯДОК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ИСЧИСЛЕНИЯ</w:t>
      </w:r>
      <w:r w:rsidRPr="00983FDF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>ПОРЯДОК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СРОКИ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УПЛАТЫ</w:t>
      </w:r>
      <w:r w:rsidRPr="00983FDF">
        <w:rPr>
          <w:bCs/>
          <w:iCs/>
          <w:color w:val="000000"/>
          <w:sz w:val="28"/>
          <w:szCs w:val="28"/>
        </w:rPr>
        <w:t xml:space="preserve"> ЕСН </w:t>
      </w:r>
      <w:r>
        <w:rPr>
          <w:bCs/>
          <w:iCs/>
          <w:color w:val="000000"/>
          <w:sz w:val="28"/>
          <w:szCs w:val="28"/>
        </w:rPr>
        <w:t>ПЛАТЕЛЬЩИКАМИ</w:t>
      </w:r>
      <w:r w:rsidRPr="00983FDF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>ПРОИЗВОДЯЩИМИ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ВЫПЛАТЫ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ФИЗИЦЕСКИМ ЛИЦАМ</w:t>
      </w:r>
    </w:p>
    <w:p w:rsidR="009A6D32" w:rsidRPr="00354F7F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Сумма налога исчисляется и уплачивается плательщиками отдельно в феде</w:t>
      </w:r>
      <w:r w:rsidRPr="00354F7F">
        <w:rPr>
          <w:color w:val="000000"/>
          <w:sz w:val="28"/>
          <w:szCs w:val="28"/>
        </w:rPr>
        <w:softHyphen/>
        <w:t>ральный бюджет и каждый фонд.</w:t>
      </w:r>
    </w:p>
    <w:p w:rsidR="009A6D32" w:rsidRPr="00354F7F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В течение отчетного периода по итогам каждого календарно</w:t>
      </w:r>
      <w:r w:rsidRPr="00354F7F">
        <w:rPr>
          <w:color w:val="000000"/>
          <w:sz w:val="28"/>
          <w:szCs w:val="28"/>
        </w:rPr>
        <w:softHyphen/>
        <w:t>го месяца плательщики производят исчисление ежемесячных авансовых платежей, исходя из величины выплат и иных возна</w:t>
      </w:r>
      <w:r w:rsidRPr="00354F7F">
        <w:rPr>
          <w:color w:val="000000"/>
          <w:sz w:val="28"/>
          <w:szCs w:val="28"/>
        </w:rPr>
        <w:softHyphen/>
        <w:t>граждений, начисленных (осуществленных — для плательщи</w:t>
      </w:r>
      <w:r w:rsidRPr="00354F7F">
        <w:rPr>
          <w:color w:val="000000"/>
          <w:sz w:val="28"/>
          <w:szCs w:val="28"/>
        </w:rPr>
        <w:softHyphen/>
        <w:t>ков — физических лиц) с начала налогового периода до оконча</w:t>
      </w:r>
      <w:r w:rsidRPr="00354F7F">
        <w:rPr>
          <w:color w:val="000000"/>
          <w:sz w:val="28"/>
          <w:szCs w:val="28"/>
        </w:rPr>
        <w:softHyphen/>
        <w:t>ния соответствующего календарного месяца, и ставки. Сумма ежемесячного авансового платежа за отчетный период опреде</w:t>
      </w:r>
      <w:r w:rsidRPr="00354F7F">
        <w:rPr>
          <w:color w:val="000000"/>
          <w:sz w:val="28"/>
          <w:szCs w:val="28"/>
        </w:rPr>
        <w:softHyphen/>
        <w:t>ляется с учетом ранее уплаченных сумм ежемесячных авансовых платежей. Их уплата производится не позднее 15-го числа сле</w:t>
      </w:r>
      <w:r w:rsidRPr="00354F7F">
        <w:rPr>
          <w:color w:val="000000"/>
          <w:sz w:val="28"/>
          <w:szCs w:val="28"/>
        </w:rPr>
        <w:softHyphen/>
        <w:t>дующего месяца.</w:t>
      </w:r>
    </w:p>
    <w:p w:rsidR="009A6D32" w:rsidRPr="00354F7F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Данные о суммах исчисленных, а также уплаченных авансо</w:t>
      </w:r>
      <w:r w:rsidRPr="00354F7F">
        <w:rPr>
          <w:color w:val="000000"/>
          <w:sz w:val="28"/>
          <w:szCs w:val="28"/>
        </w:rPr>
        <w:softHyphen/>
        <w:t>вых платежей, данные о сумме вычета, а также о суммах факти</w:t>
      </w:r>
      <w:r w:rsidRPr="00354F7F">
        <w:rPr>
          <w:color w:val="000000"/>
          <w:sz w:val="28"/>
          <w:szCs w:val="28"/>
        </w:rPr>
        <w:softHyphen/>
        <w:t>чески уплаченных страховых взносов за тот же период платель</w:t>
      </w:r>
      <w:r w:rsidRPr="00354F7F">
        <w:rPr>
          <w:color w:val="000000"/>
          <w:sz w:val="28"/>
          <w:szCs w:val="28"/>
        </w:rPr>
        <w:softHyphen/>
        <w:t>щик отражает в расчете, представляемом не позднее 20-го чис</w:t>
      </w:r>
      <w:r w:rsidRPr="00354F7F">
        <w:rPr>
          <w:color w:val="000000"/>
          <w:sz w:val="28"/>
          <w:szCs w:val="28"/>
        </w:rPr>
        <w:softHyphen/>
        <w:t>ла месяца, следующего за отчетным периодом.</w:t>
      </w:r>
    </w:p>
    <w:p w:rsidR="009A6D32" w:rsidRPr="00354F7F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Уплата налога (авансовых платежей) осуществляется от</w:t>
      </w:r>
      <w:r w:rsidRPr="00354F7F">
        <w:rPr>
          <w:color w:val="000000"/>
          <w:sz w:val="28"/>
          <w:szCs w:val="28"/>
        </w:rPr>
        <w:softHyphen/>
        <w:t>дельными платежными поручениями в федеральный бюджет, ФСС РФ, ФФОМС и ТФОМС.</w:t>
      </w:r>
    </w:p>
    <w:p w:rsidR="009A6D32" w:rsidRPr="00354F7F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Плательщики представляют декларацию не позднее 30 марта года, следующего за истекшим налоговым периодом. Ее копию с отметкой налогового органа или иным документом, подтвер</w:t>
      </w:r>
      <w:r w:rsidRPr="00354F7F">
        <w:rPr>
          <w:color w:val="000000"/>
          <w:sz w:val="28"/>
          <w:szCs w:val="28"/>
        </w:rPr>
        <w:softHyphen/>
        <w:t>ждающим представление декларации, плательщик не позднее 1 июля года, следующего за истекшим налоговым периодом, представляет в территориальный орган ПФ РФ.</w:t>
      </w:r>
    </w:p>
    <w:p w:rsidR="009A6D32" w:rsidRPr="00354F7F" w:rsidRDefault="009A6D32" w:rsidP="00983F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Обособленные подразделения, имеющие отдельный баланс, счет и начисляющие выплаты и вознаграждения в пользу физи</w:t>
      </w:r>
      <w:r w:rsidRPr="00354F7F">
        <w:rPr>
          <w:color w:val="000000"/>
          <w:sz w:val="28"/>
          <w:szCs w:val="28"/>
        </w:rPr>
        <w:softHyphen/>
        <w:t>ческих лиц, исполняют обязанности организации по уплате на</w:t>
      </w:r>
      <w:r w:rsidRPr="00354F7F">
        <w:rPr>
          <w:color w:val="000000"/>
          <w:sz w:val="28"/>
          <w:szCs w:val="28"/>
        </w:rPr>
        <w:softHyphen/>
        <w:t>лога (авансовых платежей), а также обязанности по представле</w:t>
      </w:r>
      <w:r w:rsidRPr="00354F7F">
        <w:rPr>
          <w:color w:val="000000"/>
          <w:sz w:val="28"/>
          <w:szCs w:val="28"/>
        </w:rPr>
        <w:softHyphen/>
        <w:t>нию расчетов по налогу и деклараций по месту своего нахожде</w:t>
      </w:r>
      <w:r w:rsidRPr="00354F7F">
        <w:rPr>
          <w:color w:val="000000"/>
          <w:sz w:val="28"/>
          <w:szCs w:val="28"/>
        </w:rPr>
        <w:softHyphen/>
        <w:t>ния. Сумма налога (авансового платежа), подлежащая уплате по месту нахождения подразделения, определяется исходя из вели</w:t>
      </w:r>
      <w:r w:rsidRPr="00354F7F">
        <w:rPr>
          <w:color w:val="000000"/>
          <w:sz w:val="28"/>
          <w:szCs w:val="28"/>
        </w:rPr>
        <w:softHyphen/>
        <w:t>чины базы, относящейся к этому подразделению. Сумма нало</w:t>
      </w:r>
      <w:r w:rsidRPr="00354F7F">
        <w:rPr>
          <w:color w:val="000000"/>
          <w:sz w:val="28"/>
          <w:szCs w:val="28"/>
        </w:rPr>
        <w:softHyphen/>
        <w:t>га, подлежащая уплате по месту нахождения организации, в со</w:t>
      </w:r>
      <w:r w:rsidRPr="00354F7F">
        <w:rPr>
          <w:color w:val="000000"/>
          <w:sz w:val="28"/>
          <w:szCs w:val="28"/>
        </w:rPr>
        <w:softHyphen/>
        <w:t>став которой входят подразделения, определяется как разница между общей суммой налога, подлежащей уплате организацией в целом, и совокупной суммой налога, подлежащей уплате по месту нахождения ее подразделений.</w:t>
      </w:r>
    </w:p>
    <w:p w:rsidR="009A6D32" w:rsidRPr="00354F7F" w:rsidRDefault="009A6D32" w:rsidP="00983FDF">
      <w:pPr>
        <w:spacing w:line="360" w:lineRule="auto"/>
        <w:ind w:firstLine="709"/>
        <w:rPr>
          <w:sz w:val="28"/>
          <w:szCs w:val="28"/>
        </w:rPr>
      </w:pPr>
      <w:r w:rsidRPr="00354F7F">
        <w:rPr>
          <w:color w:val="000000"/>
          <w:sz w:val="28"/>
          <w:szCs w:val="28"/>
        </w:rPr>
        <w:t>В случае прекращения деятельности в качестве предпринима</w:t>
      </w:r>
      <w:r w:rsidRPr="00354F7F">
        <w:rPr>
          <w:color w:val="000000"/>
          <w:sz w:val="28"/>
          <w:szCs w:val="28"/>
        </w:rPr>
        <w:softHyphen/>
        <w:t>теля до конца налогового периода плательщики обязаны в пя</w:t>
      </w:r>
      <w:r w:rsidRPr="00354F7F">
        <w:rPr>
          <w:color w:val="000000"/>
          <w:sz w:val="28"/>
          <w:szCs w:val="28"/>
        </w:rPr>
        <w:softHyphen/>
        <w:t>тидневный срок со дня подачи в регистрирующий орган заявле</w:t>
      </w:r>
      <w:r w:rsidRPr="00354F7F">
        <w:rPr>
          <w:color w:val="000000"/>
          <w:sz w:val="28"/>
          <w:szCs w:val="28"/>
        </w:rPr>
        <w:softHyphen/>
        <w:t>ния о прекращении деятельности представить в налоговый орган декларацию за период с начала налогового периода по день по</w:t>
      </w:r>
      <w:r w:rsidRPr="00354F7F">
        <w:rPr>
          <w:color w:val="000000"/>
          <w:sz w:val="28"/>
          <w:szCs w:val="28"/>
        </w:rPr>
        <w:softHyphen/>
        <w:t>дачи указанного заявления. Разница между суммой налога, под</w:t>
      </w:r>
      <w:r w:rsidRPr="00354F7F">
        <w:rPr>
          <w:color w:val="000000"/>
          <w:sz w:val="28"/>
          <w:szCs w:val="28"/>
        </w:rPr>
        <w:softHyphen/>
        <w:t>лежащей уплате в соответствии с декларацией, и суммами нало</w:t>
      </w:r>
      <w:r w:rsidRPr="00354F7F">
        <w:rPr>
          <w:color w:val="000000"/>
          <w:sz w:val="28"/>
          <w:szCs w:val="28"/>
        </w:rPr>
        <w:softHyphen/>
        <w:t>га, уплаченными с начала года, подлежит уплате не позднее 15 дней со дня подачи такой декларации или возврату платель</w:t>
      </w:r>
      <w:r w:rsidRPr="00354F7F">
        <w:rPr>
          <w:color w:val="000000"/>
          <w:sz w:val="28"/>
          <w:szCs w:val="28"/>
        </w:rPr>
        <w:softHyphen/>
        <w:t>щику</w:t>
      </w: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9A6D32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3.2.ПОРЯДОК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ИСЧИСЛЕНИЯ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И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УПЛАТЫ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НАЛОГА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ПЛАТЕЛЬЩИКАМИ</w:t>
      </w:r>
      <w:r w:rsidRPr="00812247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НЕ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ПРОИЗВОДЯЩИМИ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ВЫПЛАТЫ</w:t>
      </w:r>
      <w:r w:rsidRPr="00983FDF">
        <w:rPr>
          <w:bCs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И ВОЗНОГРАЖДЕНИЯ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ПОЛЬЗУ</w:t>
      </w:r>
      <w:r w:rsidRPr="0081224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ФИЗИЧЕСКИХ ЛИЦ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i/>
          <w:iCs/>
          <w:color w:val="000000"/>
          <w:sz w:val="28"/>
          <w:szCs w:val="28"/>
        </w:rPr>
        <w:t xml:space="preserve"> </w:t>
      </w:r>
      <w:r w:rsidRPr="00812247">
        <w:rPr>
          <w:color w:val="000000"/>
          <w:sz w:val="28"/>
          <w:szCs w:val="28"/>
        </w:rPr>
        <w:t>Расчет сумм авансовых платежей, подлежащих уплате в течение на</w:t>
      </w:r>
      <w:r w:rsidRPr="00812247">
        <w:rPr>
          <w:color w:val="000000"/>
          <w:sz w:val="28"/>
          <w:szCs w:val="28"/>
        </w:rPr>
        <w:softHyphen/>
        <w:t>логового периода предпринимателями и адвокатами, производит</w:t>
      </w:r>
      <w:r w:rsidRPr="00812247">
        <w:rPr>
          <w:color w:val="000000"/>
          <w:sz w:val="28"/>
          <w:szCs w:val="28"/>
        </w:rPr>
        <w:softHyphen/>
        <w:t>ся налоговым органом исходя из базы плательщика за предыдущий налоговый период и ставок, если не предусмотрено иное.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>Авансовые платежи уплачиваются плательщиком на основа</w:t>
      </w:r>
      <w:r w:rsidRPr="00812247">
        <w:rPr>
          <w:color w:val="000000"/>
          <w:sz w:val="28"/>
          <w:szCs w:val="28"/>
        </w:rPr>
        <w:softHyphen/>
        <w:t>нии налоговых уведомлений: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>•   за январь—июнь — не позднее 15</w:t>
      </w:r>
      <w:r>
        <w:rPr>
          <w:color w:val="000000"/>
          <w:sz w:val="28"/>
          <w:szCs w:val="28"/>
        </w:rPr>
        <w:t xml:space="preserve"> июля текущего года в раз</w:t>
      </w:r>
      <w:r>
        <w:rPr>
          <w:color w:val="000000"/>
          <w:sz w:val="28"/>
          <w:szCs w:val="28"/>
        </w:rPr>
        <w:softHyphen/>
        <w:t xml:space="preserve">мере </w:t>
      </w:r>
      <w:r>
        <w:rPr>
          <w:color w:val="000000"/>
        </w:rPr>
        <w:t>1/2</w:t>
      </w:r>
      <w:r w:rsidRPr="00812247">
        <w:rPr>
          <w:color w:val="000000"/>
          <w:sz w:val="28"/>
          <w:szCs w:val="28"/>
        </w:rPr>
        <w:t xml:space="preserve"> годовой суммы авансовых платежей;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 xml:space="preserve">•   за июль—сентябрь — не позднее 15 октября в размере </w:t>
      </w:r>
      <w:r>
        <w:rPr>
          <w:color w:val="000000"/>
          <w:sz w:val="28"/>
          <w:szCs w:val="28"/>
        </w:rPr>
        <w:t>1/4</w:t>
      </w:r>
      <w:r w:rsidRPr="00812247">
        <w:rPr>
          <w:color w:val="000000"/>
          <w:sz w:val="28"/>
          <w:szCs w:val="28"/>
        </w:rPr>
        <w:t xml:space="preserve"> годовой суммы авансовых платежей;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 xml:space="preserve">•   за октябрь—декабрь — не позднее 15 января следующего года в размере </w:t>
      </w:r>
      <w:r>
        <w:rPr>
          <w:color w:val="000000"/>
          <w:sz w:val="28"/>
          <w:szCs w:val="28"/>
        </w:rPr>
        <w:t>1/4</w:t>
      </w:r>
      <w:r w:rsidRPr="00812247">
        <w:rPr>
          <w:color w:val="000000"/>
          <w:sz w:val="28"/>
          <w:szCs w:val="28"/>
        </w:rPr>
        <w:t xml:space="preserve"> годовой суммы авансовых платежей. Расчет налога по итогам налогового периода производится предпринимателями самостоятельно, исходя из всех полученных в периоде доходов с учетом расходов, связанных с их извлече</w:t>
      </w:r>
      <w:r w:rsidRPr="00812247">
        <w:rPr>
          <w:color w:val="000000"/>
          <w:sz w:val="28"/>
          <w:szCs w:val="28"/>
        </w:rPr>
        <w:softHyphen/>
        <w:t>нием, и ставок. При этом сумма налога исчисляется отдельно в отношении каждого фонда и определяется как соответствующая процентная доля базы.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>Разница между суммами авансовых платежей, уплаченными за налоговый период, и суммой налога, подлежащей уплате в со</w:t>
      </w:r>
      <w:r w:rsidRPr="00812247">
        <w:rPr>
          <w:color w:val="000000"/>
          <w:sz w:val="28"/>
          <w:szCs w:val="28"/>
        </w:rPr>
        <w:softHyphen/>
        <w:t>ответствии с декларацией, уплачивается до 15 июля следующего года либо подлежит зачету в счет предстоящих платежей по на</w:t>
      </w:r>
      <w:r w:rsidRPr="00812247">
        <w:rPr>
          <w:color w:val="000000"/>
          <w:sz w:val="28"/>
          <w:szCs w:val="28"/>
        </w:rPr>
        <w:softHyphen/>
        <w:t>логу или возврату плательщику.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>Предприниматели и адвокаты представляют декларацию до 30 апреля следующего года. При этом адвокаты обязаны пред</w:t>
      </w:r>
      <w:r w:rsidRPr="00812247">
        <w:rPr>
          <w:color w:val="000000"/>
          <w:sz w:val="28"/>
          <w:szCs w:val="28"/>
        </w:rPr>
        <w:softHyphen/>
        <w:t>ставить в налоговый орган справку от коллегии адвокатов, адвокатского бюро или юридической консультации о суммах уплаченного за них налога за истекший год.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>В случае прекращения деятельности в качестве предпринима</w:t>
      </w:r>
      <w:r w:rsidRPr="00812247">
        <w:rPr>
          <w:color w:val="000000"/>
          <w:sz w:val="28"/>
          <w:szCs w:val="28"/>
        </w:rPr>
        <w:softHyphen/>
        <w:t>теля до конца года плательщики обязаны в 5-дневный срок со дня подачи в регистрирующий орган заявления о прекращении деятельности представить в налоговый орган декларацию за пе</w:t>
      </w:r>
      <w:r w:rsidRPr="00812247">
        <w:rPr>
          <w:color w:val="000000"/>
          <w:sz w:val="28"/>
          <w:szCs w:val="28"/>
        </w:rPr>
        <w:softHyphen/>
        <w:t>риод с начала года по день подачи заявления.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>В случае прекращения либо приостановления статуса адвока</w:t>
      </w:r>
      <w:r w:rsidRPr="00812247">
        <w:rPr>
          <w:color w:val="000000"/>
          <w:sz w:val="28"/>
          <w:szCs w:val="28"/>
        </w:rPr>
        <w:softHyphen/>
        <w:t>та плательщики обязаны в 12-дневный срок со дня принятия ре</w:t>
      </w:r>
      <w:r w:rsidRPr="00812247">
        <w:rPr>
          <w:color w:val="000000"/>
          <w:sz w:val="28"/>
          <w:szCs w:val="28"/>
        </w:rPr>
        <w:softHyphen/>
        <w:t>шения уполномоченным органом представить в налоговый орган декларацию за период с начала года по день прекращения либо приостановления статуса адвоката.</w:t>
      </w:r>
    </w:p>
    <w:p w:rsidR="009A6D32" w:rsidRPr="00812247" w:rsidRDefault="009A6D32" w:rsidP="00CD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12247">
        <w:rPr>
          <w:color w:val="000000"/>
          <w:sz w:val="28"/>
          <w:szCs w:val="28"/>
        </w:rPr>
        <w:t>Уплата налога, исчисленного по представляемой декларации (с учетом начисленных авансовых платежей по истекшим сро</w:t>
      </w:r>
      <w:r w:rsidRPr="00812247">
        <w:rPr>
          <w:color w:val="000000"/>
          <w:sz w:val="28"/>
          <w:szCs w:val="28"/>
        </w:rPr>
        <w:softHyphen/>
        <w:t>кам уплаты), производится не позднее 15 дней со дня подачи де</w:t>
      </w:r>
      <w:r w:rsidRPr="00812247">
        <w:rPr>
          <w:color w:val="000000"/>
          <w:sz w:val="28"/>
          <w:szCs w:val="28"/>
        </w:rPr>
        <w:softHyphen/>
        <w:t>кларации.</w:t>
      </w:r>
    </w:p>
    <w:p w:rsidR="009A6D32" w:rsidRPr="003E4A89" w:rsidRDefault="009A6D32" w:rsidP="003E4A89">
      <w:pPr>
        <w:pStyle w:val="1"/>
        <w:spacing w:line="360" w:lineRule="auto"/>
        <w:jc w:val="both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Сбербанк России является крупнейшим банком Российской Федерации и СНГ. Его активы составляют четверть банковской системы страны,  а доля в банковском капитале находится на уровне 30%. По данным журнала </w:t>
      </w:r>
      <w:r w:rsidRPr="00D4656E">
        <w:rPr>
          <w:i/>
          <w:iCs/>
          <w:sz w:val="28"/>
          <w:szCs w:val="28"/>
        </w:rPr>
        <w:t xml:space="preserve">The Banker </w:t>
      </w:r>
      <w:r w:rsidRPr="00D4656E">
        <w:rPr>
          <w:sz w:val="28"/>
          <w:szCs w:val="28"/>
        </w:rPr>
        <w:t xml:space="preserve">(1 июля 2008 г.), Сбербанк занимал 33 место по размеру основного капитала (капитала 1-го уровня) среди крупнейших банков мира. 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За последние годы банком проведена большая работа, которая обеспечила окончательное формирование четырех основных групп конкурентных преимуществ  банка, а именно: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значительная клиентская база во всех сегментах клиентов (корпоративные и розничные, крупные и мелкие клиенты) и во всех регионах страны,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масштаб операций, как с точки зрения финансовых показателей, так и сточки зрения количества и качества физической инфраструктуры,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бренд и репутация банка, в первую очередь, связанные с огромным ресурсом доверия банку со стороны всех категорий клиентов,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- коллектив банка и значительный накопительный опыт. Большое количество  опытных квалифицированных специалистов  во всех регионах России, огромный управленческий опыт в рамках одной из самых  масштабных  организаций в мире, процессы и системы, которые в целом справляются с задачами уникального масштаба и сложности. 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В то же время, работа банка  на сегодняшний день связана с рядом серьезных недостатков, без преодоления которых нельзя говорить о реализации его  потенциала развития. К ним относятся: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низкая эффективность использования двух важнейших конкурентных преимуществ банка: сбытовой сети и клиентской базы, что связано с  недостаточной организацией клиентской работы  и неразвитыми навыками и системами продаж и обслуживания. Проявлением этого является  низкий уровень  доходов от многих продуктов, недостаточный охват потенциальной клиентской базы.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низкое качество обслуживания с точки зрения скорости принятия решений, сложности процессов и процедур, уровня общения и взаимодействия между банком и клиентом, а так же  удобства и функциональности филиалов банка. По мнению клиентов, банк существенно отстает  по уровню обслуживания от основных конкурентов.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исключительно низкий уровень производительности труда. По этому показателю банк сильно проигрывает не только банкам развитых стран, но и банкам развивающихся рынков. Основные причины этого: излишняя громоздкость и сложность бизнес-процессов, низкий уровень специализации и разделения труда, отсутствие унификации бизнес-процессов в масштабе банка, что делает невозможным использование экономии на масштабах и внедрение современных информационных технологий, низкий уровень автоматизации и большое количество ручного труда. В результате, многие из систем и процессов банка плохо масштабируемы, а рост объемов бизнеса не приводит к росту эффективности.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>- недостаточно эффективные и затратные системы управления рисками. Большинство из них сегодня являются распределенными, недостаточно формализованными и плохо масштабируемыми. Также в ряде случаев баланс между контролем рисков и доходностью слишком сильно  смещен в сторону недопущения рисков. В результате, банк несет высокие расходы на осуществление контроля, которые не дают ожидаемой отдачи, и недополучает доходы.</w:t>
      </w:r>
    </w:p>
    <w:p w:rsidR="009A6D32" w:rsidRPr="00D4656E" w:rsidRDefault="009A6D32" w:rsidP="00D4656E">
      <w:pPr>
        <w:pStyle w:val="1"/>
        <w:spacing w:line="360" w:lineRule="auto"/>
        <w:ind w:firstLine="709"/>
        <w:rPr>
          <w:sz w:val="28"/>
          <w:szCs w:val="28"/>
        </w:rPr>
      </w:pPr>
      <w:r w:rsidRPr="00D4656E">
        <w:rPr>
          <w:sz w:val="28"/>
          <w:szCs w:val="28"/>
        </w:rPr>
        <w:t xml:space="preserve">- слабые стороны корпоративной культуры банка, и , прежде всего, избыточный бюрократизм, недостаточная ответственность за итоговый результат работы банка и качество клиентской работы, недостаточное стремление к совершенствованию и развитию. </w:t>
      </w: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D4656E">
      <w:pPr>
        <w:spacing w:line="360" w:lineRule="auto"/>
        <w:ind w:firstLine="709"/>
        <w:rPr>
          <w:sz w:val="28"/>
          <w:szCs w:val="28"/>
        </w:rPr>
      </w:pPr>
    </w:p>
    <w:p w:rsidR="009A6D32" w:rsidRDefault="009A6D32" w:rsidP="00590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9A6D32" w:rsidRPr="00D4656E" w:rsidRDefault="009A6D32" w:rsidP="00590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tbl>
      <w:tblPr>
        <w:tblpPr w:leftFromText="180" w:rightFromText="180" w:vertAnchor="text" w:tblpY="1"/>
        <w:tblOverlap w:val="never"/>
        <w:tblW w:w="7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8"/>
        <w:gridCol w:w="966"/>
        <w:gridCol w:w="1344"/>
        <w:gridCol w:w="1929"/>
        <w:gridCol w:w="1840"/>
      </w:tblGrid>
      <w:tr w:rsidR="009A6D32" w:rsidTr="003C44CC">
        <w:trPr>
          <w:cantSplit/>
          <w:trHeight w:val="1979"/>
        </w:trPr>
        <w:tc>
          <w:tcPr>
            <w:tcW w:w="1964" w:type="dxa"/>
            <w:gridSpan w:val="2"/>
            <w:textDirection w:val="btLr"/>
            <w:vAlign w:val="center"/>
          </w:tcPr>
          <w:p w:rsidR="009A6D32" w:rsidRPr="003D2DFE" w:rsidRDefault="009A6D32" w:rsidP="003C44CC">
            <w:pPr>
              <w:spacing w:line="360" w:lineRule="auto"/>
              <w:ind w:left="113" w:right="113"/>
              <w:jc w:val="center"/>
            </w:pPr>
            <w:r w:rsidRPr="003D2DFE">
              <w:t>Итого.</w:t>
            </w:r>
          </w:p>
        </w:tc>
        <w:tc>
          <w:tcPr>
            <w:tcW w:w="1344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26%</w:t>
            </w:r>
          </w:p>
        </w:tc>
        <w:tc>
          <w:tcPr>
            <w:tcW w:w="1929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72800+10,0% с суммы, превышающей 280000руб.</w:t>
            </w:r>
          </w:p>
        </w:tc>
        <w:tc>
          <w:tcPr>
            <w:tcW w:w="1840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88 000+2,0% с суммы, превышающей 600000руб.</w:t>
            </w:r>
          </w:p>
        </w:tc>
      </w:tr>
      <w:tr w:rsidR="009A6D32" w:rsidTr="003C44CC">
        <w:trPr>
          <w:cantSplit/>
          <w:trHeight w:val="1823"/>
        </w:trPr>
        <w:tc>
          <w:tcPr>
            <w:tcW w:w="99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A6D32" w:rsidRPr="003D2DFE" w:rsidRDefault="009A6D32" w:rsidP="003C44CC">
            <w:pPr>
              <w:spacing w:line="360" w:lineRule="auto"/>
              <w:ind w:left="113" w:right="113"/>
              <w:jc w:val="center"/>
            </w:pPr>
            <w:r w:rsidRPr="003D2DFE">
              <w:t>Фонды обязательного  медицинского страхования.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6D32" w:rsidRPr="003D2DFE" w:rsidRDefault="009A6D32" w:rsidP="003C44CC">
            <w:pPr>
              <w:spacing w:line="360" w:lineRule="auto"/>
              <w:ind w:left="113" w:right="113"/>
              <w:jc w:val="center"/>
            </w:pPr>
            <w:r w:rsidRPr="003D2DFE">
              <w:t>Территориальный ФОМС.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2%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5600+0,5% с суммы, превышающей 280000руб.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7 200 руб.</w:t>
            </w:r>
          </w:p>
        </w:tc>
      </w:tr>
      <w:tr w:rsidR="009A6D32" w:rsidTr="003C44CC">
        <w:trPr>
          <w:cantSplit/>
          <w:trHeight w:val="1962"/>
        </w:trPr>
        <w:tc>
          <w:tcPr>
            <w:tcW w:w="99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A6D32" w:rsidRPr="003D2DFE" w:rsidRDefault="009A6D32" w:rsidP="003C44CC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6D32" w:rsidRPr="003D2DFE" w:rsidRDefault="009A6D32" w:rsidP="003C44CC">
            <w:pPr>
              <w:spacing w:line="360" w:lineRule="auto"/>
              <w:ind w:left="113" w:right="113"/>
              <w:jc w:val="center"/>
            </w:pPr>
            <w:r w:rsidRPr="003D2DFE">
              <w:t>Федеральный ФОМС.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0,8%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 xml:space="preserve">2240+0,5% с суммы, превышающей 280000руб. 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3 840 руб.</w:t>
            </w:r>
          </w:p>
        </w:tc>
      </w:tr>
      <w:tr w:rsidR="009A6D32" w:rsidTr="003C44CC">
        <w:trPr>
          <w:cantSplit/>
          <w:trHeight w:val="1834"/>
        </w:trPr>
        <w:tc>
          <w:tcPr>
            <w:tcW w:w="1964" w:type="dxa"/>
            <w:gridSpan w:val="2"/>
            <w:textDirection w:val="btLr"/>
            <w:vAlign w:val="center"/>
          </w:tcPr>
          <w:p w:rsidR="009A6D32" w:rsidRPr="003D2DFE" w:rsidRDefault="009A6D32" w:rsidP="003C44CC">
            <w:pPr>
              <w:spacing w:line="360" w:lineRule="auto"/>
              <w:ind w:left="113" w:right="113"/>
              <w:jc w:val="center"/>
            </w:pPr>
            <w:r w:rsidRPr="003D2DFE">
              <w:t>Фонд социального страхования РФ.</w:t>
            </w:r>
          </w:p>
        </w:tc>
        <w:tc>
          <w:tcPr>
            <w:tcW w:w="1344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3,2%</w:t>
            </w:r>
          </w:p>
        </w:tc>
        <w:tc>
          <w:tcPr>
            <w:tcW w:w="1929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8960+1,1% с суммы, превышающей 280000руб.</w:t>
            </w:r>
          </w:p>
        </w:tc>
        <w:tc>
          <w:tcPr>
            <w:tcW w:w="1840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12 480 руб.</w:t>
            </w:r>
          </w:p>
        </w:tc>
      </w:tr>
      <w:tr w:rsidR="009A6D32" w:rsidTr="003C44CC">
        <w:trPr>
          <w:cantSplit/>
          <w:trHeight w:val="2172"/>
        </w:trPr>
        <w:tc>
          <w:tcPr>
            <w:tcW w:w="1964" w:type="dxa"/>
            <w:gridSpan w:val="2"/>
            <w:textDirection w:val="btLr"/>
            <w:vAlign w:val="center"/>
          </w:tcPr>
          <w:p w:rsidR="009A6D32" w:rsidRPr="003D2DFE" w:rsidRDefault="009A6D32" w:rsidP="003C44CC">
            <w:pPr>
              <w:spacing w:line="360" w:lineRule="auto"/>
              <w:ind w:left="113" w:right="113"/>
              <w:jc w:val="center"/>
            </w:pPr>
            <w:r w:rsidRPr="003D2DFE">
              <w:t>Федеральный бюджет.</w:t>
            </w:r>
          </w:p>
        </w:tc>
        <w:tc>
          <w:tcPr>
            <w:tcW w:w="1344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20%</w:t>
            </w:r>
          </w:p>
        </w:tc>
        <w:tc>
          <w:tcPr>
            <w:tcW w:w="1929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56000+7,9% с суммы, превышающей 280000руб.</w:t>
            </w:r>
          </w:p>
        </w:tc>
        <w:tc>
          <w:tcPr>
            <w:tcW w:w="1840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>
              <w:t>81280+2,0% с суммы, превышающей 600000руб.</w:t>
            </w:r>
          </w:p>
        </w:tc>
      </w:tr>
      <w:tr w:rsidR="009A6D32" w:rsidTr="003C44CC">
        <w:trPr>
          <w:cantSplit/>
          <w:trHeight w:val="2026"/>
        </w:trPr>
        <w:tc>
          <w:tcPr>
            <w:tcW w:w="1964" w:type="dxa"/>
            <w:gridSpan w:val="2"/>
            <w:textDirection w:val="btLr"/>
            <w:vAlign w:val="center"/>
          </w:tcPr>
          <w:p w:rsidR="009A6D32" w:rsidRPr="003D2DFE" w:rsidRDefault="009A6D32" w:rsidP="003C44CC">
            <w:pPr>
              <w:pStyle w:val="1"/>
              <w:jc w:val="center"/>
            </w:pPr>
            <w:r w:rsidRPr="003D2DFE">
              <w:t>База на каждого работника  нарастающим итогом с начала года.</w:t>
            </w:r>
          </w:p>
        </w:tc>
        <w:tc>
          <w:tcPr>
            <w:tcW w:w="1344" w:type="dxa"/>
            <w:textDirection w:val="btLr"/>
            <w:vAlign w:val="center"/>
          </w:tcPr>
          <w:p w:rsidR="009A6D32" w:rsidRPr="003D2DFE" w:rsidRDefault="009A6D32" w:rsidP="003C44CC">
            <w:pPr>
              <w:pStyle w:val="1"/>
              <w:ind w:left="113" w:right="113"/>
            </w:pPr>
            <w:r>
              <w:t>До 280 000руб.</w:t>
            </w:r>
          </w:p>
        </w:tc>
        <w:tc>
          <w:tcPr>
            <w:tcW w:w="1929" w:type="dxa"/>
            <w:textDirection w:val="btLr"/>
            <w:vAlign w:val="center"/>
          </w:tcPr>
          <w:p w:rsidR="009A6D32" w:rsidRDefault="009A6D32" w:rsidP="003C44CC">
            <w:pPr>
              <w:spacing w:line="360" w:lineRule="auto"/>
              <w:ind w:left="113" w:right="113"/>
            </w:pPr>
            <w:r w:rsidRPr="00800619">
              <w:t>От 280000руб.</w:t>
            </w:r>
          </w:p>
          <w:p w:rsidR="009A6D32" w:rsidRPr="00800619" w:rsidRDefault="009A6D32" w:rsidP="003C44CC">
            <w:pPr>
              <w:spacing w:line="360" w:lineRule="auto"/>
              <w:ind w:left="113" w:right="113"/>
            </w:pPr>
            <w:r w:rsidRPr="00800619">
              <w:t>до 600000руб</w:t>
            </w:r>
            <w:r w:rsidRPr="003C44CC">
              <w:rPr>
                <w:sz w:val="28"/>
                <w:szCs w:val="28"/>
              </w:rPr>
              <w:t>.</w:t>
            </w:r>
          </w:p>
        </w:tc>
        <w:tc>
          <w:tcPr>
            <w:tcW w:w="1840" w:type="dxa"/>
            <w:textDirection w:val="btLr"/>
            <w:vAlign w:val="center"/>
          </w:tcPr>
          <w:p w:rsidR="009A6D32" w:rsidRPr="00800619" w:rsidRDefault="009A6D32" w:rsidP="003C44CC">
            <w:pPr>
              <w:spacing w:line="360" w:lineRule="auto"/>
              <w:ind w:left="113" w:right="113"/>
            </w:pPr>
            <w:r w:rsidRPr="00800619">
              <w:t>Свыше 600000руб</w:t>
            </w:r>
          </w:p>
        </w:tc>
      </w:tr>
    </w:tbl>
    <w:p w:rsidR="009A6D32" w:rsidRDefault="009A6D32" w:rsidP="00590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A6D32" w:rsidRDefault="009A6D32" w:rsidP="005900AB">
      <w:pPr>
        <w:spacing w:line="360" w:lineRule="auto"/>
        <w:rPr>
          <w:sz w:val="28"/>
          <w:szCs w:val="28"/>
        </w:rPr>
      </w:pPr>
    </w:p>
    <w:p w:rsidR="009A6D32" w:rsidRDefault="009A6D32" w:rsidP="005900AB">
      <w:pPr>
        <w:spacing w:line="360" w:lineRule="auto"/>
        <w:rPr>
          <w:sz w:val="28"/>
          <w:szCs w:val="28"/>
        </w:rPr>
      </w:pPr>
    </w:p>
    <w:p w:rsidR="009A6D32" w:rsidRDefault="009A6D32" w:rsidP="00590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"/>
        <w:gridCol w:w="1114"/>
        <w:gridCol w:w="1233"/>
        <w:gridCol w:w="2126"/>
        <w:gridCol w:w="1560"/>
      </w:tblGrid>
      <w:tr w:rsidR="009A6D32" w:rsidRPr="009D1108" w:rsidTr="003C44CC">
        <w:trPr>
          <w:cantSplit/>
          <w:trHeight w:val="2395"/>
        </w:trPr>
        <w:tc>
          <w:tcPr>
            <w:tcW w:w="2419" w:type="dxa"/>
            <w:gridSpan w:val="2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Итого.</w:t>
            </w:r>
          </w:p>
        </w:tc>
        <w:tc>
          <w:tcPr>
            <w:tcW w:w="1233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20%</w:t>
            </w:r>
          </w:p>
        </w:tc>
        <w:tc>
          <w:tcPr>
            <w:tcW w:w="2126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56000+10,0% с суммы, превышающей 280000руб.</w:t>
            </w:r>
          </w:p>
        </w:tc>
        <w:tc>
          <w:tcPr>
            <w:tcW w:w="1560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88 000+2,0% с суммы, превышающей 600000руб.</w:t>
            </w:r>
          </w:p>
        </w:tc>
      </w:tr>
      <w:tr w:rsidR="009A6D32" w:rsidRPr="009D1108" w:rsidTr="003C44CC">
        <w:trPr>
          <w:cantSplit/>
          <w:trHeight w:val="1723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Фонды обязательного  медицинского страхования.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Территориальный ФОМС.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1,2%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3360+0,6% с суммы, превышающей 280000руб.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spacing w:line="360" w:lineRule="auto"/>
              <w:ind w:left="113" w:right="113"/>
              <w:jc w:val="center"/>
            </w:pPr>
            <w:r w:rsidRPr="009D1108">
              <w:t>5 280руб.</w:t>
            </w:r>
          </w:p>
        </w:tc>
      </w:tr>
      <w:tr w:rsidR="009A6D32" w:rsidRPr="009D1108" w:rsidTr="003C44CC">
        <w:trPr>
          <w:cantSplit/>
          <w:trHeight w:val="2125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spacing w:line="360" w:lineRule="auto"/>
              <w:ind w:left="113" w:right="113"/>
              <w:jc w:val="center"/>
            </w:pPr>
            <w:r w:rsidRPr="009D1108">
              <w:t>Федеральный ФОМС.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spacing w:line="360" w:lineRule="auto"/>
              <w:ind w:left="113" w:right="113"/>
              <w:jc w:val="center"/>
            </w:pPr>
            <w:r w:rsidRPr="009D1108">
              <w:t>0,8%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spacing w:line="360" w:lineRule="auto"/>
              <w:ind w:left="113" w:right="113"/>
              <w:jc w:val="center"/>
            </w:pPr>
            <w:r w:rsidRPr="009D1108">
              <w:t>2240+0,4% с суммы, превышающей 280000руб.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9D1108" w:rsidRDefault="009A6D32" w:rsidP="003C44CC">
            <w:pPr>
              <w:spacing w:line="360" w:lineRule="auto"/>
              <w:ind w:left="113" w:right="113"/>
              <w:jc w:val="center"/>
            </w:pPr>
            <w:r w:rsidRPr="009D1108">
              <w:t>3 520 руб.</w:t>
            </w:r>
          </w:p>
        </w:tc>
      </w:tr>
      <w:tr w:rsidR="009A6D32" w:rsidRPr="009D1108" w:rsidTr="003C44CC">
        <w:trPr>
          <w:cantSplit/>
          <w:trHeight w:val="2356"/>
        </w:trPr>
        <w:tc>
          <w:tcPr>
            <w:tcW w:w="2419" w:type="dxa"/>
            <w:gridSpan w:val="2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Фонд социального страхования РФ.</w:t>
            </w:r>
          </w:p>
        </w:tc>
        <w:tc>
          <w:tcPr>
            <w:tcW w:w="1233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2,2%</w:t>
            </w:r>
          </w:p>
        </w:tc>
        <w:tc>
          <w:tcPr>
            <w:tcW w:w="2126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6160+1,1% с суммы, превышающей 280000руб.</w:t>
            </w:r>
          </w:p>
        </w:tc>
        <w:tc>
          <w:tcPr>
            <w:tcW w:w="1560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9 680 руб.</w:t>
            </w:r>
          </w:p>
        </w:tc>
      </w:tr>
      <w:tr w:rsidR="009A6D32" w:rsidRPr="009D1108" w:rsidTr="003C44CC">
        <w:trPr>
          <w:cantSplit/>
          <w:trHeight w:val="2413"/>
        </w:trPr>
        <w:tc>
          <w:tcPr>
            <w:tcW w:w="2419" w:type="dxa"/>
            <w:gridSpan w:val="2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Федеральный бюджет.</w:t>
            </w:r>
          </w:p>
        </w:tc>
        <w:tc>
          <w:tcPr>
            <w:tcW w:w="1233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15,8%</w:t>
            </w:r>
          </w:p>
        </w:tc>
        <w:tc>
          <w:tcPr>
            <w:tcW w:w="2126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44240+7,9% с суммы, превышающей 280000руб.</w:t>
            </w:r>
          </w:p>
        </w:tc>
        <w:tc>
          <w:tcPr>
            <w:tcW w:w="1560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69520+2,0% с суммы, превышающей 600000руб.</w:t>
            </w:r>
          </w:p>
        </w:tc>
      </w:tr>
      <w:tr w:rsidR="009A6D32" w:rsidRPr="009D1108" w:rsidTr="003C44CC">
        <w:trPr>
          <w:cantSplit/>
          <w:trHeight w:val="2395"/>
        </w:trPr>
        <w:tc>
          <w:tcPr>
            <w:tcW w:w="2419" w:type="dxa"/>
            <w:gridSpan w:val="2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База на каждого работника  нарастающим итогом с начала года.</w:t>
            </w:r>
          </w:p>
        </w:tc>
        <w:tc>
          <w:tcPr>
            <w:tcW w:w="1233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До 280 000руб.</w:t>
            </w:r>
          </w:p>
        </w:tc>
        <w:tc>
          <w:tcPr>
            <w:tcW w:w="2126" w:type="dxa"/>
            <w:textDirection w:val="btLr"/>
            <w:vAlign w:val="center"/>
          </w:tcPr>
          <w:p w:rsidR="009A6D32" w:rsidRPr="009D1108" w:rsidRDefault="009A6D32" w:rsidP="003C44CC">
            <w:pPr>
              <w:spacing w:line="360" w:lineRule="auto"/>
              <w:ind w:left="113" w:right="113"/>
              <w:jc w:val="center"/>
            </w:pPr>
            <w:r w:rsidRPr="009D1108">
              <w:t>От 280000руб.</w:t>
            </w:r>
          </w:p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до 600000руб.</w:t>
            </w:r>
          </w:p>
        </w:tc>
        <w:tc>
          <w:tcPr>
            <w:tcW w:w="1560" w:type="dxa"/>
            <w:textDirection w:val="btLr"/>
            <w:vAlign w:val="center"/>
          </w:tcPr>
          <w:p w:rsidR="009A6D32" w:rsidRPr="009D1108" w:rsidRDefault="009A6D32" w:rsidP="003C44CC">
            <w:pPr>
              <w:ind w:left="113" w:right="113"/>
              <w:jc w:val="center"/>
            </w:pPr>
            <w:r w:rsidRPr="009D1108">
              <w:t>Свыше 600000руб</w:t>
            </w:r>
          </w:p>
        </w:tc>
      </w:tr>
    </w:tbl>
    <w:p w:rsidR="009A6D32" w:rsidRDefault="009A6D32" w:rsidP="005900AB">
      <w:pPr>
        <w:spacing w:line="360" w:lineRule="auto"/>
        <w:rPr>
          <w:sz w:val="28"/>
          <w:szCs w:val="28"/>
        </w:rPr>
      </w:pPr>
    </w:p>
    <w:p w:rsidR="009A6D32" w:rsidRDefault="009A6D32" w:rsidP="00590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1132"/>
        <w:gridCol w:w="1275"/>
        <w:gridCol w:w="2127"/>
        <w:gridCol w:w="1842"/>
      </w:tblGrid>
      <w:tr w:rsidR="009A6D32" w:rsidRPr="00695342" w:rsidTr="003C44CC">
        <w:trPr>
          <w:cantSplit/>
          <w:trHeight w:val="2966"/>
        </w:trPr>
        <w:tc>
          <w:tcPr>
            <w:tcW w:w="2235" w:type="dxa"/>
            <w:gridSpan w:val="2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Итого.</w:t>
            </w:r>
          </w:p>
        </w:tc>
        <w:tc>
          <w:tcPr>
            <w:tcW w:w="1275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10,0%</w:t>
            </w:r>
          </w:p>
        </w:tc>
        <w:tc>
          <w:tcPr>
            <w:tcW w:w="2127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28000+3,6% с суммы, превышающей 280000руб.</w:t>
            </w:r>
          </w:p>
        </w:tc>
        <w:tc>
          <w:tcPr>
            <w:tcW w:w="1842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39520+2,0% с суммы, превышающей 600000руб.</w:t>
            </w:r>
          </w:p>
        </w:tc>
      </w:tr>
      <w:tr w:rsidR="009A6D32" w:rsidRPr="00695342" w:rsidTr="003C44CC">
        <w:trPr>
          <w:trHeight w:val="2348"/>
        </w:trPr>
        <w:tc>
          <w:tcPr>
            <w:tcW w:w="110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Фонды обязательного  медицинского страхования.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Территориальный ФОМС.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1,9%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5320+0,4% с суммы, превышающей 280000руб.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6600руб.</w:t>
            </w:r>
          </w:p>
        </w:tc>
      </w:tr>
      <w:tr w:rsidR="009A6D32" w:rsidRPr="00695342" w:rsidTr="003C44CC">
        <w:trPr>
          <w:trHeight w:val="2783"/>
        </w:trPr>
        <w:tc>
          <w:tcPr>
            <w:tcW w:w="110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Федеральный ФОМС.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0,8%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2240+0,5% с суммы, превышающей 280000руб.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3840руб.</w:t>
            </w:r>
          </w:p>
        </w:tc>
      </w:tr>
      <w:tr w:rsidR="009A6D32" w:rsidRPr="00695342" w:rsidTr="003C44CC">
        <w:trPr>
          <w:cantSplit/>
          <w:trHeight w:val="2398"/>
        </w:trPr>
        <w:tc>
          <w:tcPr>
            <w:tcW w:w="2235" w:type="dxa"/>
            <w:gridSpan w:val="2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Федеральный бюджет.</w:t>
            </w:r>
          </w:p>
        </w:tc>
        <w:tc>
          <w:tcPr>
            <w:tcW w:w="1275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7,3%</w:t>
            </w:r>
          </w:p>
        </w:tc>
        <w:tc>
          <w:tcPr>
            <w:tcW w:w="2127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20440+2,7% с суммы, превышающей 280000руб.</w:t>
            </w:r>
          </w:p>
        </w:tc>
        <w:tc>
          <w:tcPr>
            <w:tcW w:w="1842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29080+2,0% с суммы, превышающей 600000руб.</w:t>
            </w:r>
          </w:p>
        </w:tc>
      </w:tr>
      <w:tr w:rsidR="009A6D32" w:rsidRPr="00695342" w:rsidTr="003C44CC">
        <w:trPr>
          <w:cantSplit/>
          <w:trHeight w:val="2532"/>
        </w:trPr>
        <w:tc>
          <w:tcPr>
            <w:tcW w:w="2235" w:type="dxa"/>
            <w:gridSpan w:val="2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База на каждого работника  нарастающим итогом с начала года.</w:t>
            </w:r>
          </w:p>
        </w:tc>
        <w:tc>
          <w:tcPr>
            <w:tcW w:w="1275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До 280 000руб.</w:t>
            </w:r>
          </w:p>
        </w:tc>
        <w:tc>
          <w:tcPr>
            <w:tcW w:w="2127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От 280000руб.</w:t>
            </w:r>
          </w:p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до 600000руб.</w:t>
            </w:r>
          </w:p>
        </w:tc>
        <w:tc>
          <w:tcPr>
            <w:tcW w:w="1842" w:type="dxa"/>
            <w:textDirection w:val="btLr"/>
            <w:vAlign w:val="center"/>
          </w:tcPr>
          <w:p w:rsidR="009A6D32" w:rsidRPr="00695342" w:rsidRDefault="009A6D32" w:rsidP="003C44CC">
            <w:pPr>
              <w:spacing w:line="360" w:lineRule="auto"/>
              <w:ind w:left="113" w:right="113"/>
              <w:jc w:val="center"/>
            </w:pPr>
            <w:r w:rsidRPr="00695342">
              <w:t>Свыше 600000руб</w:t>
            </w:r>
          </w:p>
        </w:tc>
      </w:tr>
    </w:tbl>
    <w:p w:rsidR="009A6D32" w:rsidRDefault="009A6D32" w:rsidP="005900AB">
      <w:pPr>
        <w:spacing w:line="360" w:lineRule="auto"/>
        <w:rPr>
          <w:sz w:val="28"/>
          <w:szCs w:val="28"/>
        </w:rPr>
      </w:pPr>
    </w:p>
    <w:p w:rsidR="009A6D32" w:rsidRDefault="009A6D32" w:rsidP="005900AB">
      <w:pPr>
        <w:spacing w:line="360" w:lineRule="auto"/>
        <w:rPr>
          <w:sz w:val="28"/>
          <w:szCs w:val="28"/>
        </w:rPr>
      </w:pP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A6D32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Налоги и налогообложние:учебник.-5 изд., перераб. и доп.-М.:ИНФРА-М,2007.-509 с.</w:t>
      </w:r>
    </w:p>
    <w:p w:rsidR="009A6D32" w:rsidRPr="00EC1E1A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D81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Налоги и налогообложние:учеб. пособие.-М.:Магистр,2007.-576 с. </w:t>
      </w:r>
    </w:p>
    <w:p w:rsidR="009A6D32" w:rsidRPr="00D4656E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D811BE">
        <w:t xml:space="preserve"> </w:t>
      </w:r>
      <w:r>
        <w:t xml:space="preserve"> </w:t>
      </w:r>
      <w:r w:rsidRPr="00D811BE">
        <w:rPr>
          <w:sz w:val="28"/>
          <w:szCs w:val="28"/>
        </w:rPr>
        <w:t>www.sberbank.ru</w:t>
      </w:r>
    </w:p>
    <w:p w:rsidR="009A6D32" w:rsidRPr="00D4656E" w:rsidRDefault="009A6D32" w:rsidP="00746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D811BE">
        <w:t xml:space="preserve"> </w:t>
      </w:r>
      <w:r>
        <w:t xml:space="preserve"> </w:t>
      </w:r>
      <w:r w:rsidRPr="00D811BE">
        <w:rPr>
          <w:sz w:val="28"/>
          <w:szCs w:val="28"/>
        </w:rPr>
        <w:t>www.sbrf.ru</w:t>
      </w:r>
    </w:p>
    <w:p w:rsidR="009A6D32" w:rsidRDefault="009A6D32" w:rsidP="00EC1E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 Положение о дополнительном офисе %5190/038 Родионо-Несветайского отделения 5190 Сбербанка России.</w:t>
      </w: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Default="009A6D32" w:rsidP="00EC1E1A">
      <w:pPr>
        <w:spacing w:line="360" w:lineRule="auto"/>
        <w:rPr>
          <w:sz w:val="28"/>
          <w:szCs w:val="28"/>
        </w:rPr>
      </w:pPr>
    </w:p>
    <w:p w:rsidR="009A6D32" w:rsidRPr="00D4656E" w:rsidRDefault="009A6D32" w:rsidP="005900AB">
      <w:pPr>
        <w:spacing w:line="360" w:lineRule="auto"/>
        <w:rPr>
          <w:sz w:val="28"/>
          <w:szCs w:val="28"/>
        </w:rPr>
      </w:pPr>
    </w:p>
    <w:p w:rsidR="009A6D32" w:rsidRPr="00D4656E" w:rsidRDefault="009A6D32" w:rsidP="005900AB">
      <w:pPr>
        <w:spacing w:line="360" w:lineRule="auto"/>
        <w:rPr>
          <w:sz w:val="28"/>
          <w:szCs w:val="28"/>
        </w:rPr>
      </w:pPr>
    </w:p>
    <w:p w:rsidR="009A6D32" w:rsidRPr="00D4656E" w:rsidRDefault="009A6D32" w:rsidP="005900AB">
      <w:pPr>
        <w:spacing w:line="360" w:lineRule="auto"/>
        <w:rPr>
          <w:sz w:val="28"/>
          <w:szCs w:val="28"/>
        </w:rPr>
      </w:pPr>
    </w:p>
    <w:p w:rsidR="009A6D32" w:rsidRPr="00D4656E" w:rsidRDefault="009A6D32" w:rsidP="005900AB">
      <w:pPr>
        <w:spacing w:line="360" w:lineRule="auto"/>
        <w:rPr>
          <w:sz w:val="28"/>
          <w:szCs w:val="28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Default="009A6D32" w:rsidP="005900AB">
      <w:pPr>
        <w:spacing w:line="360" w:lineRule="auto"/>
        <w:rPr>
          <w:sz w:val="32"/>
          <w:szCs w:val="32"/>
        </w:rPr>
      </w:pPr>
    </w:p>
    <w:p w:rsidR="009A6D32" w:rsidRPr="00380EB2" w:rsidRDefault="009A6D32" w:rsidP="005900AB">
      <w:pPr>
        <w:spacing w:line="360" w:lineRule="auto"/>
        <w:rPr>
          <w:sz w:val="32"/>
          <w:szCs w:val="32"/>
        </w:rPr>
      </w:pPr>
      <w:bookmarkStart w:id="0" w:name="_GoBack"/>
      <w:bookmarkEnd w:id="0"/>
    </w:p>
    <w:sectPr w:rsidR="009A6D32" w:rsidRPr="00380EB2" w:rsidSect="008275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32" w:rsidRDefault="009A6D32" w:rsidP="00EE4A55">
      <w:r>
        <w:separator/>
      </w:r>
    </w:p>
  </w:endnote>
  <w:endnote w:type="continuationSeparator" w:id="0">
    <w:p w:rsidR="009A6D32" w:rsidRDefault="009A6D32" w:rsidP="00EE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32" w:rsidRDefault="009A6D3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5596">
      <w:rPr>
        <w:noProof/>
      </w:rPr>
      <w:t>1</w:t>
    </w:r>
    <w:r>
      <w:fldChar w:fldCharType="end"/>
    </w:r>
  </w:p>
  <w:p w:rsidR="009A6D32" w:rsidRDefault="009A6D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32" w:rsidRDefault="009A6D32" w:rsidP="00EE4A55">
      <w:r>
        <w:separator/>
      </w:r>
    </w:p>
  </w:footnote>
  <w:footnote w:type="continuationSeparator" w:id="0">
    <w:p w:rsidR="009A6D32" w:rsidRDefault="009A6D32" w:rsidP="00EE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2C8"/>
    <w:multiLevelType w:val="multilevel"/>
    <w:tmpl w:val="C402F2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B3B7CC3"/>
    <w:multiLevelType w:val="hybridMultilevel"/>
    <w:tmpl w:val="9068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91429"/>
    <w:multiLevelType w:val="hybridMultilevel"/>
    <w:tmpl w:val="32EC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944314"/>
    <w:multiLevelType w:val="multilevel"/>
    <w:tmpl w:val="C402F2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8BC15BE"/>
    <w:multiLevelType w:val="hybridMultilevel"/>
    <w:tmpl w:val="DDFEFA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CA0EEF"/>
    <w:multiLevelType w:val="multilevel"/>
    <w:tmpl w:val="C402F2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F2"/>
    <w:rsid w:val="0003574B"/>
    <w:rsid w:val="00070AEC"/>
    <w:rsid w:val="00085523"/>
    <w:rsid w:val="000A7AE4"/>
    <w:rsid w:val="000B70B1"/>
    <w:rsid w:val="00115AAD"/>
    <w:rsid w:val="00135E22"/>
    <w:rsid w:val="00171216"/>
    <w:rsid w:val="0017685D"/>
    <w:rsid w:val="00192E19"/>
    <w:rsid w:val="001A790F"/>
    <w:rsid w:val="001D6277"/>
    <w:rsid w:val="0020405F"/>
    <w:rsid w:val="00221664"/>
    <w:rsid w:val="00236E50"/>
    <w:rsid w:val="00241F3D"/>
    <w:rsid w:val="002442CF"/>
    <w:rsid w:val="002457DD"/>
    <w:rsid w:val="00255914"/>
    <w:rsid w:val="002562C7"/>
    <w:rsid w:val="002662F9"/>
    <w:rsid w:val="0027105C"/>
    <w:rsid w:val="00280E54"/>
    <w:rsid w:val="00295D27"/>
    <w:rsid w:val="002E79F1"/>
    <w:rsid w:val="00301E8B"/>
    <w:rsid w:val="0030763D"/>
    <w:rsid w:val="0031773F"/>
    <w:rsid w:val="00334A4F"/>
    <w:rsid w:val="00354F7F"/>
    <w:rsid w:val="00377262"/>
    <w:rsid w:val="00380EB2"/>
    <w:rsid w:val="003A13BF"/>
    <w:rsid w:val="003C44CC"/>
    <w:rsid w:val="003D2DFE"/>
    <w:rsid w:val="003E438D"/>
    <w:rsid w:val="003E4A89"/>
    <w:rsid w:val="00423B64"/>
    <w:rsid w:val="00427A75"/>
    <w:rsid w:val="00434CCA"/>
    <w:rsid w:val="004876F5"/>
    <w:rsid w:val="004B7AA1"/>
    <w:rsid w:val="004E345A"/>
    <w:rsid w:val="005900AB"/>
    <w:rsid w:val="005C3488"/>
    <w:rsid w:val="005C728D"/>
    <w:rsid w:val="0060411F"/>
    <w:rsid w:val="00605DEE"/>
    <w:rsid w:val="00631FC5"/>
    <w:rsid w:val="00633853"/>
    <w:rsid w:val="00695342"/>
    <w:rsid w:val="006A627B"/>
    <w:rsid w:val="006C2A27"/>
    <w:rsid w:val="006F5596"/>
    <w:rsid w:val="007461C1"/>
    <w:rsid w:val="00747CD2"/>
    <w:rsid w:val="007535C6"/>
    <w:rsid w:val="00782F34"/>
    <w:rsid w:val="00797364"/>
    <w:rsid w:val="007A3E22"/>
    <w:rsid w:val="00800619"/>
    <w:rsid w:val="00812247"/>
    <w:rsid w:val="0082753F"/>
    <w:rsid w:val="00830365"/>
    <w:rsid w:val="008567A6"/>
    <w:rsid w:val="00866289"/>
    <w:rsid w:val="008873C2"/>
    <w:rsid w:val="008B51A6"/>
    <w:rsid w:val="008F7A71"/>
    <w:rsid w:val="0090378C"/>
    <w:rsid w:val="00926FCD"/>
    <w:rsid w:val="0094375E"/>
    <w:rsid w:val="00955429"/>
    <w:rsid w:val="00961E52"/>
    <w:rsid w:val="00983FDF"/>
    <w:rsid w:val="00985D43"/>
    <w:rsid w:val="009A6D32"/>
    <w:rsid w:val="009D1108"/>
    <w:rsid w:val="009E22E4"/>
    <w:rsid w:val="009F3214"/>
    <w:rsid w:val="009F6790"/>
    <w:rsid w:val="00A87FF5"/>
    <w:rsid w:val="00AB458D"/>
    <w:rsid w:val="00AB72A5"/>
    <w:rsid w:val="00AC34FE"/>
    <w:rsid w:val="00AE776A"/>
    <w:rsid w:val="00B35985"/>
    <w:rsid w:val="00B84734"/>
    <w:rsid w:val="00BF79A2"/>
    <w:rsid w:val="00C5239C"/>
    <w:rsid w:val="00C752C2"/>
    <w:rsid w:val="00C774F3"/>
    <w:rsid w:val="00C8196F"/>
    <w:rsid w:val="00CD2CCD"/>
    <w:rsid w:val="00CD4DA7"/>
    <w:rsid w:val="00CF5830"/>
    <w:rsid w:val="00CF6E40"/>
    <w:rsid w:val="00D04739"/>
    <w:rsid w:val="00D32F59"/>
    <w:rsid w:val="00D4656E"/>
    <w:rsid w:val="00D811BE"/>
    <w:rsid w:val="00DC053D"/>
    <w:rsid w:val="00DE4EF2"/>
    <w:rsid w:val="00E07AF4"/>
    <w:rsid w:val="00E272F6"/>
    <w:rsid w:val="00E66136"/>
    <w:rsid w:val="00EC143F"/>
    <w:rsid w:val="00EC1E1A"/>
    <w:rsid w:val="00EC4F2E"/>
    <w:rsid w:val="00EC7C08"/>
    <w:rsid w:val="00ED48BA"/>
    <w:rsid w:val="00EE4A55"/>
    <w:rsid w:val="00F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41427-672C-4711-9731-6E6427D1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656E"/>
    <w:rPr>
      <w:sz w:val="24"/>
      <w:szCs w:val="24"/>
    </w:rPr>
  </w:style>
  <w:style w:type="paragraph" w:customStyle="1" w:styleId="10">
    <w:name w:val="Абзац списка1"/>
    <w:basedOn w:val="a"/>
    <w:rsid w:val="0090378C"/>
    <w:pPr>
      <w:ind w:left="720"/>
      <w:contextualSpacing/>
    </w:pPr>
  </w:style>
  <w:style w:type="table" w:styleId="a3">
    <w:name w:val="Table Grid"/>
    <w:basedOn w:val="a1"/>
    <w:rsid w:val="00AE77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EE4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locked/>
    <w:rsid w:val="00EE4A55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EE4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E4A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brf.ru/ru/about/bran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26322</CharactersWithSpaces>
  <SharedDoc>false</SharedDoc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http://www.sbrf.ru/ru/about/branch/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я</dc:creator>
  <cp:keywords/>
  <dc:description/>
  <cp:lastModifiedBy>admin</cp:lastModifiedBy>
  <cp:revision>2</cp:revision>
  <dcterms:created xsi:type="dcterms:W3CDTF">2014-04-25T17:24:00Z</dcterms:created>
  <dcterms:modified xsi:type="dcterms:W3CDTF">2014-04-25T17:24:00Z</dcterms:modified>
</cp:coreProperties>
</file>