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65" w:rsidRPr="00D51650" w:rsidRDefault="00AD5BE3" w:rsidP="00D51650">
      <w:pPr>
        <w:autoSpaceDE w:val="0"/>
        <w:autoSpaceDN w:val="0"/>
        <w:adjustRightInd w:val="0"/>
        <w:spacing w:line="360" w:lineRule="auto"/>
        <w:ind w:firstLine="709"/>
        <w:jc w:val="both"/>
        <w:rPr>
          <w:b/>
          <w:color w:val="000000"/>
          <w:sz w:val="28"/>
          <w:szCs w:val="28"/>
        </w:rPr>
      </w:pPr>
      <w:r w:rsidRPr="00D51650">
        <w:rPr>
          <w:b/>
          <w:color w:val="000000"/>
          <w:sz w:val="28"/>
          <w:szCs w:val="28"/>
        </w:rPr>
        <w:t>Введение</w:t>
      </w:r>
    </w:p>
    <w:p w:rsidR="00816C65" w:rsidRPr="00D51650" w:rsidRDefault="00816C65" w:rsidP="00D51650">
      <w:pPr>
        <w:autoSpaceDE w:val="0"/>
        <w:autoSpaceDN w:val="0"/>
        <w:adjustRightInd w:val="0"/>
        <w:spacing w:line="360" w:lineRule="auto"/>
        <w:ind w:firstLine="709"/>
        <w:jc w:val="both"/>
        <w:rPr>
          <w:color w:val="000000"/>
          <w:sz w:val="28"/>
          <w:szCs w:val="28"/>
        </w:rPr>
      </w:pPr>
    </w:p>
    <w:p w:rsidR="00816C65" w:rsidRPr="00D51650" w:rsidRDefault="00816C65" w:rsidP="00D51650">
      <w:pPr>
        <w:autoSpaceDE w:val="0"/>
        <w:autoSpaceDN w:val="0"/>
        <w:adjustRightInd w:val="0"/>
        <w:spacing w:line="360" w:lineRule="auto"/>
        <w:ind w:firstLine="709"/>
        <w:jc w:val="both"/>
        <w:rPr>
          <w:iCs/>
          <w:color w:val="000000"/>
          <w:sz w:val="28"/>
          <w:szCs w:val="28"/>
        </w:rPr>
      </w:pPr>
      <w:r w:rsidRPr="00D51650">
        <w:rPr>
          <w:iCs/>
          <w:color w:val="000000"/>
          <w:sz w:val="28"/>
          <w:szCs w:val="28"/>
        </w:rPr>
        <w:t xml:space="preserve">В работе рассмотрена сущность, масштабы и идеологическая составляющая </w:t>
      </w:r>
      <w:r w:rsidR="00D51650">
        <w:rPr>
          <w:iCs/>
          <w:color w:val="000000"/>
          <w:sz w:val="28"/>
          <w:szCs w:val="28"/>
        </w:rPr>
        <w:t>«</w:t>
      </w:r>
      <w:r w:rsidR="00D51650" w:rsidRPr="00D51650">
        <w:rPr>
          <w:iCs/>
          <w:color w:val="000000"/>
          <w:sz w:val="28"/>
          <w:szCs w:val="28"/>
        </w:rPr>
        <w:t>н</w:t>
      </w:r>
      <w:r w:rsidRPr="00D51650">
        <w:rPr>
          <w:iCs/>
          <w:color w:val="000000"/>
          <w:sz w:val="28"/>
          <w:szCs w:val="28"/>
        </w:rPr>
        <w:t>овой экономики</w:t>
      </w:r>
      <w:r w:rsidR="00D51650">
        <w:rPr>
          <w:iCs/>
          <w:color w:val="000000"/>
          <w:sz w:val="28"/>
          <w:szCs w:val="28"/>
        </w:rPr>
        <w:t>»</w:t>
      </w:r>
      <w:r w:rsidR="00D51650" w:rsidRPr="00D51650">
        <w:rPr>
          <w:iCs/>
          <w:color w:val="000000"/>
          <w:sz w:val="28"/>
          <w:szCs w:val="28"/>
        </w:rPr>
        <w:t>,</w:t>
      </w:r>
      <w:r w:rsidRPr="00D51650">
        <w:rPr>
          <w:iCs/>
          <w:color w:val="000000"/>
          <w:sz w:val="28"/>
          <w:szCs w:val="28"/>
        </w:rPr>
        <w:t xml:space="preserve"> проанализировано состояние дел в торговой системе NASDAQ в канун</w:t>
      </w:r>
      <w:r w:rsidRPr="00D51650">
        <w:rPr>
          <w:color w:val="000000"/>
          <w:sz w:val="28"/>
        </w:rPr>
        <w:t xml:space="preserve"> </w:t>
      </w:r>
      <w:r w:rsidRPr="00D51650">
        <w:rPr>
          <w:iCs/>
          <w:color w:val="000000"/>
          <w:sz w:val="28"/>
          <w:szCs w:val="28"/>
        </w:rPr>
        <w:t>кризиса, определены хронологические рамки и глубина кризиса на американском рынке</w:t>
      </w:r>
      <w:r w:rsidRPr="00D51650">
        <w:rPr>
          <w:color w:val="000000"/>
          <w:sz w:val="28"/>
        </w:rPr>
        <w:t xml:space="preserve"> </w:t>
      </w:r>
      <w:r w:rsidRPr="00D51650">
        <w:rPr>
          <w:iCs/>
          <w:color w:val="000000"/>
          <w:sz w:val="28"/>
          <w:szCs w:val="28"/>
        </w:rPr>
        <w:t>акций, сделан вывод о том, что рынок акций высокотехнологических компаний не возобновился к этому времени.</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Современный этап развития</w:t>
      </w:r>
      <w:r w:rsidRPr="00D51650">
        <w:rPr>
          <w:color w:val="000000"/>
          <w:sz w:val="28"/>
          <w:szCs w:val="28"/>
          <w:lang w:val="uk-UA"/>
        </w:rPr>
        <w:t xml:space="preserve"> мирового фондового</w:t>
      </w:r>
      <w:r w:rsidRPr="00D51650">
        <w:rPr>
          <w:color w:val="000000"/>
          <w:sz w:val="28"/>
          <w:szCs w:val="28"/>
        </w:rPr>
        <w:t xml:space="preserve"> рынка характеризуется </w:t>
      </w:r>
      <w:r w:rsidRPr="00D51650">
        <w:rPr>
          <w:color w:val="000000"/>
          <w:sz w:val="28"/>
          <w:szCs w:val="28"/>
          <w:lang w:val="uk-UA"/>
        </w:rPr>
        <w:t>ростом</w:t>
      </w:r>
      <w:r w:rsidRPr="00D51650">
        <w:rPr>
          <w:color w:val="000000"/>
          <w:sz w:val="28"/>
          <w:szCs w:val="28"/>
        </w:rPr>
        <w:t xml:space="preserve"> интеграционных процессов, усилением взаимосвязи и взаимозависимости национальных фондовых рынков. Интеграционным процессам в сфере глобальных финансов присущи не только положительные стороны (например, возможность привлечения внешних финансовых ресурсов по более низкой стоимости по сравнению с внутренними источниками финансирования), но и отрицательные явления, выражающиеся в синхронном падении курсовой стоимости ценных бумаг на биржах разных стран. Со второй половины XX</w:t>
      </w:r>
      <w:r w:rsidR="00D51650">
        <w:rPr>
          <w:color w:val="000000"/>
          <w:sz w:val="28"/>
          <w:szCs w:val="28"/>
        </w:rPr>
        <w:t> </w:t>
      </w:r>
      <w:r w:rsidR="00D51650" w:rsidRPr="00D51650">
        <w:rPr>
          <w:color w:val="000000"/>
          <w:sz w:val="28"/>
          <w:szCs w:val="28"/>
        </w:rPr>
        <w:t>в</w:t>
      </w:r>
      <w:r w:rsidRPr="00D51650">
        <w:rPr>
          <w:color w:val="000000"/>
          <w:sz w:val="28"/>
          <w:szCs w:val="28"/>
        </w:rPr>
        <w:t>. кризисные процессы на мировом фондовом рынке приобрели устойчивый характер. Особенно подвержены биржевым катаклизмам формирующиеся (</w:t>
      </w:r>
      <w:r w:rsidRPr="00D51650">
        <w:rPr>
          <w:color w:val="000000"/>
          <w:sz w:val="28"/>
          <w:szCs w:val="28"/>
          <w:lang w:val="en-US"/>
        </w:rPr>
        <w:t>emerging</w:t>
      </w:r>
      <w:r w:rsidRPr="00D51650">
        <w:rPr>
          <w:color w:val="000000"/>
          <w:sz w:val="28"/>
          <w:szCs w:val="28"/>
        </w:rPr>
        <w:t>) и пограничные (</w:t>
      </w:r>
      <w:r w:rsidRPr="00D51650">
        <w:rPr>
          <w:color w:val="000000"/>
          <w:sz w:val="28"/>
          <w:szCs w:val="28"/>
          <w:lang w:val="en-US"/>
        </w:rPr>
        <w:t>frontier</w:t>
      </w:r>
      <w:r w:rsidRPr="00D51650">
        <w:rPr>
          <w:color w:val="000000"/>
          <w:sz w:val="28"/>
          <w:szCs w:val="28"/>
        </w:rPr>
        <w:t>) рынки, к которым относится и фондовый рынок Украины. Указанные рынки очень болезненно реагируют на внешние</w:t>
      </w:r>
      <w:r w:rsidRPr="00D51650">
        <w:rPr>
          <w:color w:val="000000"/>
          <w:sz w:val="28"/>
          <w:szCs w:val="28"/>
          <w:lang w:val="uk-UA"/>
        </w:rPr>
        <w:t xml:space="preserve"> шоки,</w:t>
      </w:r>
      <w:r w:rsidRPr="00D51650">
        <w:rPr>
          <w:color w:val="000000"/>
          <w:sz w:val="28"/>
          <w:szCs w:val="28"/>
        </w:rPr>
        <w:t xml:space="preserve"> в том числе и на события, происходящие на фондовых рынках развитых стран. Поэтому в настоящее время особую актуальность приобретают исследования кризисных процессов на рынках ценных бумаг как развитых, так и развивающихся стран.</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Рассмотрению вопросов, касающихся кризисных явлений на рынке ценных бумаг США в начале нового тысячелетия, посвящены работы зарубежных ученых и исследователей проблем функционирования финансовых рынков, таких, как </w:t>
      </w:r>
      <w:r w:rsidR="00D51650" w:rsidRPr="00D51650">
        <w:rPr>
          <w:color w:val="000000"/>
          <w:sz w:val="28"/>
          <w:szCs w:val="28"/>
        </w:rPr>
        <w:t>У.</w:t>
      </w:r>
      <w:r w:rsidR="00D51650">
        <w:rPr>
          <w:color w:val="000000"/>
          <w:sz w:val="28"/>
          <w:szCs w:val="28"/>
        </w:rPr>
        <w:t> </w:t>
      </w:r>
      <w:r w:rsidR="00D51650" w:rsidRPr="00D51650">
        <w:rPr>
          <w:color w:val="000000"/>
          <w:sz w:val="28"/>
          <w:szCs w:val="28"/>
        </w:rPr>
        <w:t>Боннер</w:t>
      </w:r>
      <w:r w:rsidRPr="00D51650">
        <w:rPr>
          <w:color w:val="000000"/>
          <w:sz w:val="28"/>
          <w:szCs w:val="28"/>
        </w:rPr>
        <w:t xml:space="preserve">, </w:t>
      </w:r>
      <w:r w:rsidR="00D51650" w:rsidRPr="00D51650">
        <w:rPr>
          <w:color w:val="000000"/>
          <w:sz w:val="28"/>
          <w:szCs w:val="28"/>
        </w:rPr>
        <w:t>П.</w:t>
      </w:r>
      <w:r w:rsidR="00D51650">
        <w:rPr>
          <w:color w:val="000000"/>
          <w:sz w:val="28"/>
          <w:szCs w:val="28"/>
        </w:rPr>
        <w:t> </w:t>
      </w:r>
      <w:r w:rsidR="00D51650" w:rsidRPr="00D51650">
        <w:rPr>
          <w:color w:val="000000"/>
          <w:sz w:val="28"/>
          <w:szCs w:val="28"/>
        </w:rPr>
        <w:t>Кругман</w:t>
      </w:r>
      <w:r w:rsidRPr="00D51650">
        <w:rPr>
          <w:color w:val="000000"/>
          <w:sz w:val="28"/>
          <w:szCs w:val="28"/>
        </w:rPr>
        <w:t xml:space="preserve">, </w:t>
      </w:r>
      <w:r w:rsidR="00D51650" w:rsidRPr="00D51650">
        <w:rPr>
          <w:color w:val="000000"/>
          <w:sz w:val="28"/>
          <w:szCs w:val="28"/>
        </w:rPr>
        <w:t>Ф.</w:t>
      </w:r>
      <w:r w:rsidR="00D51650">
        <w:rPr>
          <w:color w:val="000000"/>
          <w:sz w:val="28"/>
          <w:szCs w:val="28"/>
        </w:rPr>
        <w:t> </w:t>
      </w:r>
      <w:r w:rsidR="00D51650" w:rsidRPr="00D51650">
        <w:rPr>
          <w:color w:val="000000"/>
          <w:sz w:val="28"/>
          <w:szCs w:val="28"/>
        </w:rPr>
        <w:t>Мишкин</w:t>
      </w:r>
      <w:r w:rsidRPr="00D51650">
        <w:rPr>
          <w:color w:val="000000"/>
          <w:sz w:val="28"/>
          <w:szCs w:val="28"/>
        </w:rPr>
        <w:t xml:space="preserve">, </w:t>
      </w:r>
      <w:r w:rsidR="00D51650" w:rsidRPr="00D51650">
        <w:rPr>
          <w:color w:val="000000"/>
          <w:sz w:val="28"/>
          <w:szCs w:val="28"/>
        </w:rPr>
        <w:t>Дж.</w:t>
      </w:r>
      <w:r w:rsidR="00D51650">
        <w:rPr>
          <w:color w:val="000000"/>
          <w:sz w:val="28"/>
          <w:szCs w:val="28"/>
        </w:rPr>
        <w:t> </w:t>
      </w:r>
      <w:r w:rsidR="00D51650" w:rsidRPr="00D51650">
        <w:rPr>
          <w:color w:val="000000"/>
          <w:sz w:val="28"/>
          <w:szCs w:val="28"/>
        </w:rPr>
        <w:t>Стиглиц</w:t>
      </w:r>
      <w:r w:rsidRPr="00D51650">
        <w:rPr>
          <w:color w:val="000000"/>
          <w:sz w:val="28"/>
          <w:szCs w:val="28"/>
        </w:rPr>
        <w:t xml:space="preserve">, </w:t>
      </w:r>
      <w:r w:rsidR="00D51650" w:rsidRPr="00D51650">
        <w:rPr>
          <w:color w:val="000000"/>
          <w:sz w:val="28"/>
          <w:szCs w:val="28"/>
        </w:rPr>
        <w:t>М.</w:t>
      </w:r>
      <w:r w:rsidR="00D51650">
        <w:rPr>
          <w:color w:val="000000"/>
          <w:sz w:val="28"/>
          <w:szCs w:val="28"/>
        </w:rPr>
        <w:t> </w:t>
      </w:r>
      <w:r w:rsidR="00D51650" w:rsidRPr="00D51650">
        <w:rPr>
          <w:color w:val="000000"/>
          <w:sz w:val="28"/>
          <w:szCs w:val="28"/>
        </w:rPr>
        <w:t>Терронес</w:t>
      </w:r>
      <w:r w:rsidRPr="00D51650">
        <w:rPr>
          <w:color w:val="000000"/>
          <w:sz w:val="28"/>
          <w:szCs w:val="28"/>
        </w:rPr>
        <w:t xml:space="preserve">, </w:t>
      </w:r>
      <w:r w:rsidR="00D51650" w:rsidRPr="00D51650">
        <w:rPr>
          <w:color w:val="000000"/>
          <w:sz w:val="28"/>
          <w:szCs w:val="28"/>
        </w:rPr>
        <w:t>Т.</w:t>
      </w:r>
      <w:r w:rsidR="00D51650">
        <w:rPr>
          <w:color w:val="000000"/>
          <w:sz w:val="28"/>
          <w:szCs w:val="28"/>
        </w:rPr>
        <w:t> </w:t>
      </w:r>
      <w:r w:rsidR="00D51650" w:rsidRPr="00D51650">
        <w:rPr>
          <w:color w:val="000000"/>
          <w:sz w:val="28"/>
          <w:szCs w:val="28"/>
        </w:rPr>
        <w:t>Хелблинг</w:t>
      </w:r>
      <w:r w:rsidRPr="00D51650">
        <w:rPr>
          <w:color w:val="000000"/>
          <w:sz w:val="28"/>
          <w:szCs w:val="28"/>
        </w:rPr>
        <w:t xml:space="preserve"> и </w:t>
      </w:r>
      <w:r w:rsidR="00D51650" w:rsidRPr="00D51650">
        <w:rPr>
          <w:color w:val="000000"/>
          <w:sz w:val="28"/>
          <w:szCs w:val="28"/>
        </w:rPr>
        <w:t>Р.</w:t>
      </w:r>
      <w:r w:rsidR="00D51650">
        <w:rPr>
          <w:color w:val="000000"/>
          <w:sz w:val="28"/>
          <w:szCs w:val="28"/>
        </w:rPr>
        <w:t> </w:t>
      </w:r>
      <w:r w:rsidR="00D51650" w:rsidRPr="00D51650">
        <w:rPr>
          <w:color w:val="000000"/>
          <w:sz w:val="28"/>
          <w:szCs w:val="28"/>
        </w:rPr>
        <w:t>Шиллер</w:t>
      </w:r>
      <w:r w:rsidRPr="00D51650">
        <w:rPr>
          <w:color w:val="000000"/>
          <w:sz w:val="28"/>
          <w:szCs w:val="28"/>
        </w:rPr>
        <w:t xml:space="preserve">, Данная проблематика нашла свое отражение также в исследованиях украинских и российских ученых </w:t>
      </w:r>
      <w:r w:rsidR="00D51650" w:rsidRPr="00D51650">
        <w:rPr>
          <w:color w:val="000000"/>
          <w:sz w:val="28"/>
          <w:szCs w:val="28"/>
        </w:rPr>
        <w:t>В.</w:t>
      </w:r>
      <w:r w:rsidR="00D51650">
        <w:rPr>
          <w:color w:val="000000"/>
          <w:sz w:val="28"/>
          <w:szCs w:val="28"/>
        </w:rPr>
        <w:t> </w:t>
      </w:r>
      <w:r w:rsidR="00D51650" w:rsidRPr="00D51650">
        <w:rPr>
          <w:color w:val="000000"/>
          <w:sz w:val="28"/>
          <w:szCs w:val="28"/>
        </w:rPr>
        <w:t>Васильева</w:t>
      </w:r>
      <w:r w:rsidRPr="00D51650">
        <w:rPr>
          <w:color w:val="000000"/>
          <w:sz w:val="28"/>
          <w:szCs w:val="28"/>
        </w:rPr>
        <w:t xml:space="preserve">, </w:t>
      </w:r>
      <w:r w:rsidR="00D51650" w:rsidRPr="00D51650">
        <w:rPr>
          <w:color w:val="000000"/>
          <w:sz w:val="28"/>
          <w:szCs w:val="28"/>
        </w:rPr>
        <w:t>В.</w:t>
      </w:r>
      <w:r w:rsidR="00D51650">
        <w:rPr>
          <w:color w:val="000000"/>
          <w:sz w:val="28"/>
          <w:szCs w:val="28"/>
        </w:rPr>
        <w:t> </w:t>
      </w:r>
      <w:r w:rsidR="00D51650" w:rsidRPr="00D51650">
        <w:rPr>
          <w:color w:val="000000"/>
          <w:sz w:val="28"/>
          <w:szCs w:val="28"/>
        </w:rPr>
        <w:t>Иноземцева</w:t>
      </w:r>
      <w:r w:rsidRPr="00D51650">
        <w:rPr>
          <w:color w:val="000000"/>
          <w:sz w:val="28"/>
          <w:szCs w:val="28"/>
        </w:rPr>
        <w:t xml:space="preserve">, </w:t>
      </w:r>
      <w:r w:rsidR="00D51650" w:rsidRPr="00D51650">
        <w:rPr>
          <w:color w:val="000000"/>
          <w:sz w:val="28"/>
          <w:szCs w:val="28"/>
        </w:rPr>
        <w:t>Б.</w:t>
      </w:r>
      <w:r w:rsidR="00D51650">
        <w:rPr>
          <w:color w:val="000000"/>
          <w:sz w:val="28"/>
          <w:szCs w:val="28"/>
        </w:rPr>
        <w:t> </w:t>
      </w:r>
      <w:r w:rsidR="00D51650" w:rsidRPr="00D51650">
        <w:rPr>
          <w:color w:val="000000"/>
          <w:sz w:val="28"/>
          <w:szCs w:val="28"/>
        </w:rPr>
        <w:t>Рубцова</w:t>
      </w:r>
      <w:r w:rsidRPr="00D51650">
        <w:rPr>
          <w:color w:val="000000"/>
          <w:sz w:val="28"/>
          <w:szCs w:val="28"/>
        </w:rPr>
        <w:t xml:space="preserve"> и </w:t>
      </w:r>
      <w:r w:rsidR="00D51650" w:rsidRPr="00D51650">
        <w:rPr>
          <w:color w:val="000000"/>
          <w:sz w:val="28"/>
          <w:szCs w:val="28"/>
        </w:rPr>
        <w:t>Н.</w:t>
      </w:r>
      <w:r w:rsidR="00D51650">
        <w:rPr>
          <w:color w:val="000000"/>
          <w:sz w:val="28"/>
          <w:szCs w:val="28"/>
        </w:rPr>
        <w:t> </w:t>
      </w:r>
      <w:r w:rsidR="00D51650" w:rsidRPr="00D51650">
        <w:rPr>
          <w:color w:val="000000"/>
          <w:sz w:val="28"/>
          <w:szCs w:val="28"/>
        </w:rPr>
        <w:t>Шапран</w:t>
      </w:r>
      <w:r w:rsidRPr="00D51650">
        <w:rPr>
          <w:color w:val="000000"/>
          <w:sz w:val="28"/>
          <w:szCs w:val="28"/>
        </w:rPr>
        <w:t xml:space="preserve">. Однако до сих пор нет однозначных ответов на вопросы о роли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и ее идеологов в формировании предпосылок кризиса на американском рынке корпоративных прав, а также о том, насколько продолжителен и глубок был кризис на рынке акций высокотехнологичных компаний, составлявших ядро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w:t>
      </w:r>
      <w:r w:rsidRPr="00D51650">
        <w:rPr>
          <w:color w:val="000000"/>
          <w:sz w:val="28"/>
          <w:szCs w:val="28"/>
        </w:rPr>
        <w:t xml:space="preserve"> Целью работы является попытка найти ответы на вышеуказанные вопросы. К задачам исследования относятся рассмотрение сущности, масштабов и идеологической составляющей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w:t>
      </w:r>
      <w:r w:rsidRPr="00D51650">
        <w:rPr>
          <w:color w:val="000000"/>
          <w:sz w:val="28"/>
          <w:szCs w:val="28"/>
        </w:rPr>
        <w:t xml:space="preserve"> изучение положения дел в торговой системе </w:t>
      </w:r>
      <w:r w:rsidRPr="00D51650">
        <w:rPr>
          <w:color w:val="000000"/>
          <w:sz w:val="28"/>
          <w:szCs w:val="28"/>
          <w:lang w:val="en-US"/>
        </w:rPr>
        <w:t>NASDAQ</w:t>
      </w:r>
      <w:r w:rsidRPr="00D51650">
        <w:rPr>
          <w:color w:val="000000"/>
          <w:sz w:val="28"/>
          <w:szCs w:val="28"/>
        </w:rPr>
        <w:t xml:space="preserve"> накануне кризиса; определение хронологических рамок и глубины кризиса на американском рынке акций.</w:t>
      </w:r>
    </w:p>
    <w:p w:rsidR="00816C65" w:rsidRPr="00D51650" w:rsidRDefault="00816C65" w:rsidP="00D51650">
      <w:pPr>
        <w:spacing w:line="360" w:lineRule="auto"/>
        <w:ind w:firstLine="709"/>
        <w:jc w:val="both"/>
        <w:rPr>
          <w:color w:val="000000"/>
          <w:sz w:val="28"/>
          <w:szCs w:val="28"/>
        </w:rPr>
      </w:pPr>
      <w:r w:rsidRPr="00D51650">
        <w:rPr>
          <w:color w:val="000000"/>
          <w:sz w:val="28"/>
          <w:szCs w:val="28"/>
        </w:rPr>
        <w:t>(</w:t>
      </w:r>
      <w:r w:rsidRPr="00D51650">
        <w:rPr>
          <w:color w:val="000000"/>
          <w:sz w:val="28"/>
          <w:szCs w:val="28"/>
          <w:lang w:val="en-US"/>
        </w:rPr>
        <w:t>NASDAQ</w:t>
      </w:r>
      <w:r w:rsidRPr="00D51650">
        <w:rPr>
          <w:color w:val="000000"/>
          <w:sz w:val="28"/>
          <w:szCs w:val="28"/>
        </w:rPr>
        <w:t xml:space="preserve"> </w:t>
      </w:r>
      <w:r w:rsidR="00D51650">
        <w:rPr>
          <w:color w:val="000000"/>
          <w:sz w:val="28"/>
          <w:szCs w:val="28"/>
        </w:rPr>
        <w:t>–</w:t>
      </w:r>
      <w:r w:rsidR="00D51650" w:rsidRPr="00D51650">
        <w:rPr>
          <w:color w:val="000000"/>
          <w:sz w:val="28"/>
          <w:szCs w:val="28"/>
        </w:rPr>
        <w:t xml:space="preserve"> </w:t>
      </w:r>
      <w:r w:rsidRPr="00D51650">
        <w:rPr>
          <w:color w:val="000000"/>
          <w:sz w:val="28"/>
          <w:szCs w:val="28"/>
        </w:rPr>
        <w:t>внебиржевая электронная система торговли ценными бумагами Национальной ассоциации инвестиционных дилеров США).</w:t>
      </w:r>
    </w:p>
    <w:p w:rsidR="00AD5BE3" w:rsidRDefault="00AD5BE3" w:rsidP="00D51650">
      <w:pPr>
        <w:spacing w:line="360" w:lineRule="auto"/>
        <w:ind w:firstLine="709"/>
        <w:jc w:val="both"/>
        <w:rPr>
          <w:color w:val="000000"/>
          <w:sz w:val="28"/>
          <w:szCs w:val="28"/>
          <w:lang w:val="en-US"/>
        </w:rPr>
      </w:pPr>
    </w:p>
    <w:p w:rsidR="00AD5BE3" w:rsidRDefault="00AD5BE3" w:rsidP="00D51650">
      <w:pPr>
        <w:spacing w:line="360" w:lineRule="auto"/>
        <w:ind w:firstLine="709"/>
        <w:jc w:val="both"/>
        <w:rPr>
          <w:color w:val="000000"/>
          <w:sz w:val="28"/>
          <w:szCs w:val="28"/>
          <w:lang w:val="en-US"/>
        </w:rPr>
      </w:pPr>
    </w:p>
    <w:p w:rsidR="00816C65" w:rsidRPr="00D51650" w:rsidRDefault="00816C65" w:rsidP="00AD5BE3">
      <w:pPr>
        <w:spacing w:line="360" w:lineRule="auto"/>
        <w:ind w:firstLine="709"/>
        <w:jc w:val="both"/>
        <w:rPr>
          <w:b/>
          <w:bCs/>
          <w:color w:val="000000"/>
          <w:sz w:val="28"/>
          <w:szCs w:val="28"/>
        </w:rPr>
      </w:pPr>
      <w:r w:rsidRPr="00D51650">
        <w:rPr>
          <w:color w:val="000000"/>
          <w:sz w:val="28"/>
          <w:szCs w:val="28"/>
        </w:rPr>
        <w:br w:type="page"/>
      </w:r>
      <w:r w:rsidR="00AD5BE3" w:rsidRPr="00D51650">
        <w:rPr>
          <w:b/>
          <w:bCs/>
          <w:color w:val="000000"/>
          <w:sz w:val="28"/>
          <w:szCs w:val="28"/>
        </w:rPr>
        <w:t>Оценка фондовой составляющей кризиса</w:t>
      </w:r>
      <w:r w:rsidR="00AD5BE3" w:rsidRPr="00AD5BE3">
        <w:rPr>
          <w:b/>
          <w:bCs/>
          <w:color w:val="000000"/>
          <w:sz w:val="28"/>
          <w:szCs w:val="28"/>
        </w:rPr>
        <w:t xml:space="preserve"> </w:t>
      </w:r>
      <w:r w:rsidR="00AD5BE3">
        <w:rPr>
          <w:b/>
          <w:bCs/>
          <w:color w:val="000000"/>
          <w:sz w:val="28"/>
          <w:szCs w:val="28"/>
        </w:rPr>
        <w:t>«</w:t>
      </w:r>
      <w:r w:rsidR="00AD5BE3" w:rsidRPr="00D51650">
        <w:rPr>
          <w:b/>
          <w:bCs/>
          <w:color w:val="000000"/>
          <w:sz w:val="28"/>
          <w:szCs w:val="28"/>
        </w:rPr>
        <w:t>Новой экономики</w:t>
      </w:r>
      <w:r w:rsidR="00AD5BE3">
        <w:rPr>
          <w:b/>
          <w:bCs/>
          <w:color w:val="000000"/>
          <w:sz w:val="28"/>
          <w:szCs w:val="28"/>
        </w:rPr>
        <w:t>»</w:t>
      </w:r>
      <w:r w:rsidR="00AD5BE3" w:rsidRPr="00D51650">
        <w:rPr>
          <w:b/>
          <w:bCs/>
          <w:color w:val="000000"/>
          <w:sz w:val="28"/>
          <w:szCs w:val="28"/>
        </w:rPr>
        <w:t xml:space="preserve"> в начале XXI</w:t>
      </w:r>
      <w:r w:rsidR="00AD5BE3">
        <w:rPr>
          <w:b/>
          <w:bCs/>
          <w:color w:val="000000"/>
          <w:sz w:val="28"/>
          <w:szCs w:val="28"/>
        </w:rPr>
        <w:t> </w:t>
      </w:r>
      <w:r w:rsidR="00AD5BE3" w:rsidRPr="00D51650">
        <w:rPr>
          <w:b/>
          <w:bCs/>
          <w:color w:val="000000"/>
          <w:sz w:val="28"/>
          <w:szCs w:val="28"/>
        </w:rPr>
        <w:t>в.</w:t>
      </w:r>
    </w:p>
    <w:p w:rsidR="00816C65" w:rsidRPr="00D51650" w:rsidRDefault="00816C65" w:rsidP="00D51650">
      <w:pPr>
        <w:autoSpaceDE w:val="0"/>
        <w:autoSpaceDN w:val="0"/>
        <w:adjustRightInd w:val="0"/>
        <w:spacing w:line="360" w:lineRule="auto"/>
        <w:ind w:firstLine="709"/>
        <w:jc w:val="both"/>
        <w:rPr>
          <w:color w:val="000000"/>
          <w:sz w:val="28"/>
          <w:szCs w:val="28"/>
        </w:rPr>
      </w:pP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90</w:t>
      </w:r>
      <w:r w:rsidR="00D51650">
        <w:rPr>
          <w:color w:val="000000"/>
          <w:sz w:val="28"/>
          <w:szCs w:val="28"/>
        </w:rPr>
        <w:t>-</w:t>
      </w:r>
      <w:r w:rsidR="00D51650" w:rsidRPr="00D51650">
        <w:rPr>
          <w:color w:val="000000"/>
          <w:sz w:val="28"/>
          <w:szCs w:val="28"/>
        </w:rPr>
        <w:t>е</w:t>
      </w:r>
      <w:r w:rsidRPr="00D51650">
        <w:rPr>
          <w:color w:val="000000"/>
          <w:sz w:val="28"/>
          <w:szCs w:val="28"/>
        </w:rPr>
        <w:t xml:space="preserve"> годы XX</w:t>
      </w:r>
      <w:r w:rsidR="00D51650">
        <w:rPr>
          <w:color w:val="000000"/>
          <w:sz w:val="28"/>
          <w:szCs w:val="28"/>
        </w:rPr>
        <w:t> </w:t>
      </w:r>
      <w:r w:rsidR="00D51650" w:rsidRPr="00D51650">
        <w:rPr>
          <w:color w:val="000000"/>
          <w:sz w:val="28"/>
          <w:szCs w:val="28"/>
        </w:rPr>
        <w:t>в</w:t>
      </w:r>
      <w:r w:rsidRPr="00D51650">
        <w:rPr>
          <w:color w:val="000000"/>
          <w:sz w:val="28"/>
          <w:szCs w:val="28"/>
        </w:rPr>
        <w:t>. и начало XXI</w:t>
      </w:r>
      <w:r w:rsidR="00D51650">
        <w:rPr>
          <w:color w:val="000000"/>
          <w:sz w:val="28"/>
          <w:szCs w:val="28"/>
        </w:rPr>
        <w:t> </w:t>
      </w:r>
      <w:r w:rsidR="00D51650" w:rsidRPr="00D51650">
        <w:rPr>
          <w:color w:val="000000"/>
          <w:sz w:val="28"/>
          <w:szCs w:val="28"/>
        </w:rPr>
        <w:t>в</w:t>
      </w:r>
      <w:r w:rsidRPr="00D51650">
        <w:rPr>
          <w:color w:val="000000"/>
          <w:sz w:val="28"/>
          <w:szCs w:val="28"/>
        </w:rPr>
        <w:t xml:space="preserve">. стали важнейшим этапом в развитии экономики США и всего мирового хозяйства в целом, который характеризуется масштабной структурной перестройкой, связанной с развитием отраслей, основанных на накоплении, переработке и передаче информации. Отрасли </w:t>
      </w:r>
      <w:r w:rsidR="00D51650">
        <w:rPr>
          <w:color w:val="000000"/>
          <w:sz w:val="28"/>
          <w:szCs w:val="28"/>
        </w:rPr>
        <w:t>«</w:t>
      </w:r>
      <w:r w:rsidR="00D51650" w:rsidRPr="00D51650">
        <w:rPr>
          <w:color w:val="000000"/>
          <w:sz w:val="28"/>
          <w:szCs w:val="28"/>
          <w:lang w:val="en-US"/>
        </w:rPr>
        <w:t>h</w:t>
      </w:r>
      <w:r w:rsidRPr="00D51650">
        <w:rPr>
          <w:color w:val="000000"/>
          <w:sz w:val="28"/>
          <w:szCs w:val="28"/>
          <w:lang w:val="en-US"/>
        </w:rPr>
        <w:t>igh</w:t>
      </w:r>
      <w:r w:rsidRPr="00D51650">
        <w:rPr>
          <w:color w:val="000000"/>
          <w:sz w:val="28"/>
          <w:szCs w:val="28"/>
        </w:rPr>
        <w:t>-</w:t>
      </w:r>
      <w:r w:rsidRPr="00D51650">
        <w:rPr>
          <w:color w:val="000000"/>
          <w:sz w:val="28"/>
          <w:szCs w:val="28"/>
          <w:lang w:val="en-US"/>
        </w:rPr>
        <w:t>tech</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превратились в </w:t>
      </w:r>
      <w:r w:rsidR="00D51650">
        <w:rPr>
          <w:color w:val="000000"/>
          <w:sz w:val="28"/>
          <w:szCs w:val="28"/>
        </w:rPr>
        <w:t>«</w:t>
      </w:r>
      <w:r w:rsidR="00D51650" w:rsidRPr="00D51650">
        <w:rPr>
          <w:color w:val="000000"/>
          <w:sz w:val="28"/>
          <w:szCs w:val="28"/>
        </w:rPr>
        <w:t>л</w:t>
      </w:r>
      <w:r w:rsidRPr="00D51650">
        <w:rPr>
          <w:color w:val="000000"/>
          <w:sz w:val="28"/>
          <w:szCs w:val="28"/>
        </w:rPr>
        <w:t>окомотив</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экономического роста и стали сердцевиной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w:t>
      </w:r>
      <w:r w:rsidRPr="00D51650">
        <w:rPr>
          <w:color w:val="000000"/>
          <w:sz w:val="28"/>
          <w:szCs w:val="28"/>
        </w:rPr>
        <w:t xml:space="preserve"> Как отмечает лауреат Нобелевской премии в области экономики </w:t>
      </w:r>
      <w:r w:rsidR="00D51650" w:rsidRPr="00D51650">
        <w:rPr>
          <w:color w:val="000000"/>
          <w:sz w:val="28"/>
          <w:szCs w:val="28"/>
        </w:rPr>
        <w:t>Дж.</w:t>
      </w:r>
      <w:r w:rsidR="00D51650">
        <w:rPr>
          <w:color w:val="000000"/>
          <w:sz w:val="28"/>
          <w:szCs w:val="28"/>
        </w:rPr>
        <w:t> </w:t>
      </w:r>
      <w:r w:rsidR="00D51650" w:rsidRPr="00D51650">
        <w:rPr>
          <w:color w:val="000000"/>
          <w:sz w:val="28"/>
          <w:szCs w:val="28"/>
        </w:rPr>
        <w:t>Стиглиц</w:t>
      </w:r>
      <w:r w:rsidRPr="00D51650">
        <w:rPr>
          <w:color w:val="000000"/>
          <w:sz w:val="28"/>
          <w:szCs w:val="28"/>
        </w:rPr>
        <w:t xml:space="preserve">, появление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обусловлено </w:t>
      </w:r>
      <w:r w:rsidR="00D51650">
        <w:rPr>
          <w:color w:val="000000"/>
          <w:sz w:val="28"/>
          <w:szCs w:val="28"/>
        </w:rPr>
        <w:t>«</w:t>
      </w:r>
      <w:r w:rsidR="00D51650" w:rsidRPr="00D51650">
        <w:rPr>
          <w:color w:val="000000"/>
          <w:sz w:val="28"/>
          <w:szCs w:val="28"/>
        </w:rPr>
        <w:t>с</w:t>
      </w:r>
      <w:r w:rsidRPr="00D51650">
        <w:rPr>
          <w:color w:val="000000"/>
          <w:sz w:val="28"/>
          <w:szCs w:val="28"/>
        </w:rPr>
        <w:t>двигом производства вещей к производству идей, связанному с переработкой информации, а не с переработкой материальных запасов или обслуживанием людей</w:t>
      </w:r>
      <w:r w:rsidR="00D51650">
        <w:rPr>
          <w:color w:val="000000"/>
          <w:sz w:val="28"/>
          <w:szCs w:val="28"/>
        </w:rPr>
        <w:t>»</w:t>
      </w:r>
      <w:r w:rsidR="00D51650" w:rsidRPr="00D51650">
        <w:rPr>
          <w:color w:val="000000"/>
          <w:sz w:val="28"/>
          <w:szCs w:val="28"/>
        </w:rPr>
        <w:t>.</w:t>
      </w:r>
    </w:p>
    <w:p w:rsidR="00816C65" w:rsidRPr="00D51650" w:rsidRDefault="00D51650" w:rsidP="00D51650">
      <w:pPr>
        <w:autoSpaceDE w:val="0"/>
        <w:autoSpaceDN w:val="0"/>
        <w:adjustRightInd w:val="0"/>
        <w:spacing w:line="360" w:lineRule="auto"/>
        <w:ind w:firstLine="709"/>
        <w:jc w:val="both"/>
        <w:rPr>
          <w:color w:val="000000"/>
          <w:sz w:val="28"/>
          <w:szCs w:val="28"/>
        </w:rPr>
      </w:pPr>
      <w:r w:rsidRPr="00D51650">
        <w:rPr>
          <w:color w:val="000000"/>
          <w:sz w:val="28"/>
          <w:szCs w:val="28"/>
        </w:rPr>
        <w:t>А.</w:t>
      </w:r>
      <w:r>
        <w:rPr>
          <w:color w:val="000000"/>
          <w:sz w:val="28"/>
          <w:szCs w:val="28"/>
        </w:rPr>
        <w:t> </w:t>
      </w:r>
      <w:r w:rsidRPr="00D51650">
        <w:rPr>
          <w:color w:val="000000"/>
          <w:sz w:val="28"/>
          <w:szCs w:val="28"/>
        </w:rPr>
        <w:t>Гринспен</w:t>
      </w:r>
      <w:r w:rsidR="00816C65" w:rsidRPr="00D51650">
        <w:rPr>
          <w:color w:val="000000"/>
          <w:sz w:val="28"/>
          <w:szCs w:val="28"/>
        </w:rPr>
        <w:t>, один из наиболее влиятельных американских финансистов прошлого века, анализируя структурные изменения в экономике США в конце XX</w:t>
      </w:r>
      <w:r>
        <w:rPr>
          <w:color w:val="000000"/>
          <w:sz w:val="28"/>
          <w:szCs w:val="28"/>
        </w:rPr>
        <w:t> </w:t>
      </w:r>
      <w:r w:rsidRPr="00D51650">
        <w:rPr>
          <w:color w:val="000000"/>
          <w:sz w:val="28"/>
          <w:szCs w:val="28"/>
        </w:rPr>
        <w:t>в</w:t>
      </w:r>
      <w:r w:rsidR="00816C65" w:rsidRPr="00D51650">
        <w:rPr>
          <w:color w:val="000000"/>
          <w:sz w:val="28"/>
          <w:szCs w:val="28"/>
        </w:rPr>
        <w:t xml:space="preserve">., подчеркивал, что </w:t>
      </w:r>
      <w:r>
        <w:rPr>
          <w:color w:val="000000"/>
          <w:sz w:val="28"/>
          <w:szCs w:val="28"/>
        </w:rPr>
        <w:t>«</w:t>
      </w:r>
      <w:r w:rsidRPr="00D51650">
        <w:rPr>
          <w:color w:val="000000"/>
          <w:sz w:val="28"/>
          <w:szCs w:val="28"/>
        </w:rPr>
        <w:t>с</w:t>
      </w:r>
      <w:r w:rsidR="00816C65" w:rsidRPr="00D51650">
        <w:rPr>
          <w:color w:val="000000"/>
          <w:sz w:val="28"/>
          <w:szCs w:val="28"/>
        </w:rPr>
        <w:t>егодня взгляды на экономическое лидерство больше сосредоточены на уменьшенных, менее осязаемых параметрах веса и объема, требующих технологически более квалифицированного труда</w:t>
      </w:r>
      <w:r>
        <w:rPr>
          <w:color w:val="000000"/>
          <w:sz w:val="28"/>
          <w:szCs w:val="28"/>
        </w:rPr>
        <w:t>»</w:t>
      </w:r>
      <w:r w:rsidRPr="00D51650">
        <w:rPr>
          <w:color w:val="000000"/>
          <w:sz w:val="28"/>
          <w:szCs w:val="28"/>
        </w:rPr>
        <w:t>.</w:t>
      </w:r>
      <w:r w:rsidR="00816C65" w:rsidRPr="00D51650">
        <w:rPr>
          <w:color w:val="000000"/>
          <w:sz w:val="28"/>
          <w:szCs w:val="28"/>
        </w:rPr>
        <w:t xml:space="preserve"> </w:t>
      </w:r>
      <w:r>
        <w:rPr>
          <w:color w:val="000000"/>
          <w:sz w:val="28"/>
          <w:szCs w:val="28"/>
        </w:rPr>
        <w:t>«</w:t>
      </w:r>
      <w:r w:rsidRPr="00D51650">
        <w:rPr>
          <w:color w:val="000000"/>
          <w:sz w:val="28"/>
          <w:szCs w:val="28"/>
        </w:rPr>
        <w:t>Е</w:t>
      </w:r>
      <w:r w:rsidR="00816C65" w:rsidRPr="00D51650">
        <w:rPr>
          <w:color w:val="000000"/>
          <w:sz w:val="28"/>
          <w:szCs w:val="28"/>
        </w:rPr>
        <w:t xml:space="preserve">сли XX век был столетием отраслей, основанных на использовании естественных ресурсов (стали, нефти, зерна </w:t>
      </w:r>
      <w:r>
        <w:rPr>
          <w:color w:val="000000"/>
          <w:sz w:val="28"/>
          <w:szCs w:val="28"/>
        </w:rPr>
        <w:t>и т.д.</w:t>
      </w:r>
      <w:r w:rsidR="00816C65" w:rsidRPr="00D51650">
        <w:rPr>
          <w:color w:val="000000"/>
          <w:sz w:val="28"/>
          <w:szCs w:val="28"/>
        </w:rPr>
        <w:t xml:space="preserve">), то XXI век станет столетием того, что я ранее назвал </w:t>
      </w:r>
      <w:r>
        <w:rPr>
          <w:color w:val="000000"/>
          <w:sz w:val="28"/>
          <w:szCs w:val="28"/>
        </w:rPr>
        <w:t>«</w:t>
      </w:r>
      <w:r w:rsidRPr="00D51650">
        <w:rPr>
          <w:color w:val="000000"/>
          <w:sz w:val="28"/>
          <w:szCs w:val="28"/>
        </w:rPr>
        <w:t>и</w:t>
      </w:r>
      <w:r w:rsidR="00816C65" w:rsidRPr="00D51650">
        <w:rPr>
          <w:color w:val="000000"/>
          <w:sz w:val="28"/>
          <w:szCs w:val="28"/>
        </w:rPr>
        <w:t>скусственными интеллектуальными отраслями</w:t>
      </w:r>
      <w:r>
        <w:rPr>
          <w:color w:val="000000"/>
          <w:sz w:val="28"/>
          <w:szCs w:val="28"/>
        </w:rPr>
        <w:t>»</w:t>
      </w:r>
      <w:r w:rsidRPr="00D51650">
        <w:rPr>
          <w:color w:val="000000"/>
          <w:sz w:val="28"/>
          <w:szCs w:val="28"/>
        </w:rPr>
        <w:t xml:space="preserve"> </w:t>
      </w:r>
      <w:r w:rsidR="00816C65" w:rsidRPr="00D51650">
        <w:rPr>
          <w:color w:val="000000"/>
          <w:sz w:val="28"/>
          <w:szCs w:val="28"/>
        </w:rPr>
        <w:t>(</w:t>
      </w:r>
      <w:r w:rsidR="00816C65" w:rsidRPr="00D51650">
        <w:rPr>
          <w:color w:val="000000"/>
          <w:sz w:val="28"/>
          <w:szCs w:val="28"/>
          <w:lang w:val="en-US"/>
        </w:rPr>
        <w:t>man</w:t>
      </w:r>
      <w:r w:rsidR="00816C65" w:rsidRPr="00D51650">
        <w:rPr>
          <w:color w:val="000000"/>
          <w:sz w:val="28"/>
          <w:szCs w:val="28"/>
        </w:rPr>
        <w:t>-</w:t>
      </w:r>
      <w:r w:rsidR="00816C65" w:rsidRPr="00D51650">
        <w:rPr>
          <w:color w:val="000000"/>
          <w:sz w:val="28"/>
          <w:szCs w:val="28"/>
          <w:lang w:val="en-US"/>
        </w:rPr>
        <w:t>made</w:t>
      </w:r>
      <w:r w:rsidR="00816C65" w:rsidRPr="00D51650">
        <w:rPr>
          <w:color w:val="000000"/>
          <w:sz w:val="28"/>
          <w:szCs w:val="28"/>
        </w:rPr>
        <w:t xml:space="preserve"> </w:t>
      </w:r>
      <w:r w:rsidR="00816C65" w:rsidRPr="00D51650">
        <w:rPr>
          <w:color w:val="000000"/>
          <w:sz w:val="28"/>
          <w:szCs w:val="28"/>
          <w:lang w:val="en-US"/>
        </w:rPr>
        <w:t>brain</w:t>
      </w:r>
      <w:r w:rsidR="00816C65" w:rsidRPr="00D51650">
        <w:rPr>
          <w:color w:val="000000"/>
          <w:sz w:val="28"/>
          <w:szCs w:val="28"/>
        </w:rPr>
        <w:t>-</w:t>
      </w:r>
      <w:r w:rsidR="00816C65" w:rsidRPr="00D51650">
        <w:rPr>
          <w:color w:val="000000"/>
          <w:sz w:val="28"/>
          <w:szCs w:val="28"/>
          <w:lang w:val="en-US"/>
        </w:rPr>
        <w:t>power</w:t>
      </w:r>
      <w:r w:rsidR="00816C65" w:rsidRPr="00D51650">
        <w:rPr>
          <w:color w:val="000000"/>
          <w:sz w:val="28"/>
          <w:szCs w:val="28"/>
        </w:rPr>
        <w:t xml:space="preserve"> </w:t>
      </w:r>
      <w:r w:rsidR="00816C65" w:rsidRPr="00D51650">
        <w:rPr>
          <w:color w:val="000000"/>
          <w:sz w:val="28"/>
          <w:szCs w:val="28"/>
          <w:lang w:val="en-US"/>
        </w:rPr>
        <w:t>industries</w:t>
      </w:r>
      <w:r w:rsidR="00816C65" w:rsidRPr="00D51650">
        <w:rPr>
          <w:color w:val="000000"/>
          <w:sz w:val="28"/>
          <w:szCs w:val="28"/>
        </w:rPr>
        <w:t>). К ним можно отнести микроэлектронику, биотехнологии, телекоммуникации, производство компьютеров, роботов и новых материалов</w:t>
      </w:r>
      <w:r>
        <w:rPr>
          <w:color w:val="000000"/>
          <w:sz w:val="28"/>
          <w:szCs w:val="28"/>
        </w:rPr>
        <w:t>»</w:t>
      </w:r>
      <w:r w:rsidRPr="00D51650">
        <w:rPr>
          <w:color w:val="000000"/>
          <w:sz w:val="28"/>
          <w:szCs w:val="28"/>
        </w:rPr>
        <w:t>,</w:t>
      </w:r>
      <w:r w:rsidR="00816C65" w:rsidRPr="00D51650">
        <w:rPr>
          <w:color w:val="000000"/>
          <w:sz w:val="28"/>
          <w:szCs w:val="28"/>
        </w:rPr>
        <w:t xml:space="preserve"> </w:t>
      </w:r>
      <w:r>
        <w:rPr>
          <w:color w:val="000000"/>
          <w:sz w:val="28"/>
          <w:szCs w:val="28"/>
        </w:rPr>
        <w:t>–</w:t>
      </w:r>
      <w:r w:rsidRPr="00D51650">
        <w:rPr>
          <w:color w:val="000000"/>
          <w:sz w:val="28"/>
          <w:szCs w:val="28"/>
        </w:rPr>
        <w:t xml:space="preserve"> </w:t>
      </w:r>
      <w:r w:rsidR="00816C65" w:rsidRPr="00D51650">
        <w:rPr>
          <w:color w:val="000000"/>
          <w:sz w:val="28"/>
          <w:szCs w:val="28"/>
        </w:rPr>
        <w:t xml:space="preserve">вторит </w:t>
      </w:r>
      <w:r w:rsidRPr="00D51650">
        <w:rPr>
          <w:color w:val="000000"/>
          <w:sz w:val="28"/>
          <w:szCs w:val="28"/>
        </w:rPr>
        <w:t>А.</w:t>
      </w:r>
      <w:r>
        <w:rPr>
          <w:color w:val="000000"/>
          <w:sz w:val="28"/>
          <w:szCs w:val="28"/>
        </w:rPr>
        <w:t> </w:t>
      </w:r>
      <w:r w:rsidRPr="00D51650">
        <w:rPr>
          <w:color w:val="000000"/>
          <w:sz w:val="28"/>
          <w:szCs w:val="28"/>
        </w:rPr>
        <w:t>Гринспену</w:t>
      </w:r>
      <w:r w:rsidR="00816C65" w:rsidRPr="00D51650">
        <w:rPr>
          <w:color w:val="000000"/>
          <w:sz w:val="28"/>
          <w:szCs w:val="28"/>
        </w:rPr>
        <w:t xml:space="preserve">, выделяя при этом отрасли, составляющие ядро </w:t>
      </w:r>
      <w:r>
        <w:rPr>
          <w:color w:val="000000"/>
          <w:sz w:val="28"/>
          <w:szCs w:val="28"/>
        </w:rPr>
        <w:t>«</w:t>
      </w:r>
      <w:r w:rsidRPr="00D51650">
        <w:rPr>
          <w:color w:val="000000"/>
          <w:sz w:val="28"/>
          <w:szCs w:val="28"/>
        </w:rPr>
        <w:t>н</w:t>
      </w:r>
      <w:r w:rsidR="00816C65" w:rsidRPr="00D51650">
        <w:rPr>
          <w:color w:val="000000"/>
          <w:sz w:val="28"/>
          <w:szCs w:val="28"/>
        </w:rPr>
        <w:t>овой экономики</w:t>
      </w:r>
      <w:r>
        <w:rPr>
          <w:color w:val="000000"/>
          <w:sz w:val="28"/>
          <w:szCs w:val="28"/>
        </w:rPr>
        <w:t>»</w:t>
      </w:r>
      <w:r w:rsidRPr="00D51650">
        <w:rPr>
          <w:color w:val="000000"/>
          <w:sz w:val="28"/>
          <w:szCs w:val="28"/>
        </w:rPr>
        <w:t>,</w:t>
      </w:r>
      <w:r w:rsidR="00816C65" w:rsidRPr="00D51650">
        <w:rPr>
          <w:color w:val="000000"/>
          <w:sz w:val="28"/>
          <w:szCs w:val="28"/>
        </w:rPr>
        <w:t xml:space="preserve"> известный американский специалист по проблемам развития глобальной экономики </w:t>
      </w:r>
      <w:r w:rsidRPr="00D51650">
        <w:rPr>
          <w:color w:val="000000"/>
          <w:sz w:val="28"/>
          <w:szCs w:val="28"/>
        </w:rPr>
        <w:t>Л.К.</w:t>
      </w:r>
      <w:r>
        <w:rPr>
          <w:color w:val="000000"/>
          <w:sz w:val="28"/>
          <w:szCs w:val="28"/>
        </w:rPr>
        <w:t> </w:t>
      </w:r>
      <w:r w:rsidRPr="00D51650">
        <w:rPr>
          <w:color w:val="000000"/>
          <w:sz w:val="28"/>
          <w:szCs w:val="28"/>
        </w:rPr>
        <w:t>Туроу</w:t>
      </w:r>
      <w:r w:rsidR="00816C65" w:rsidRPr="00D51650">
        <w:rPr>
          <w:color w:val="000000"/>
          <w:sz w:val="28"/>
          <w:szCs w:val="28"/>
        </w:rPr>
        <w:t>. По его мнению, центральным ресурсом XXI</w:t>
      </w:r>
      <w:r>
        <w:rPr>
          <w:color w:val="000000"/>
          <w:sz w:val="28"/>
          <w:szCs w:val="28"/>
        </w:rPr>
        <w:t> </w:t>
      </w:r>
      <w:r w:rsidRPr="00D51650">
        <w:rPr>
          <w:color w:val="000000"/>
          <w:sz w:val="28"/>
          <w:szCs w:val="28"/>
        </w:rPr>
        <w:t>в</w:t>
      </w:r>
      <w:r w:rsidR="00816C65" w:rsidRPr="00D51650">
        <w:rPr>
          <w:color w:val="000000"/>
          <w:sz w:val="28"/>
          <w:szCs w:val="28"/>
        </w:rPr>
        <w:t>. станут знания и способность человека использовать их.</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Таким образом, в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экономике</w:t>
      </w:r>
      <w:r w:rsidR="00D51650">
        <w:rPr>
          <w:color w:val="000000"/>
          <w:sz w:val="28"/>
          <w:szCs w:val="28"/>
        </w:rPr>
        <w:t>»</w:t>
      </w:r>
      <w:r w:rsidR="00D51650" w:rsidRPr="00D51650">
        <w:rPr>
          <w:color w:val="000000"/>
          <w:sz w:val="28"/>
          <w:szCs w:val="28"/>
        </w:rPr>
        <w:t xml:space="preserve"> </w:t>
      </w:r>
      <w:r w:rsidRPr="00D51650">
        <w:rPr>
          <w:color w:val="000000"/>
          <w:sz w:val="28"/>
          <w:szCs w:val="28"/>
        </w:rPr>
        <w:t>интеллектуальный капитал играет более важную роль по сравнению с физическим капиталом, оттесняя его на задний план. В экономической литературе интеллектуальный капитал фирмы рассматривается как неосязаемый элемент ее активов, измеряемый как разница между ее рыночной и балансовой стоимостью. Его составными частями являются человеческий (</w:t>
      </w:r>
      <w:r w:rsidRPr="00D51650">
        <w:rPr>
          <w:color w:val="000000"/>
          <w:sz w:val="28"/>
          <w:szCs w:val="28"/>
          <w:lang w:val="en-US"/>
        </w:rPr>
        <w:t>human</w:t>
      </w:r>
      <w:r w:rsidRPr="00D51650">
        <w:rPr>
          <w:color w:val="000000"/>
          <w:sz w:val="28"/>
          <w:szCs w:val="28"/>
        </w:rPr>
        <w:t xml:space="preserve"> </w:t>
      </w:r>
      <w:r w:rsidRPr="00D51650">
        <w:rPr>
          <w:color w:val="000000"/>
          <w:sz w:val="28"/>
          <w:szCs w:val="28"/>
          <w:lang w:val="en-US"/>
        </w:rPr>
        <w:t>capital</w:t>
      </w:r>
      <w:r w:rsidRPr="00D51650">
        <w:rPr>
          <w:color w:val="000000"/>
          <w:sz w:val="28"/>
          <w:szCs w:val="28"/>
        </w:rPr>
        <w:t>) и структурный (</w:t>
      </w:r>
      <w:r w:rsidRPr="00D51650">
        <w:rPr>
          <w:color w:val="000000"/>
          <w:sz w:val="28"/>
          <w:szCs w:val="28"/>
          <w:lang w:val="en-US"/>
        </w:rPr>
        <w:t>structural</w:t>
      </w:r>
      <w:r w:rsidRPr="00D51650">
        <w:rPr>
          <w:color w:val="000000"/>
          <w:sz w:val="28"/>
          <w:szCs w:val="28"/>
        </w:rPr>
        <w:t xml:space="preserve"> </w:t>
      </w:r>
      <w:r w:rsidRPr="00D51650">
        <w:rPr>
          <w:color w:val="000000"/>
          <w:sz w:val="28"/>
          <w:szCs w:val="28"/>
          <w:lang w:val="en-US"/>
        </w:rPr>
        <w:t>capital</w:t>
      </w:r>
      <w:r w:rsidRPr="00D51650">
        <w:rPr>
          <w:color w:val="000000"/>
          <w:sz w:val="28"/>
          <w:szCs w:val="28"/>
        </w:rPr>
        <w:t xml:space="preserve">) капитал. Первый из них представляет собой совокупность знаний, умений и творческих способностей работников, а второй </w:t>
      </w:r>
      <w:r w:rsidR="00D51650">
        <w:rPr>
          <w:color w:val="000000"/>
          <w:sz w:val="28"/>
          <w:szCs w:val="28"/>
        </w:rPr>
        <w:t>–</w:t>
      </w:r>
      <w:r w:rsidR="00D51650" w:rsidRPr="00D51650">
        <w:rPr>
          <w:color w:val="000000"/>
          <w:sz w:val="28"/>
          <w:szCs w:val="28"/>
        </w:rPr>
        <w:t xml:space="preserve"> </w:t>
      </w:r>
      <w:r w:rsidRPr="00D51650">
        <w:rPr>
          <w:color w:val="000000"/>
          <w:sz w:val="28"/>
          <w:szCs w:val="28"/>
        </w:rPr>
        <w:t>техническое и программное обеспечение информационных систем и баз данных, организационную структуру корпорации, принадлежащие ей патенты и торговые марки. Каждый из указанных элементов порожден человеческими знаниями, и именно совокупность этих элементов, по мнению ряда исследователей, определяет скрытые источники ценности (</w:t>
      </w:r>
      <w:r w:rsidRPr="00D51650">
        <w:rPr>
          <w:color w:val="000000"/>
          <w:sz w:val="28"/>
          <w:szCs w:val="28"/>
          <w:lang w:val="en-US"/>
        </w:rPr>
        <w:t>hidden</w:t>
      </w:r>
      <w:r w:rsidRPr="00D51650">
        <w:rPr>
          <w:color w:val="000000"/>
          <w:sz w:val="28"/>
          <w:szCs w:val="28"/>
        </w:rPr>
        <w:t xml:space="preserve"> </w:t>
      </w:r>
      <w:r w:rsidRPr="00D51650">
        <w:rPr>
          <w:color w:val="000000"/>
          <w:sz w:val="28"/>
          <w:szCs w:val="28"/>
          <w:lang w:val="en-US"/>
        </w:rPr>
        <w:t>values</w:t>
      </w:r>
      <w:r w:rsidRPr="00D51650">
        <w:rPr>
          <w:color w:val="000000"/>
          <w:sz w:val="28"/>
          <w:szCs w:val="28"/>
        </w:rPr>
        <w:t>), наделяющие компанию чрезвычайно высокой рыночной оценкой.</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В узком смысле термином</w:t>
      </w:r>
      <w:r w:rsidR="00D51650" w:rsidRPr="00D51650">
        <w:rPr>
          <w:color w:val="000000"/>
          <w:sz w:val="28"/>
          <w:szCs w:val="28"/>
        </w:rPr>
        <w:t xml:space="preserve"> </w:t>
      </w:r>
      <w:r w:rsidR="00D51650">
        <w:rPr>
          <w:color w:val="000000"/>
          <w:sz w:val="28"/>
          <w:szCs w:val="28"/>
        </w:rPr>
        <w:t>«</w:t>
      </w:r>
      <w:r w:rsidR="00D51650" w:rsidRPr="00D51650">
        <w:rPr>
          <w:color w:val="000000"/>
          <w:sz w:val="28"/>
          <w:szCs w:val="28"/>
        </w:rPr>
        <w:t>новая экономика</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обозначают стремительно развивающийся сектор высоких технологий, в широком смысле </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экономическую действительность, которая сформировалась в странах Запада в конце прошлого века. Наряду с этим понятием, для обозначения современной стадии экономического развития западных стран довольно широко используется термин </w:t>
      </w:r>
      <w:r w:rsidR="00D51650">
        <w:rPr>
          <w:color w:val="000000"/>
          <w:sz w:val="28"/>
          <w:szCs w:val="28"/>
        </w:rPr>
        <w:t>«</w:t>
      </w:r>
      <w:r w:rsidR="00D51650" w:rsidRPr="00D51650">
        <w:rPr>
          <w:color w:val="000000"/>
          <w:sz w:val="28"/>
          <w:szCs w:val="28"/>
        </w:rPr>
        <w:t>п</w:t>
      </w:r>
      <w:r w:rsidRPr="00D51650">
        <w:rPr>
          <w:color w:val="000000"/>
          <w:sz w:val="28"/>
          <w:szCs w:val="28"/>
        </w:rPr>
        <w:t>остиндустриальное общество</w:t>
      </w:r>
      <w:r w:rsidR="00D51650">
        <w:rPr>
          <w:color w:val="000000"/>
          <w:sz w:val="28"/>
          <w:szCs w:val="28"/>
        </w:rPr>
        <w:t>»</w:t>
      </w:r>
      <w:r w:rsidR="00D51650" w:rsidRPr="00D51650">
        <w:rPr>
          <w:color w:val="000000"/>
          <w:sz w:val="28"/>
          <w:szCs w:val="28"/>
        </w:rPr>
        <w:t>.</w:t>
      </w:r>
      <w:r w:rsidRPr="00D51650">
        <w:rPr>
          <w:color w:val="000000"/>
          <w:sz w:val="28"/>
          <w:szCs w:val="28"/>
        </w:rPr>
        <w:t xml:space="preserve"> На наш взгляд, </w:t>
      </w:r>
      <w:r w:rsidR="00D51650">
        <w:rPr>
          <w:color w:val="000000"/>
          <w:sz w:val="28"/>
          <w:szCs w:val="28"/>
        </w:rPr>
        <w:t>«</w:t>
      </w:r>
      <w:r w:rsidR="00D51650" w:rsidRPr="00D51650">
        <w:rPr>
          <w:color w:val="000000"/>
          <w:sz w:val="28"/>
          <w:szCs w:val="28"/>
        </w:rPr>
        <w:t>н</w:t>
      </w:r>
      <w:r w:rsidRPr="00D51650">
        <w:rPr>
          <w:color w:val="000000"/>
          <w:sz w:val="28"/>
          <w:szCs w:val="28"/>
        </w:rPr>
        <w:t>овая экономика</w:t>
      </w:r>
      <w:r w:rsidR="00D51650">
        <w:rPr>
          <w:color w:val="000000"/>
          <w:sz w:val="28"/>
          <w:szCs w:val="28"/>
        </w:rPr>
        <w:t>»</w:t>
      </w:r>
      <w:r w:rsidR="00D51650" w:rsidRPr="00D51650">
        <w:rPr>
          <w:color w:val="000000"/>
          <w:sz w:val="28"/>
          <w:szCs w:val="28"/>
        </w:rPr>
        <w:t xml:space="preserve"> </w:t>
      </w:r>
      <w:r w:rsidRPr="00D51650">
        <w:rPr>
          <w:color w:val="000000"/>
          <w:sz w:val="28"/>
          <w:szCs w:val="28"/>
        </w:rPr>
        <w:t>представляет собой экономику, состоящую из фирм и отраслей, наиболее тесно связанных с революцией в цифровой технологии и с развитием сети Интернет.</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В совместной работе </w:t>
      </w:r>
      <w:r w:rsidR="00D51650" w:rsidRPr="00D51650">
        <w:rPr>
          <w:color w:val="000000"/>
          <w:sz w:val="28"/>
          <w:szCs w:val="28"/>
        </w:rPr>
        <w:t>Л.</w:t>
      </w:r>
      <w:r w:rsidR="00D51650">
        <w:rPr>
          <w:color w:val="000000"/>
          <w:sz w:val="28"/>
          <w:szCs w:val="28"/>
        </w:rPr>
        <w:t> </w:t>
      </w:r>
      <w:r w:rsidR="00D51650" w:rsidRPr="00D51650">
        <w:rPr>
          <w:color w:val="000000"/>
          <w:sz w:val="28"/>
          <w:szCs w:val="28"/>
        </w:rPr>
        <w:t>Эдвинссона</w:t>
      </w:r>
      <w:r w:rsidRPr="00D51650">
        <w:rPr>
          <w:color w:val="000000"/>
          <w:sz w:val="28"/>
          <w:szCs w:val="28"/>
        </w:rPr>
        <w:t xml:space="preserve"> и </w:t>
      </w:r>
      <w:r w:rsidR="00D51650" w:rsidRPr="00D51650">
        <w:rPr>
          <w:color w:val="000000"/>
          <w:sz w:val="28"/>
          <w:szCs w:val="28"/>
        </w:rPr>
        <w:t>М.</w:t>
      </w:r>
      <w:r w:rsidR="00D51650">
        <w:rPr>
          <w:color w:val="000000"/>
          <w:sz w:val="28"/>
          <w:szCs w:val="28"/>
        </w:rPr>
        <w:t> </w:t>
      </w:r>
      <w:r w:rsidR="00D51650" w:rsidRPr="00D51650">
        <w:rPr>
          <w:color w:val="000000"/>
          <w:sz w:val="28"/>
          <w:szCs w:val="28"/>
        </w:rPr>
        <w:t>Мэлоуна</w:t>
      </w:r>
      <w:r w:rsidRPr="00D51650">
        <w:rPr>
          <w:color w:val="000000"/>
          <w:sz w:val="28"/>
          <w:szCs w:val="28"/>
        </w:rPr>
        <w:t xml:space="preserve">, посвященной оценке новых факторов производства в информационной экономике, подчеркивается, что </w:t>
      </w:r>
      <w:r w:rsidR="00D51650">
        <w:rPr>
          <w:color w:val="000000"/>
          <w:sz w:val="28"/>
          <w:szCs w:val="28"/>
        </w:rPr>
        <w:t>«</w:t>
      </w:r>
      <w:r w:rsidR="00D51650" w:rsidRPr="00D51650">
        <w:rPr>
          <w:color w:val="000000"/>
          <w:sz w:val="28"/>
          <w:szCs w:val="28"/>
        </w:rPr>
        <w:t>п</w:t>
      </w:r>
      <w:r w:rsidRPr="00D51650">
        <w:rPr>
          <w:color w:val="000000"/>
          <w:sz w:val="28"/>
          <w:szCs w:val="28"/>
        </w:rPr>
        <w:t xml:space="preserve">онятие интеллектуального капитала начинает доминировать в методах стоимостной оценки организаций, поскольку только оно отражает динамику организационного развития и созидания стоимости. Только оно учитывает тот факт, что изменения современных предприятий происходят так быстро, что все, на что остается полагаться, </w:t>
      </w:r>
      <w:r w:rsidR="00D51650">
        <w:rPr>
          <w:color w:val="000000"/>
          <w:sz w:val="28"/>
          <w:szCs w:val="28"/>
        </w:rPr>
        <w:t>–</w:t>
      </w:r>
      <w:r w:rsidR="00D51650" w:rsidRPr="00D51650">
        <w:rPr>
          <w:color w:val="000000"/>
          <w:sz w:val="28"/>
          <w:szCs w:val="28"/>
        </w:rPr>
        <w:t xml:space="preserve"> </w:t>
      </w:r>
      <w:r w:rsidRPr="00D51650">
        <w:rPr>
          <w:color w:val="000000"/>
          <w:sz w:val="28"/>
          <w:szCs w:val="28"/>
        </w:rPr>
        <w:t>это талант и преданность сотрудников компаний</w:t>
      </w:r>
      <w:r w:rsidR="00D51650">
        <w:rPr>
          <w:color w:val="000000"/>
          <w:sz w:val="28"/>
          <w:szCs w:val="28"/>
        </w:rPr>
        <w:t>»</w:t>
      </w:r>
      <w:r w:rsidR="00D51650" w:rsidRPr="00D51650">
        <w:rPr>
          <w:color w:val="000000"/>
          <w:sz w:val="28"/>
          <w:szCs w:val="28"/>
        </w:rPr>
        <w:t>.</w:t>
      </w:r>
      <w:r w:rsidRPr="00D51650">
        <w:rPr>
          <w:color w:val="000000"/>
          <w:sz w:val="28"/>
          <w:szCs w:val="28"/>
        </w:rPr>
        <w:t xml:space="preserve"> Авторы отмечают, что за последние 20 лет существенно расширился разрыв между стоимостью предприятий, зафиксированной в их балансовых отчетах, и оценкой этой стоимости со стороны инвесторов. Согласно данным за 1992</w:t>
      </w:r>
      <w:r w:rsidR="00D51650">
        <w:rPr>
          <w:color w:val="000000"/>
          <w:sz w:val="28"/>
          <w:szCs w:val="28"/>
        </w:rPr>
        <w:t> </w:t>
      </w:r>
      <w:r w:rsidR="00D51650" w:rsidRPr="00D51650">
        <w:rPr>
          <w:color w:val="000000"/>
          <w:sz w:val="28"/>
          <w:szCs w:val="28"/>
        </w:rPr>
        <w:t>г</w:t>
      </w:r>
      <w:r w:rsidRPr="00D51650">
        <w:rPr>
          <w:color w:val="000000"/>
          <w:sz w:val="28"/>
          <w:szCs w:val="28"/>
        </w:rPr>
        <w:t>., в балансовой отчетности среднестатистической американской компании не находили отражения около 4</w:t>
      </w:r>
      <w:r w:rsidR="00D51650" w:rsidRPr="00D51650">
        <w:rPr>
          <w:color w:val="000000"/>
          <w:sz w:val="28"/>
          <w:szCs w:val="28"/>
        </w:rPr>
        <w:t>0</w:t>
      </w:r>
      <w:r w:rsidR="00D51650">
        <w:rPr>
          <w:color w:val="000000"/>
          <w:sz w:val="28"/>
          <w:szCs w:val="28"/>
        </w:rPr>
        <w:t>%</w:t>
      </w:r>
      <w:r w:rsidRPr="00D51650">
        <w:rPr>
          <w:color w:val="000000"/>
          <w:sz w:val="28"/>
          <w:szCs w:val="28"/>
        </w:rPr>
        <w:t xml:space="preserve"> ее рыночной стоимости. Во второй половине 90</w:t>
      </w:r>
      <w:r w:rsidR="00D51650">
        <w:rPr>
          <w:color w:val="000000"/>
          <w:sz w:val="28"/>
          <w:szCs w:val="28"/>
        </w:rPr>
        <w:t>-</w:t>
      </w:r>
      <w:r w:rsidR="00D51650" w:rsidRPr="00D51650">
        <w:rPr>
          <w:color w:val="000000"/>
          <w:sz w:val="28"/>
          <w:szCs w:val="28"/>
        </w:rPr>
        <w:t>х</w:t>
      </w:r>
      <w:r w:rsidRPr="00D51650">
        <w:rPr>
          <w:color w:val="000000"/>
          <w:sz w:val="28"/>
          <w:szCs w:val="28"/>
        </w:rPr>
        <w:t xml:space="preserve"> годов обозначенная тенденция приобрела более масштабный характер. Так, в 1995</w:t>
      </w:r>
      <w:r w:rsidR="00D51650">
        <w:rPr>
          <w:color w:val="000000"/>
          <w:sz w:val="28"/>
          <w:szCs w:val="28"/>
        </w:rPr>
        <w:t> </w:t>
      </w:r>
      <w:r w:rsidR="00D51650" w:rsidRPr="00D51650">
        <w:rPr>
          <w:color w:val="000000"/>
          <w:sz w:val="28"/>
          <w:szCs w:val="28"/>
        </w:rPr>
        <w:t>г</w:t>
      </w:r>
      <w:r w:rsidRPr="00D51650">
        <w:rPr>
          <w:color w:val="000000"/>
          <w:sz w:val="28"/>
          <w:szCs w:val="28"/>
        </w:rPr>
        <w:t xml:space="preserve">. корпорация </w:t>
      </w:r>
      <w:r w:rsidR="00D51650">
        <w:rPr>
          <w:color w:val="000000"/>
          <w:sz w:val="28"/>
          <w:szCs w:val="28"/>
        </w:rPr>
        <w:t>«</w:t>
      </w:r>
      <w:r w:rsidR="00D51650" w:rsidRPr="00D51650">
        <w:rPr>
          <w:color w:val="000000"/>
          <w:sz w:val="28"/>
          <w:szCs w:val="28"/>
          <w:lang w:val="en-US"/>
        </w:rPr>
        <w:t>I</w:t>
      </w:r>
      <w:r w:rsidRPr="00D51650">
        <w:rPr>
          <w:color w:val="000000"/>
          <w:sz w:val="28"/>
          <w:szCs w:val="28"/>
          <w:lang w:val="en-US"/>
        </w:rPr>
        <w:t>BM</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за 3,5 млрд. дол. приобрела компанию </w:t>
      </w:r>
      <w:r w:rsidR="00D51650">
        <w:rPr>
          <w:color w:val="000000"/>
          <w:sz w:val="28"/>
          <w:szCs w:val="28"/>
        </w:rPr>
        <w:t>«</w:t>
      </w:r>
      <w:r w:rsidR="00D51650" w:rsidRPr="00D51650">
        <w:rPr>
          <w:color w:val="000000"/>
          <w:sz w:val="28"/>
          <w:szCs w:val="28"/>
          <w:lang w:val="en-US"/>
        </w:rPr>
        <w:t>L</w:t>
      </w:r>
      <w:r w:rsidRPr="00D51650">
        <w:rPr>
          <w:color w:val="000000"/>
          <w:sz w:val="28"/>
          <w:szCs w:val="28"/>
          <w:lang w:val="en-US"/>
        </w:rPr>
        <w:t>otus</w:t>
      </w:r>
      <w:r w:rsidRPr="00D51650">
        <w:rPr>
          <w:color w:val="000000"/>
          <w:sz w:val="28"/>
          <w:szCs w:val="28"/>
        </w:rPr>
        <w:t xml:space="preserve"> </w:t>
      </w:r>
      <w:r w:rsidRPr="00D51650">
        <w:rPr>
          <w:color w:val="000000"/>
          <w:sz w:val="28"/>
          <w:szCs w:val="28"/>
          <w:lang w:val="en-US"/>
        </w:rPr>
        <w:t>Development</w:t>
      </w:r>
      <w:r w:rsidR="00D51650">
        <w:rPr>
          <w:color w:val="000000"/>
          <w:sz w:val="28"/>
          <w:szCs w:val="28"/>
        </w:rPr>
        <w:t>»</w:t>
      </w:r>
      <w:r w:rsidR="00D51650" w:rsidRPr="00D51650">
        <w:rPr>
          <w:color w:val="000000"/>
          <w:sz w:val="28"/>
          <w:szCs w:val="28"/>
        </w:rPr>
        <w:t>,</w:t>
      </w:r>
      <w:r w:rsidRPr="00D51650">
        <w:rPr>
          <w:color w:val="000000"/>
          <w:sz w:val="28"/>
          <w:szCs w:val="28"/>
        </w:rPr>
        <w:t xml:space="preserve"> балансовая стоимость которой составляла 230 млн. дол. Еще больший разрыв наблюдался в случае с компанией </w:t>
      </w:r>
      <w:r w:rsidR="00D51650">
        <w:rPr>
          <w:color w:val="000000"/>
          <w:sz w:val="28"/>
          <w:szCs w:val="28"/>
        </w:rPr>
        <w:t>«</w:t>
      </w:r>
      <w:r w:rsidR="00D51650" w:rsidRPr="00D51650">
        <w:rPr>
          <w:color w:val="000000"/>
          <w:sz w:val="28"/>
          <w:szCs w:val="28"/>
          <w:lang w:val="en-US"/>
        </w:rPr>
        <w:t>N</w:t>
      </w:r>
      <w:r w:rsidRPr="00D51650">
        <w:rPr>
          <w:color w:val="000000"/>
          <w:sz w:val="28"/>
          <w:szCs w:val="28"/>
          <w:lang w:val="en-US"/>
        </w:rPr>
        <w:t>etscape</w:t>
      </w:r>
      <w:r w:rsidR="00D51650">
        <w:rPr>
          <w:color w:val="000000"/>
          <w:sz w:val="28"/>
          <w:szCs w:val="28"/>
        </w:rPr>
        <w:t>»</w:t>
      </w:r>
      <w:r w:rsidR="00D51650" w:rsidRPr="00D51650">
        <w:rPr>
          <w:color w:val="000000"/>
          <w:sz w:val="28"/>
          <w:szCs w:val="28"/>
        </w:rPr>
        <w:t>,</w:t>
      </w:r>
      <w:r w:rsidRPr="00D51650">
        <w:rPr>
          <w:color w:val="000000"/>
          <w:sz w:val="28"/>
          <w:szCs w:val="28"/>
        </w:rPr>
        <w:t xml:space="preserve"> разрабатывающей программы для сети Интернет: на начало 1997</w:t>
      </w:r>
      <w:r w:rsidR="00D51650">
        <w:rPr>
          <w:color w:val="000000"/>
          <w:sz w:val="28"/>
          <w:szCs w:val="28"/>
        </w:rPr>
        <w:t> </w:t>
      </w:r>
      <w:r w:rsidR="00D51650" w:rsidRPr="00D51650">
        <w:rPr>
          <w:color w:val="000000"/>
          <w:sz w:val="28"/>
          <w:szCs w:val="28"/>
        </w:rPr>
        <w:t>г</w:t>
      </w:r>
      <w:r w:rsidRPr="00D51650">
        <w:rPr>
          <w:color w:val="000000"/>
          <w:sz w:val="28"/>
          <w:szCs w:val="28"/>
        </w:rPr>
        <w:t xml:space="preserve">. </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при собственных средствах, составлявших, по данным учета, 17 млн. дол., и штате, насчитывавшем немногим более 50 сотрудников, </w:t>
      </w:r>
      <w:r w:rsidR="00D51650">
        <w:rPr>
          <w:color w:val="000000"/>
          <w:sz w:val="28"/>
          <w:szCs w:val="28"/>
        </w:rPr>
        <w:t>–</w:t>
      </w:r>
      <w:r w:rsidR="00D51650" w:rsidRPr="00D51650">
        <w:rPr>
          <w:color w:val="000000"/>
          <w:sz w:val="28"/>
          <w:szCs w:val="28"/>
        </w:rPr>
        <w:t xml:space="preserve"> </w:t>
      </w:r>
      <w:r w:rsidRPr="00D51650">
        <w:rPr>
          <w:color w:val="000000"/>
          <w:sz w:val="28"/>
          <w:szCs w:val="28"/>
        </w:rPr>
        <w:t>рыночная цена фирмы приблизилась к 3 млрд. до</w:t>
      </w:r>
      <w:r w:rsidR="00D51650" w:rsidRPr="00D51650">
        <w:rPr>
          <w:color w:val="000000"/>
          <w:sz w:val="28"/>
          <w:szCs w:val="28"/>
        </w:rPr>
        <w:t xml:space="preserve">л. </w:t>
      </w:r>
      <w:r w:rsidRPr="00D51650">
        <w:rPr>
          <w:color w:val="000000"/>
          <w:sz w:val="28"/>
          <w:szCs w:val="28"/>
        </w:rPr>
        <w:t xml:space="preserve">По мнению </w:t>
      </w:r>
      <w:r w:rsidR="00D51650" w:rsidRPr="00D51650">
        <w:rPr>
          <w:color w:val="000000"/>
          <w:sz w:val="28"/>
          <w:szCs w:val="28"/>
        </w:rPr>
        <w:t>Л.</w:t>
      </w:r>
      <w:r w:rsidR="00D51650">
        <w:rPr>
          <w:color w:val="000000"/>
          <w:sz w:val="28"/>
          <w:szCs w:val="28"/>
        </w:rPr>
        <w:t> </w:t>
      </w:r>
      <w:r w:rsidR="00D51650" w:rsidRPr="00D51650">
        <w:rPr>
          <w:color w:val="000000"/>
          <w:sz w:val="28"/>
          <w:szCs w:val="28"/>
        </w:rPr>
        <w:t>Эдвинссона</w:t>
      </w:r>
      <w:r w:rsidRPr="00D51650">
        <w:rPr>
          <w:color w:val="000000"/>
          <w:sz w:val="28"/>
          <w:szCs w:val="28"/>
        </w:rPr>
        <w:t xml:space="preserve"> и </w:t>
      </w:r>
      <w:r w:rsidR="00D51650" w:rsidRPr="00D51650">
        <w:rPr>
          <w:color w:val="000000"/>
          <w:sz w:val="28"/>
          <w:szCs w:val="28"/>
        </w:rPr>
        <w:t>М.</w:t>
      </w:r>
      <w:r w:rsidR="00D51650">
        <w:rPr>
          <w:color w:val="000000"/>
          <w:sz w:val="28"/>
          <w:szCs w:val="28"/>
        </w:rPr>
        <w:t> </w:t>
      </w:r>
      <w:r w:rsidR="00D51650" w:rsidRPr="00D51650">
        <w:rPr>
          <w:color w:val="000000"/>
          <w:sz w:val="28"/>
          <w:szCs w:val="28"/>
        </w:rPr>
        <w:t>Мэлоуна</w:t>
      </w:r>
      <w:r w:rsidRPr="00D51650">
        <w:rPr>
          <w:color w:val="000000"/>
          <w:sz w:val="28"/>
          <w:szCs w:val="28"/>
        </w:rPr>
        <w:t>, приведенные примеры свидетельствуют, что фактической основой для рыночной стоимости компании становятся не материальные факторы, а ее возможность использовать внутренние ресурсы, способность к инновациям и агрессивное поведение с целью укрепления своих конкурентных позиций. Скрытые ценности корпорации увеличивают цену ее акций, наращивая для нее не активы (</w:t>
      </w:r>
      <w:r w:rsidRPr="00D51650">
        <w:rPr>
          <w:color w:val="000000"/>
          <w:sz w:val="28"/>
          <w:szCs w:val="28"/>
          <w:lang w:val="en-US"/>
        </w:rPr>
        <w:t>assets</w:t>
      </w:r>
      <w:r w:rsidRPr="00D51650">
        <w:rPr>
          <w:color w:val="000000"/>
          <w:sz w:val="28"/>
          <w:szCs w:val="28"/>
        </w:rPr>
        <w:t xml:space="preserve">), а наоборот </w:t>
      </w:r>
      <w:r w:rsidR="00D51650">
        <w:rPr>
          <w:color w:val="000000"/>
          <w:sz w:val="28"/>
          <w:szCs w:val="28"/>
        </w:rPr>
        <w:t>–</w:t>
      </w:r>
      <w:r w:rsidR="00D51650" w:rsidRPr="00D51650">
        <w:rPr>
          <w:color w:val="000000"/>
          <w:sz w:val="28"/>
          <w:szCs w:val="28"/>
        </w:rPr>
        <w:t xml:space="preserve"> </w:t>
      </w:r>
      <w:r w:rsidRPr="00D51650">
        <w:rPr>
          <w:color w:val="000000"/>
          <w:sz w:val="28"/>
          <w:szCs w:val="28"/>
        </w:rPr>
        <w:t>обязательства перед акционерами (</w:t>
      </w:r>
      <w:r w:rsidRPr="00D51650">
        <w:rPr>
          <w:color w:val="000000"/>
          <w:sz w:val="28"/>
          <w:szCs w:val="28"/>
          <w:lang w:val="en-US"/>
        </w:rPr>
        <w:t>debt</w:t>
      </w:r>
      <w:r w:rsidRPr="00D51650">
        <w:rPr>
          <w:color w:val="000000"/>
          <w:sz w:val="28"/>
          <w:szCs w:val="28"/>
        </w:rPr>
        <w:t xml:space="preserve"> </w:t>
      </w:r>
      <w:r w:rsidRPr="00D51650">
        <w:rPr>
          <w:color w:val="000000"/>
          <w:sz w:val="28"/>
          <w:szCs w:val="28"/>
          <w:lang w:val="en-US"/>
        </w:rPr>
        <w:t>and</w:t>
      </w:r>
      <w:r w:rsidRPr="00D51650">
        <w:rPr>
          <w:color w:val="000000"/>
          <w:sz w:val="28"/>
          <w:szCs w:val="28"/>
        </w:rPr>
        <w:t xml:space="preserve"> </w:t>
      </w:r>
      <w:r w:rsidRPr="00D51650">
        <w:rPr>
          <w:color w:val="000000"/>
          <w:sz w:val="28"/>
          <w:szCs w:val="28"/>
          <w:lang w:val="en-US"/>
        </w:rPr>
        <w:t>equity</w:t>
      </w:r>
      <w:r w:rsidRPr="00D51650">
        <w:rPr>
          <w:color w:val="000000"/>
          <w:sz w:val="28"/>
          <w:szCs w:val="28"/>
        </w:rPr>
        <w:t>). Изложенная авторами позиция свидетельствует, что субъективные оценки участников рынка становятся основным критерием цены компании.</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Такая точка зрения на определение стоимости компаний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стала доминирующей. Действительно, каким еще образом, как не субъективным, определялась стоимость Интернет-компаний, которые имели незначительные по сравнению с представителями </w:t>
      </w:r>
      <w:r w:rsidR="00D51650">
        <w:rPr>
          <w:color w:val="000000"/>
          <w:sz w:val="28"/>
          <w:szCs w:val="28"/>
        </w:rPr>
        <w:t>«</w:t>
      </w:r>
      <w:r w:rsidR="00D51650" w:rsidRPr="00D51650">
        <w:rPr>
          <w:color w:val="000000"/>
          <w:sz w:val="28"/>
          <w:szCs w:val="28"/>
        </w:rPr>
        <w:t>с</w:t>
      </w:r>
      <w:r w:rsidRPr="00D51650">
        <w:rPr>
          <w:color w:val="000000"/>
          <w:sz w:val="28"/>
          <w:szCs w:val="28"/>
        </w:rPr>
        <w:t>тарой экономики</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активы и, как правило, отрицательные финансовые результаты? При отсутствии прибыли, опираясь на которую можно было установить разумную цену акций, годами использовались разнообразные хитрые уловки для обоснования чрезвычайно высокой стоимости корпоративных прав. Например, для определения цены акций визуальные порталы использовали показатель </w:t>
      </w:r>
      <w:r w:rsidR="00D51650">
        <w:rPr>
          <w:color w:val="000000"/>
          <w:sz w:val="28"/>
          <w:szCs w:val="28"/>
        </w:rPr>
        <w:t>«</w:t>
      </w:r>
      <w:r w:rsidR="00D51650" w:rsidRPr="00D51650">
        <w:rPr>
          <w:color w:val="000000"/>
          <w:sz w:val="28"/>
          <w:szCs w:val="28"/>
        </w:rPr>
        <w:t>л</w:t>
      </w:r>
      <w:r w:rsidRPr="00D51650">
        <w:rPr>
          <w:color w:val="000000"/>
          <w:sz w:val="28"/>
          <w:szCs w:val="28"/>
        </w:rPr>
        <w:t>ипкости</w:t>
      </w:r>
      <w:r w:rsidR="00D51650">
        <w:rPr>
          <w:color w:val="000000"/>
          <w:sz w:val="28"/>
          <w:szCs w:val="28"/>
        </w:rPr>
        <w:t>»</w:t>
      </w:r>
      <w:r w:rsidR="00D51650" w:rsidRPr="00D51650">
        <w:rPr>
          <w:color w:val="000000"/>
          <w:sz w:val="28"/>
          <w:szCs w:val="28"/>
        </w:rPr>
        <w:t>,</w:t>
      </w:r>
      <w:r w:rsidRPr="00D51650">
        <w:rPr>
          <w:color w:val="000000"/>
          <w:sz w:val="28"/>
          <w:szCs w:val="28"/>
        </w:rPr>
        <w:t xml:space="preserve"> измеряемый количеством времени, на которое глаза пользователя замирали при взгляде на сайт. Другим распространенным подходом было определение цены пропорционально темпам роста продаж.</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Огромную роль в образовании </w:t>
      </w:r>
      <w:r w:rsidR="00D51650">
        <w:rPr>
          <w:color w:val="000000"/>
          <w:sz w:val="28"/>
          <w:szCs w:val="28"/>
        </w:rPr>
        <w:t>«</w:t>
      </w:r>
      <w:r w:rsidR="00D51650" w:rsidRPr="00D51650">
        <w:rPr>
          <w:color w:val="000000"/>
          <w:sz w:val="28"/>
          <w:szCs w:val="28"/>
        </w:rPr>
        <w:t>м</w:t>
      </w:r>
      <w:r w:rsidRPr="00D51650">
        <w:rPr>
          <w:color w:val="000000"/>
          <w:sz w:val="28"/>
          <w:szCs w:val="28"/>
        </w:rPr>
        <w:t>ыльного пузыря</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на рынке акций высокотехнологичных компаний сыграли идеологи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 xml:space="preserve"> </w:t>
      </w:r>
      <w:r w:rsidR="00D51650">
        <w:rPr>
          <w:color w:val="000000"/>
          <w:sz w:val="28"/>
          <w:szCs w:val="28"/>
        </w:rPr>
        <w:t>–</w:t>
      </w:r>
      <w:r w:rsidR="00D51650" w:rsidRPr="00D51650">
        <w:rPr>
          <w:color w:val="000000"/>
          <w:sz w:val="28"/>
          <w:szCs w:val="28"/>
        </w:rPr>
        <w:t xml:space="preserve"> Дж.</w:t>
      </w:r>
      <w:r w:rsidR="00D51650">
        <w:rPr>
          <w:color w:val="000000"/>
          <w:sz w:val="28"/>
          <w:szCs w:val="28"/>
        </w:rPr>
        <w:t> </w:t>
      </w:r>
      <w:r w:rsidR="00D51650" w:rsidRPr="00D51650">
        <w:rPr>
          <w:color w:val="000000"/>
          <w:sz w:val="28"/>
          <w:szCs w:val="28"/>
        </w:rPr>
        <w:t>Гилдер</w:t>
      </w:r>
      <w:r w:rsidRPr="00D51650">
        <w:rPr>
          <w:color w:val="000000"/>
          <w:sz w:val="28"/>
          <w:szCs w:val="28"/>
        </w:rPr>
        <w:t xml:space="preserve">, </w:t>
      </w:r>
      <w:r w:rsidR="00D51650" w:rsidRPr="00D51650">
        <w:rPr>
          <w:color w:val="000000"/>
          <w:sz w:val="28"/>
          <w:szCs w:val="28"/>
        </w:rPr>
        <w:t>Р.</w:t>
      </w:r>
      <w:r w:rsidR="00D51650">
        <w:rPr>
          <w:color w:val="000000"/>
          <w:sz w:val="28"/>
          <w:szCs w:val="28"/>
        </w:rPr>
        <w:t> </w:t>
      </w:r>
      <w:r w:rsidR="00D51650" w:rsidRPr="00D51650">
        <w:rPr>
          <w:color w:val="000000"/>
          <w:sz w:val="28"/>
          <w:szCs w:val="28"/>
        </w:rPr>
        <w:t>Меткалф</w:t>
      </w:r>
      <w:r w:rsidRPr="00D51650">
        <w:rPr>
          <w:color w:val="000000"/>
          <w:sz w:val="28"/>
          <w:szCs w:val="28"/>
        </w:rPr>
        <w:t xml:space="preserve">, </w:t>
      </w:r>
      <w:r w:rsidR="00D51650" w:rsidRPr="00D51650">
        <w:rPr>
          <w:color w:val="000000"/>
          <w:sz w:val="28"/>
          <w:szCs w:val="28"/>
        </w:rPr>
        <w:t>Г.</w:t>
      </w:r>
      <w:r w:rsidR="00D51650">
        <w:rPr>
          <w:color w:val="000000"/>
          <w:sz w:val="28"/>
          <w:szCs w:val="28"/>
        </w:rPr>
        <w:t> </w:t>
      </w:r>
      <w:r w:rsidR="00D51650" w:rsidRPr="00D51650">
        <w:rPr>
          <w:color w:val="000000"/>
          <w:sz w:val="28"/>
          <w:szCs w:val="28"/>
          <w:lang w:val="uk-UA"/>
        </w:rPr>
        <w:t>Мур</w:t>
      </w:r>
      <w:r w:rsidRPr="00D51650">
        <w:rPr>
          <w:color w:val="000000"/>
          <w:sz w:val="28"/>
          <w:szCs w:val="28"/>
        </w:rPr>
        <w:t xml:space="preserve"> и </w:t>
      </w:r>
      <w:r w:rsidR="00D51650" w:rsidRPr="00D51650">
        <w:rPr>
          <w:color w:val="000000"/>
          <w:sz w:val="28"/>
          <w:szCs w:val="28"/>
        </w:rPr>
        <w:t>Э.</w:t>
      </w:r>
      <w:r w:rsidR="00D51650">
        <w:rPr>
          <w:color w:val="000000"/>
          <w:sz w:val="28"/>
          <w:szCs w:val="28"/>
        </w:rPr>
        <w:t> </w:t>
      </w:r>
      <w:r w:rsidR="00D51650" w:rsidRPr="00D51650">
        <w:rPr>
          <w:color w:val="000000"/>
          <w:sz w:val="28"/>
          <w:szCs w:val="28"/>
        </w:rPr>
        <w:t>Ярдени</w:t>
      </w:r>
      <w:r w:rsidRPr="00D51650">
        <w:rPr>
          <w:color w:val="000000"/>
          <w:sz w:val="28"/>
          <w:szCs w:val="28"/>
        </w:rPr>
        <w:t xml:space="preserve">. Так, </w:t>
      </w:r>
      <w:r w:rsidR="00D51650" w:rsidRPr="00D51650">
        <w:rPr>
          <w:color w:val="000000"/>
          <w:sz w:val="28"/>
          <w:szCs w:val="28"/>
        </w:rPr>
        <w:t>Г.</w:t>
      </w:r>
      <w:r w:rsidR="00D51650">
        <w:rPr>
          <w:color w:val="000000"/>
          <w:sz w:val="28"/>
          <w:szCs w:val="28"/>
        </w:rPr>
        <w:t> </w:t>
      </w:r>
      <w:r w:rsidR="00D51650" w:rsidRPr="00D51650">
        <w:rPr>
          <w:color w:val="000000"/>
          <w:sz w:val="28"/>
          <w:szCs w:val="28"/>
          <w:lang w:val="uk-UA"/>
        </w:rPr>
        <w:t>Мур</w:t>
      </w:r>
      <w:r w:rsidRPr="00D51650">
        <w:rPr>
          <w:color w:val="000000"/>
          <w:sz w:val="28"/>
          <w:szCs w:val="28"/>
        </w:rPr>
        <w:t xml:space="preserve"> сформулировал закон, согласно которому вычислительная мощность компьютеров будет удваиваться каждые 18 месяцев. Прогнозируемые уникальные темпы роста ввели в заблуждение инвесторов, специализирующихся на вложениях в отрасли, связанные с развитием сети Интернет. Они решили, что такими же темпами должны расти прибыли и, соответственно, </w:t>
      </w:r>
      <w:r w:rsidRPr="00D51650">
        <w:rPr>
          <w:rFonts w:eastAsia="Arial Unicode MS"/>
          <w:color w:val="000000"/>
          <w:sz w:val="28"/>
          <w:szCs w:val="28"/>
        </w:rPr>
        <w:t xml:space="preserve">курсовая стоимость акций Интернет-компаний. К сожалению, подавляющее большинство инвесторов осознали ошибочность своих прогнозов слишком поздно </w:t>
      </w:r>
      <w:r w:rsidR="00D51650">
        <w:rPr>
          <w:rFonts w:eastAsia="Arial Unicode MS"/>
          <w:color w:val="000000"/>
          <w:sz w:val="28"/>
          <w:szCs w:val="28"/>
        </w:rPr>
        <w:t>–</w:t>
      </w:r>
      <w:r w:rsidR="00D51650" w:rsidRPr="00D51650">
        <w:rPr>
          <w:rFonts w:eastAsia="Arial Unicode MS"/>
          <w:color w:val="000000"/>
          <w:sz w:val="28"/>
          <w:szCs w:val="28"/>
        </w:rPr>
        <w:t xml:space="preserve"> </w:t>
      </w:r>
      <w:r w:rsidRPr="00D51650">
        <w:rPr>
          <w:rFonts w:eastAsia="Arial Unicode MS"/>
          <w:color w:val="000000"/>
          <w:sz w:val="28"/>
          <w:szCs w:val="28"/>
        </w:rPr>
        <w:t>после того, как понесли убытки, исчисляемые сотнями миллионов долларов.</w:t>
      </w:r>
    </w:p>
    <w:p w:rsidR="00816C65" w:rsidRPr="00D51650" w:rsidRDefault="00816C65" w:rsidP="00D51650">
      <w:pPr>
        <w:autoSpaceDE w:val="0"/>
        <w:autoSpaceDN w:val="0"/>
        <w:adjustRightInd w:val="0"/>
        <w:spacing w:line="360" w:lineRule="auto"/>
        <w:ind w:firstLine="709"/>
        <w:jc w:val="both"/>
        <w:rPr>
          <w:rFonts w:eastAsia="Arial Unicode MS"/>
          <w:color w:val="000000"/>
          <w:sz w:val="28"/>
          <w:szCs w:val="28"/>
        </w:rPr>
      </w:pPr>
      <w:r w:rsidRPr="00D51650">
        <w:rPr>
          <w:rFonts w:eastAsia="Arial Unicode MS"/>
          <w:color w:val="000000"/>
          <w:sz w:val="28"/>
          <w:szCs w:val="28"/>
        </w:rPr>
        <w:t xml:space="preserve">Энергичным сторонником </w:t>
      </w:r>
      <w:r w:rsidR="00D51650">
        <w:rPr>
          <w:rFonts w:eastAsia="Arial Unicode MS"/>
          <w:color w:val="000000"/>
          <w:sz w:val="28"/>
          <w:szCs w:val="28"/>
        </w:rPr>
        <w:t>«</w:t>
      </w:r>
      <w:r w:rsidR="00D51650" w:rsidRPr="00D51650">
        <w:rPr>
          <w:rFonts w:eastAsia="Arial Unicode MS"/>
          <w:color w:val="000000"/>
          <w:sz w:val="28"/>
          <w:szCs w:val="28"/>
        </w:rPr>
        <w:t>н</w:t>
      </w:r>
      <w:r w:rsidRPr="00D51650">
        <w:rPr>
          <w:rFonts w:eastAsia="Arial Unicode MS"/>
          <w:color w:val="000000"/>
          <w:sz w:val="28"/>
          <w:szCs w:val="28"/>
        </w:rPr>
        <w:t>овой экономики</w:t>
      </w:r>
      <w:r w:rsidR="00D51650">
        <w:rPr>
          <w:rFonts w:eastAsia="Arial Unicode MS"/>
          <w:color w:val="000000"/>
          <w:sz w:val="28"/>
          <w:szCs w:val="28"/>
        </w:rPr>
        <w:t>»</w:t>
      </w:r>
      <w:r w:rsidR="00D51650" w:rsidRPr="00D51650">
        <w:rPr>
          <w:rFonts w:eastAsia="Arial Unicode MS"/>
          <w:color w:val="000000"/>
          <w:sz w:val="28"/>
          <w:szCs w:val="28"/>
        </w:rPr>
        <w:t xml:space="preserve"> </w:t>
      </w:r>
      <w:r w:rsidRPr="00D51650">
        <w:rPr>
          <w:rFonts w:eastAsia="Arial Unicode MS"/>
          <w:color w:val="000000"/>
          <w:sz w:val="28"/>
          <w:szCs w:val="28"/>
        </w:rPr>
        <w:t xml:space="preserve">являлся бывший председатель совета управляющих ФРС </w:t>
      </w:r>
      <w:r w:rsidR="00D51650" w:rsidRPr="00D51650">
        <w:rPr>
          <w:rFonts w:eastAsia="Arial Unicode MS"/>
          <w:color w:val="000000"/>
          <w:sz w:val="28"/>
          <w:szCs w:val="28"/>
        </w:rPr>
        <w:t>А.</w:t>
      </w:r>
      <w:r w:rsidR="00D51650">
        <w:rPr>
          <w:rFonts w:eastAsia="Arial Unicode MS"/>
          <w:color w:val="000000"/>
          <w:sz w:val="28"/>
          <w:szCs w:val="28"/>
        </w:rPr>
        <w:t> </w:t>
      </w:r>
      <w:r w:rsidR="00D51650" w:rsidRPr="00D51650">
        <w:rPr>
          <w:rFonts w:eastAsia="Arial Unicode MS"/>
          <w:color w:val="000000"/>
          <w:sz w:val="28"/>
          <w:szCs w:val="28"/>
        </w:rPr>
        <w:t>Гринспен</w:t>
      </w:r>
      <w:r w:rsidRPr="00D51650">
        <w:rPr>
          <w:rFonts w:eastAsia="Arial Unicode MS"/>
          <w:color w:val="000000"/>
          <w:sz w:val="28"/>
          <w:szCs w:val="28"/>
        </w:rPr>
        <w:t>. Он утверждал, что до середины 90</w:t>
      </w:r>
      <w:r w:rsidR="00D51650">
        <w:rPr>
          <w:rFonts w:eastAsia="Arial Unicode MS"/>
          <w:color w:val="000000"/>
          <w:sz w:val="28"/>
          <w:szCs w:val="28"/>
        </w:rPr>
        <w:t>-</w:t>
      </w:r>
      <w:r w:rsidR="00D51650" w:rsidRPr="00D51650">
        <w:rPr>
          <w:rFonts w:eastAsia="Arial Unicode MS"/>
          <w:color w:val="000000"/>
          <w:sz w:val="28"/>
          <w:szCs w:val="28"/>
        </w:rPr>
        <w:t>х</w:t>
      </w:r>
      <w:r w:rsidRPr="00D51650">
        <w:rPr>
          <w:rFonts w:eastAsia="Arial Unicode MS"/>
          <w:color w:val="000000"/>
          <w:sz w:val="28"/>
          <w:szCs w:val="28"/>
        </w:rPr>
        <w:t xml:space="preserve"> годов миллиарды долларов, затраченные бизнесом на информационные технологии, оставили незначительный след в экономике в целом. Однако с 1995</w:t>
      </w:r>
      <w:r w:rsidR="00D51650">
        <w:rPr>
          <w:rFonts w:eastAsia="Arial Unicode MS"/>
          <w:color w:val="000000"/>
          <w:sz w:val="28"/>
          <w:szCs w:val="28"/>
        </w:rPr>
        <w:t> </w:t>
      </w:r>
      <w:r w:rsidR="00D51650" w:rsidRPr="00D51650">
        <w:rPr>
          <w:rFonts w:eastAsia="Arial Unicode MS"/>
          <w:color w:val="000000"/>
          <w:sz w:val="28"/>
          <w:szCs w:val="28"/>
        </w:rPr>
        <w:t>г</w:t>
      </w:r>
      <w:r w:rsidRPr="00D51650">
        <w:rPr>
          <w:rFonts w:eastAsia="Arial Unicode MS"/>
          <w:color w:val="000000"/>
          <w:sz w:val="28"/>
          <w:szCs w:val="28"/>
        </w:rPr>
        <w:t xml:space="preserve">. все изменилось, и эффекты распространения цифровой технологии революционизировали секторы старой экономики. </w:t>
      </w:r>
      <w:r w:rsidR="00D51650">
        <w:rPr>
          <w:rFonts w:eastAsia="Arial Unicode MS"/>
          <w:color w:val="000000"/>
          <w:sz w:val="28"/>
          <w:szCs w:val="28"/>
        </w:rPr>
        <w:t>«</w:t>
      </w:r>
      <w:r w:rsidR="00D51650" w:rsidRPr="00D51650">
        <w:rPr>
          <w:rFonts w:eastAsia="Arial Unicode MS"/>
          <w:color w:val="000000"/>
          <w:sz w:val="28"/>
          <w:szCs w:val="28"/>
        </w:rPr>
        <w:t>Н</w:t>
      </w:r>
      <w:r w:rsidRPr="00D51650">
        <w:rPr>
          <w:rFonts w:eastAsia="Arial Unicode MS"/>
          <w:color w:val="000000"/>
          <w:sz w:val="28"/>
          <w:szCs w:val="28"/>
        </w:rPr>
        <w:t xml:space="preserve">апример, </w:t>
      </w:r>
      <w:r w:rsidR="00D51650">
        <w:rPr>
          <w:rFonts w:eastAsia="Arial Unicode MS"/>
          <w:color w:val="000000"/>
          <w:sz w:val="28"/>
          <w:szCs w:val="28"/>
        </w:rPr>
        <w:t>–</w:t>
      </w:r>
      <w:r w:rsidR="00D51650" w:rsidRPr="00D51650">
        <w:rPr>
          <w:rFonts w:eastAsia="Arial Unicode MS"/>
          <w:color w:val="000000"/>
          <w:sz w:val="28"/>
          <w:szCs w:val="28"/>
        </w:rPr>
        <w:t xml:space="preserve"> </w:t>
      </w:r>
      <w:r w:rsidRPr="00D51650">
        <w:rPr>
          <w:rFonts w:eastAsia="Arial Unicode MS"/>
          <w:color w:val="000000"/>
          <w:sz w:val="28"/>
          <w:szCs w:val="28"/>
        </w:rPr>
        <w:t xml:space="preserve">отмечает </w:t>
      </w:r>
      <w:r w:rsidR="00D51650" w:rsidRPr="00D51650">
        <w:rPr>
          <w:rFonts w:eastAsia="Arial Unicode MS"/>
          <w:color w:val="000000"/>
          <w:sz w:val="28"/>
          <w:szCs w:val="28"/>
        </w:rPr>
        <w:t>А.</w:t>
      </w:r>
      <w:r w:rsidR="00D51650">
        <w:rPr>
          <w:rFonts w:eastAsia="Arial Unicode MS"/>
          <w:color w:val="000000"/>
          <w:sz w:val="28"/>
          <w:szCs w:val="28"/>
        </w:rPr>
        <w:t> </w:t>
      </w:r>
      <w:r w:rsidR="00D51650" w:rsidRPr="00D51650">
        <w:rPr>
          <w:rFonts w:eastAsia="Arial Unicode MS"/>
          <w:color w:val="000000"/>
          <w:sz w:val="28"/>
          <w:szCs w:val="28"/>
        </w:rPr>
        <w:t>Гринспен</w:t>
      </w:r>
      <w:r w:rsidRPr="00D51650">
        <w:rPr>
          <w:rFonts w:eastAsia="Arial Unicode MS"/>
          <w:color w:val="000000"/>
          <w:sz w:val="28"/>
          <w:szCs w:val="28"/>
        </w:rPr>
        <w:t xml:space="preserve">, </w:t>
      </w:r>
      <w:r w:rsidR="00D51650">
        <w:rPr>
          <w:rFonts w:eastAsia="Arial Unicode MS"/>
          <w:color w:val="000000"/>
          <w:sz w:val="28"/>
          <w:szCs w:val="28"/>
        </w:rPr>
        <w:t>–</w:t>
      </w:r>
      <w:r w:rsidR="00D51650" w:rsidRPr="00D51650">
        <w:rPr>
          <w:rFonts w:eastAsia="Arial Unicode MS"/>
          <w:color w:val="000000"/>
          <w:sz w:val="28"/>
          <w:szCs w:val="28"/>
        </w:rPr>
        <w:t xml:space="preserve"> </w:t>
      </w:r>
      <w:r w:rsidRPr="00D51650">
        <w:rPr>
          <w:rFonts w:eastAsia="Arial Unicode MS"/>
          <w:color w:val="000000"/>
          <w:sz w:val="28"/>
          <w:szCs w:val="28"/>
        </w:rPr>
        <w:t>компьютерное моделирование кардинально сократило время и расходы на конструкторскую разработку многих изделий, от автомобилей до авиалайнеров и небоскребов</w:t>
      </w:r>
      <w:r w:rsidR="00D51650">
        <w:rPr>
          <w:rFonts w:eastAsia="Arial Unicode MS"/>
          <w:color w:val="000000"/>
          <w:sz w:val="28"/>
          <w:szCs w:val="28"/>
        </w:rPr>
        <w:t>»</w:t>
      </w:r>
      <w:r w:rsidR="00D51650" w:rsidRPr="00D51650">
        <w:rPr>
          <w:rFonts w:eastAsia="Arial Unicode MS"/>
          <w:color w:val="000000"/>
          <w:sz w:val="28"/>
          <w:szCs w:val="28"/>
        </w:rPr>
        <w:t>.</w:t>
      </w:r>
    </w:p>
    <w:p w:rsidR="00816C65" w:rsidRPr="00D51650" w:rsidRDefault="00816C65" w:rsidP="00D51650">
      <w:pPr>
        <w:autoSpaceDE w:val="0"/>
        <w:autoSpaceDN w:val="0"/>
        <w:adjustRightInd w:val="0"/>
        <w:spacing w:line="360" w:lineRule="auto"/>
        <w:ind w:firstLine="709"/>
        <w:jc w:val="both"/>
        <w:rPr>
          <w:rFonts w:eastAsia="Arial Unicode MS"/>
          <w:color w:val="000000"/>
          <w:sz w:val="28"/>
          <w:szCs w:val="28"/>
        </w:rPr>
      </w:pPr>
      <w:r w:rsidRPr="00D51650">
        <w:rPr>
          <w:rFonts w:eastAsia="Arial Unicode MS"/>
          <w:color w:val="000000"/>
          <w:sz w:val="28"/>
          <w:szCs w:val="28"/>
        </w:rPr>
        <w:t xml:space="preserve">Однако дальше всех в воспевании чудес </w:t>
      </w:r>
      <w:r w:rsidR="00D51650">
        <w:rPr>
          <w:rFonts w:eastAsia="Arial Unicode MS"/>
          <w:color w:val="000000"/>
          <w:sz w:val="28"/>
          <w:szCs w:val="28"/>
        </w:rPr>
        <w:t>«</w:t>
      </w:r>
      <w:r w:rsidR="00D51650" w:rsidRPr="00D51650">
        <w:rPr>
          <w:rFonts w:eastAsia="Arial Unicode MS"/>
          <w:color w:val="000000"/>
          <w:sz w:val="28"/>
          <w:szCs w:val="28"/>
        </w:rPr>
        <w:t>и</w:t>
      </w:r>
      <w:r w:rsidRPr="00D51650">
        <w:rPr>
          <w:rFonts w:eastAsia="Arial Unicode MS"/>
          <w:color w:val="000000"/>
          <w:sz w:val="28"/>
          <w:szCs w:val="28"/>
        </w:rPr>
        <w:t>нформационной эпохи</w:t>
      </w:r>
      <w:r w:rsidR="00D51650">
        <w:rPr>
          <w:rFonts w:eastAsia="Arial Unicode MS"/>
          <w:color w:val="000000"/>
          <w:sz w:val="28"/>
          <w:szCs w:val="28"/>
        </w:rPr>
        <w:t>»</w:t>
      </w:r>
      <w:r w:rsidR="00D51650" w:rsidRPr="00D51650">
        <w:rPr>
          <w:rFonts w:eastAsia="Arial Unicode MS"/>
          <w:color w:val="000000"/>
          <w:sz w:val="28"/>
          <w:szCs w:val="28"/>
        </w:rPr>
        <w:t xml:space="preserve"> </w:t>
      </w:r>
      <w:r w:rsidRPr="00D51650">
        <w:rPr>
          <w:rFonts w:eastAsia="Arial Unicode MS"/>
          <w:color w:val="000000"/>
          <w:sz w:val="28"/>
          <w:szCs w:val="28"/>
        </w:rPr>
        <w:t xml:space="preserve">зашел </w:t>
      </w:r>
      <w:r w:rsidR="00D51650" w:rsidRPr="00D51650">
        <w:rPr>
          <w:rFonts w:eastAsia="Arial Unicode MS"/>
          <w:color w:val="000000"/>
          <w:sz w:val="28"/>
          <w:szCs w:val="28"/>
        </w:rPr>
        <w:t>Дж.</w:t>
      </w:r>
      <w:r w:rsidR="00D51650">
        <w:rPr>
          <w:rFonts w:eastAsia="Arial Unicode MS"/>
          <w:color w:val="000000"/>
          <w:sz w:val="28"/>
          <w:szCs w:val="28"/>
        </w:rPr>
        <w:t> </w:t>
      </w:r>
      <w:r w:rsidR="00D51650" w:rsidRPr="00D51650">
        <w:rPr>
          <w:rFonts w:eastAsia="Arial Unicode MS"/>
          <w:color w:val="000000"/>
          <w:sz w:val="28"/>
          <w:szCs w:val="28"/>
        </w:rPr>
        <w:t>Гилдер</w:t>
      </w:r>
      <w:r w:rsidRPr="00D51650">
        <w:rPr>
          <w:rFonts w:eastAsia="Arial Unicode MS"/>
          <w:color w:val="000000"/>
          <w:sz w:val="28"/>
          <w:szCs w:val="28"/>
        </w:rPr>
        <w:t>, который был известен как спичрайтер у</w:t>
      </w:r>
      <w:r w:rsidRPr="00D51650">
        <w:rPr>
          <w:rFonts w:eastAsia="Arial Unicode MS"/>
          <w:color w:val="000000"/>
          <w:sz w:val="28"/>
          <w:szCs w:val="28"/>
          <w:lang w:val="uk-UA"/>
        </w:rPr>
        <w:t xml:space="preserve"> Ромни,</w:t>
      </w:r>
      <w:r w:rsidRPr="00D51650">
        <w:rPr>
          <w:rFonts w:eastAsia="Arial Unicode MS"/>
          <w:color w:val="000000"/>
          <w:sz w:val="28"/>
          <w:szCs w:val="28"/>
        </w:rPr>
        <w:t xml:space="preserve"> Рокфеллера и Никсона, а также как автор нескольких популярных книг, в том числе </w:t>
      </w:r>
      <w:r w:rsidR="00D51650">
        <w:rPr>
          <w:rFonts w:eastAsia="Arial Unicode MS"/>
          <w:color w:val="000000"/>
          <w:sz w:val="28"/>
          <w:szCs w:val="28"/>
        </w:rPr>
        <w:t>«</w:t>
      </w:r>
      <w:r w:rsidR="00D51650" w:rsidRPr="00D51650">
        <w:rPr>
          <w:rFonts w:eastAsia="Arial Unicode MS"/>
          <w:color w:val="000000"/>
          <w:sz w:val="28"/>
          <w:szCs w:val="28"/>
        </w:rPr>
        <w:t>Б</w:t>
      </w:r>
      <w:r w:rsidRPr="00D51650">
        <w:rPr>
          <w:rFonts w:eastAsia="Arial Unicode MS"/>
          <w:color w:val="000000"/>
          <w:sz w:val="28"/>
          <w:szCs w:val="28"/>
        </w:rPr>
        <w:t>огатство и бедность</w:t>
      </w:r>
      <w:r w:rsidR="00D51650">
        <w:rPr>
          <w:rFonts w:eastAsia="Arial Unicode MS"/>
          <w:color w:val="000000"/>
          <w:sz w:val="28"/>
          <w:szCs w:val="28"/>
        </w:rPr>
        <w:t>»</w:t>
      </w:r>
      <w:r w:rsidR="00D51650" w:rsidRPr="00D51650">
        <w:rPr>
          <w:rFonts w:eastAsia="Arial Unicode MS"/>
          <w:color w:val="000000"/>
          <w:sz w:val="28"/>
          <w:szCs w:val="28"/>
        </w:rPr>
        <w:t xml:space="preserve"> (</w:t>
      </w:r>
      <w:r w:rsidR="00D51650">
        <w:rPr>
          <w:rFonts w:eastAsia="Arial Unicode MS"/>
          <w:color w:val="000000"/>
          <w:sz w:val="28"/>
          <w:szCs w:val="28"/>
        </w:rPr>
        <w:t>«</w:t>
      </w:r>
      <w:r w:rsidR="00D51650" w:rsidRPr="00D51650">
        <w:rPr>
          <w:rFonts w:eastAsia="Arial Unicode MS"/>
          <w:color w:val="000000"/>
          <w:sz w:val="28"/>
          <w:szCs w:val="28"/>
          <w:lang w:val="en-US"/>
        </w:rPr>
        <w:t>Wealth</w:t>
      </w:r>
      <w:r w:rsidR="00D51650" w:rsidRPr="00D51650">
        <w:rPr>
          <w:rFonts w:eastAsia="Arial Unicode MS"/>
          <w:color w:val="000000"/>
          <w:sz w:val="28"/>
          <w:szCs w:val="28"/>
        </w:rPr>
        <w:t xml:space="preserve"> </w:t>
      </w:r>
      <w:r w:rsidR="00D51650" w:rsidRPr="00D51650">
        <w:rPr>
          <w:rFonts w:eastAsia="Arial Unicode MS"/>
          <w:color w:val="000000"/>
          <w:sz w:val="28"/>
          <w:szCs w:val="28"/>
          <w:lang w:val="en-US"/>
        </w:rPr>
        <w:t>and</w:t>
      </w:r>
      <w:r w:rsidR="00D51650" w:rsidRPr="00D51650">
        <w:rPr>
          <w:rFonts w:eastAsia="Arial Unicode MS"/>
          <w:color w:val="000000"/>
          <w:sz w:val="28"/>
          <w:szCs w:val="28"/>
        </w:rPr>
        <w:t xml:space="preserve"> </w:t>
      </w:r>
      <w:r w:rsidR="00D51650" w:rsidRPr="00D51650">
        <w:rPr>
          <w:rFonts w:eastAsia="Arial Unicode MS"/>
          <w:color w:val="000000"/>
          <w:sz w:val="28"/>
          <w:szCs w:val="28"/>
          <w:lang w:val="en-US"/>
        </w:rPr>
        <w:t>Poverty</w:t>
      </w:r>
      <w:r w:rsidR="00D51650">
        <w:rPr>
          <w:rFonts w:eastAsia="Arial Unicode MS"/>
          <w:color w:val="000000"/>
          <w:sz w:val="28"/>
          <w:szCs w:val="28"/>
        </w:rPr>
        <w:t>»</w:t>
      </w:r>
      <w:r w:rsidR="00D51650" w:rsidRPr="00D51650">
        <w:rPr>
          <w:rFonts w:eastAsia="Arial Unicode MS"/>
          <w:color w:val="000000"/>
          <w:sz w:val="28"/>
          <w:szCs w:val="28"/>
        </w:rPr>
        <w:t>)</w:t>
      </w:r>
      <w:r w:rsidRPr="00D51650">
        <w:rPr>
          <w:rFonts w:eastAsia="Arial Unicode MS"/>
          <w:color w:val="000000"/>
          <w:sz w:val="28"/>
          <w:szCs w:val="28"/>
        </w:rPr>
        <w:t xml:space="preserve"> и </w:t>
      </w:r>
      <w:r w:rsidR="00D51650">
        <w:rPr>
          <w:rFonts w:eastAsia="Arial Unicode MS"/>
          <w:color w:val="000000"/>
          <w:sz w:val="28"/>
          <w:szCs w:val="28"/>
        </w:rPr>
        <w:t>«</w:t>
      </w:r>
      <w:r w:rsidR="00D51650" w:rsidRPr="00D51650">
        <w:rPr>
          <w:rFonts w:eastAsia="Arial Unicode MS"/>
          <w:color w:val="000000"/>
          <w:sz w:val="28"/>
          <w:szCs w:val="28"/>
        </w:rPr>
        <w:t>Д</w:t>
      </w:r>
      <w:r w:rsidRPr="00D51650">
        <w:rPr>
          <w:rFonts w:eastAsia="Arial Unicode MS"/>
          <w:color w:val="000000"/>
          <w:sz w:val="28"/>
          <w:szCs w:val="28"/>
        </w:rPr>
        <w:t>ухпредприимчивости</w:t>
      </w:r>
      <w:r w:rsidR="00D51650">
        <w:rPr>
          <w:rFonts w:eastAsia="Arial Unicode MS"/>
          <w:color w:val="000000"/>
          <w:sz w:val="28"/>
          <w:szCs w:val="28"/>
        </w:rPr>
        <w:t>»</w:t>
      </w:r>
      <w:r w:rsidR="00D51650" w:rsidRPr="00D51650">
        <w:rPr>
          <w:rFonts w:eastAsia="Arial Unicode MS"/>
          <w:color w:val="000000"/>
          <w:sz w:val="28"/>
          <w:szCs w:val="28"/>
        </w:rPr>
        <w:t xml:space="preserve"> (</w:t>
      </w:r>
      <w:r w:rsidR="00D51650">
        <w:rPr>
          <w:rFonts w:eastAsia="Arial Unicode MS"/>
          <w:color w:val="000000"/>
          <w:sz w:val="28"/>
          <w:szCs w:val="28"/>
        </w:rPr>
        <w:t>«</w:t>
      </w:r>
      <w:r w:rsidR="00D51650" w:rsidRPr="00D51650">
        <w:rPr>
          <w:rFonts w:eastAsia="Arial Unicode MS"/>
          <w:color w:val="000000"/>
          <w:sz w:val="28"/>
          <w:szCs w:val="28"/>
          <w:lang w:val="en-US"/>
        </w:rPr>
        <w:t>Spirit</w:t>
      </w:r>
      <w:r w:rsidR="00D51650" w:rsidRPr="00D51650">
        <w:rPr>
          <w:rFonts w:eastAsia="Arial Unicode MS"/>
          <w:color w:val="000000"/>
          <w:sz w:val="28"/>
          <w:szCs w:val="28"/>
        </w:rPr>
        <w:t xml:space="preserve"> </w:t>
      </w:r>
      <w:r w:rsidR="00D51650" w:rsidRPr="00D51650">
        <w:rPr>
          <w:rFonts w:eastAsia="Arial Unicode MS"/>
          <w:color w:val="000000"/>
          <w:sz w:val="28"/>
          <w:szCs w:val="28"/>
          <w:lang w:val="en-US"/>
        </w:rPr>
        <w:t>of</w:t>
      </w:r>
      <w:r w:rsidR="00D51650" w:rsidRPr="00D51650">
        <w:rPr>
          <w:rFonts w:eastAsia="Arial Unicode MS"/>
          <w:color w:val="000000"/>
          <w:sz w:val="28"/>
          <w:szCs w:val="28"/>
        </w:rPr>
        <w:t xml:space="preserve"> </w:t>
      </w:r>
      <w:r w:rsidR="00D51650" w:rsidRPr="00D51650">
        <w:rPr>
          <w:rFonts w:eastAsia="Arial Unicode MS"/>
          <w:color w:val="000000"/>
          <w:sz w:val="28"/>
          <w:szCs w:val="28"/>
          <w:lang w:val="en-US"/>
        </w:rPr>
        <w:t>Enterprise</w:t>
      </w:r>
      <w:r w:rsidR="00D51650">
        <w:rPr>
          <w:rFonts w:eastAsia="Arial Unicode MS"/>
          <w:color w:val="000000"/>
          <w:sz w:val="28"/>
          <w:szCs w:val="28"/>
        </w:rPr>
        <w:t>»</w:t>
      </w:r>
      <w:r w:rsidR="00D51650" w:rsidRPr="00D51650">
        <w:rPr>
          <w:rFonts w:eastAsia="Arial Unicode MS"/>
          <w:color w:val="000000"/>
          <w:sz w:val="28"/>
          <w:szCs w:val="28"/>
        </w:rPr>
        <w:t>)</w:t>
      </w:r>
      <w:r w:rsidRPr="00D51650">
        <w:rPr>
          <w:rFonts w:eastAsia="Arial Unicode MS"/>
          <w:color w:val="000000"/>
          <w:sz w:val="28"/>
          <w:szCs w:val="28"/>
        </w:rPr>
        <w:t xml:space="preserve">. Его произведения, посвященные </w:t>
      </w:r>
      <w:r w:rsidR="00D51650">
        <w:rPr>
          <w:rFonts w:eastAsia="Arial Unicode MS"/>
          <w:color w:val="000000"/>
          <w:sz w:val="28"/>
          <w:szCs w:val="28"/>
        </w:rPr>
        <w:t>«</w:t>
      </w:r>
      <w:r w:rsidR="00D51650" w:rsidRPr="00D51650">
        <w:rPr>
          <w:rFonts w:eastAsia="Arial Unicode MS"/>
          <w:color w:val="000000"/>
          <w:sz w:val="28"/>
          <w:szCs w:val="28"/>
        </w:rPr>
        <w:t>н</w:t>
      </w:r>
      <w:r w:rsidRPr="00D51650">
        <w:rPr>
          <w:rFonts w:eastAsia="Arial Unicode MS"/>
          <w:color w:val="000000"/>
          <w:sz w:val="28"/>
          <w:szCs w:val="28"/>
        </w:rPr>
        <w:t>овой экономике</w:t>
      </w:r>
      <w:r w:rsidR="00D51650">
        <w:rPr>
          <w:rFonts w:eastAsia="Arial Unicode MS"/>
          <w:color w:val="000000"/>
          <w:sz w:val="28"/>
          <w:szCs w:val="28"/>
        </w:rPr>
        <w:t>»</w:t>
      </w:r>
      <w:r w:rsidR="00D51650" w:rsidRPr="00D51650">
        <w:rPr>
          <w:rFonts w:eastAsia="Arial Unicode MS"/>
          <w:color w:val="000000"/>
          <w:sz w:val="28"/>
          <w:szCs w:val="28"/>
        </w:rPr>
        <w:t>,</w:t>
      </w:r>
      <w:r w:rsidRPr="00D51650">
        <w:rPr>
          <w:rFonts w:eastAsia="Arial Unicode MS"/>
          <w:color w:val="000000"/>
          <w:sz w:val="28"/>
          <w:szCs w:val="28"/>
        </w:rPr>
        <w:t xml:space="preserve"> свидетельствуют о том, что автор сознательно манипулировал инвестиционными предпочтениями широких масс. Так, в книге </w:t>
      </w:r>
      <w:r w:rsidR="00D51650">
        <w:rPr>
          <w:rFonts w:eastAsia="Arial Unicode MS"/>
          <w:color w:val="000000"/>
          <w:sz w:val="28"/>
          <w:szCs w:val="28"/>
        </w:rPr>
        <w:t>«</w:t>
      </w:r>
      <w:r w:rsidR="00D51650" w:rsidRPr="00D51650">
        <w:rPr>
          <w:rFonts w:eastAsia="Arial Unicode MS"/>
          <w:color w:val="000000"/>
          <w:sz w:val="28"/>
          <w:szCs w:val="28"/>
        </w:rPr>
        <w:t>Т</w:t>
      </w:r>
      <w:r w:rsidRPr="00D51650">
        <w:rPr>
          <w:rFonts w:eastAsia="Arial Unicode MS"/>
          <w:color w:val="000000"/>
          <w:sz w:val="28"/>
          <w:szCs w:val="28"/>
        </w:rPr>
        <w:t>елекосмос</w:t>
      </w:r>
      <w:r w:rsidR="00D51650">
        <w:rPr>
          <w:rFonts w:eastAsia="Arial Unicode MS"/>
          <w:color w:val="000000"/>
          <w:sz w:val="28"/>
          <w:szCs w:val="28"/>
        </w:rPr>
        <w:t>»</w:t>
      </w:r>
      <w:r w:rsidR="00D51650" w:rsidRPr="00D51650">
        <w:rPr>
          <w:rFonts w:eastAsia="Arial Unicode MS"/>
          <w:color w:val="000000"/>
          <w:sz w:val="28"/>
          <w:szCs w:val="28"/>
        </w:rPr>
        <w:t xml:space="preserve"> (</w:t>
      </w:r>
      <w:r w:rsidR="00D51650">
        <w:rPr>
          <w:rFonts w:eastAsia="Arial Unicode MS"/>
          <w:color w:val="000000"/>
          <w:sz w:val="28"/>
          <w:szCs w:val="28"/>
        </w:rPr>
        <w:t>«</w:t>
      </w:r>
      <w:r w:rsidR="00D51650" w:rsidRPr="00D51650">
        <w:rPr>
          <w:rFonts w:eastAsia="Arial Unicode MS"/>
          <w:color w:val="000000"/>
          <w:sz w:val="28"/>
          <w:szCs w:val="28"/>
          <w:lang w:val="en-US"/>
        </w:rPr>
        <w:t>Telecosm</w:t>
      </w:r>
      <w:r w:rsidR="00D51650">
        <w:rPr>
          <w:rFonts w:eastAsia="Arial Unicode MS"/>
          <w:color w:val="000000"/>
          <w:sz w:val="28"/>
          <w:szCs w:val="28"/>
        </w:rPr>
        <w:t>»</w:t>
      </w:r>
      <w:r w:rsidR="00D51650" w:rsidRPr="00D51650">
        <w:rPr>
          <w:rFonts w:eastAsia="Arial Unicode MS"/>
          <w:color w:val="000000"/>
          <w:sz w:val="28"/>
          <w:szCs w:val="28"/>
        </w:rPr>
        <w:t>)</w:t>
      </w:r>
      <w:r w:rsidRPr="00D51650">
        <w:rPr>
          <w:rFonts w:eastAsia="Arial Unicode MS"/>
          <w:color w:val="000000"/>
          <w:sz w:val="28"/>
          <w:szCs w:val="28"/>
        </w:rPr>
        <w:t xml:space="preserve"> он провозглашает возникновение </w:t>
      </w:r>
      <w:r w:rsidR="00D51650">
        <w:rPr>
          <w:rFonts w:eastAsia="Arial Unicode MS"/>
          <w:color w:val="000000"/>
          <w:sz w:val="28"/>
          <w:szCs w:val="28"/>
        </w:rPr>
        <w:t>«</w:t>
      </w:r>
      <w:r w:rsidR="00D51650" w:rsidRPr="00D51650">
        <w:rPr>
          <w:rFonts w:eastAsia="Arial Unicode MS"/>
          <w:color w:val="000000"/>
          <w:sz w:val="28"/>
          <w:szCs w:val="28"/>
        </w:rPr>
        <w:t>н</w:t>
      </w:r>
      <w:r w:rsidRPr="00D51650">
        <w:rPr>
          <w:rFonts w:eastAsia="Arial Unicode MS"/>
          <w:color w:val="000000"/>
          <w:sz w:val="28"/>
          <w:szCs w:val="28"/>
        </w:rPr>
        <w:t>овой экономики</w:t>
      </w:r>
      <w:r w:rsidR="00D51650">
        <w:rPr>
          <w:rFonts w:eastAsia="Arial Unicode MS"/>
          <w:color w:val="000000"/>
          <w:sz w:val="28"/>
          <w:szCs w:val="28"/>
        </w:rPr>
        <w:t>»</w:t>
      </w:r>
      <w:r w:rsidR="00D51650" w:rsidRPr="00D51650">
        <w:rPr>
          <w:rFonts w:eastAsia="Arial Unicode MS"/>
          <w:color w:val="000000"/>
          <w:sz w:val="28"/>
          <w:szCs w:val="28"/>
        </w:rPr>
        <w:t>,</w:t>
      </w:r>
      <w:r w:rsidRPr="00D51650">
        <w:rPr>
          <w:rFonts w:eastAsia="Arial Unicode MS"/>
          <w:color w:val="000000"/>
          <w:sz w:val="28"/>
          <w:szCs w:val="28"/>
        </w:rPr>
        <w:t xml:space="preserve"> </w:t>
      </w:r>
      <w:r w:rsidR="00D51650">
        <w:rPr>
          <w:rFonts w:eastAsia="Arial Unicode MS"/>
          <w:color w:val="000000"/>
          <w:sz w:val="28"/>
          <w:szCs w:val="28"/>
        </w:rPr>
        <w:t>«</w:t>
      </w:r>
      <w:r w:rsidR="00D51650" w:rsidRPr="00D51650">
        <w:rPr>
          <w:rFonts w:eastAsia="Arial Unicode MS"/>
          <w:color w:val="000000"/>
          <w:sz w:val="28"/>
          <w:szCs w:val="28"/>
        </w:rPr>
        <w:t>о</w:t>
      </w:r>
      <w:r w:rsidRPr="00D51650">
        <w:rPr>
          <w:rFonts w:eastAsia="Arial Unicode MS"/>
          <w:color w:val="000000"/>
          <w:sz w:val="28"/>
          <w:szCs w:val="28"/>
        </w:rPr>
        <w:t xml:space="preserve">снованной на новом звездном скоплении, излучающем неописуемое сияние, </w:t>
      </w:r>
      <w:r w:rsidR="00D51650">
        <w:rPr>
          <w:rFonts w:eastAsia="Arial Unicode MS"/>
          <w:color w:val="000000"/>
          <w:sz w:val="28"/>
          <w:szCs w:val="28"/>
        </w:rPr>
        <w:t>–</w:t>
      </w:r>
      <w:r w:rsidR="00D51650" w:rsidRPr="00D51650">
        <w:rPr>
          <w:rFonts w:eastAsia="Arial Unicode MS"/>
          <w:color w:val="000000"/>
          <w:sz w:val="28"/>
          <w:szCs w:val="28"/>
        </w:rPr>
        <w:t xml:space="preserve"> </w:t>
      </w:r>
      <w:r w:rsidRPr="00D51650">
        <w:rPr>
          <w:rFonts w:eastAsia="Arial Unicode MS"/>
          <w:color w:val="000000"/>
          <w:sz w:val="28"/>
          <w:szCs w:val="28"/>
        </w:rPr>
        <w:t>на рассредоточенной неприкрытой реальности, горящей прометеевым огнем</w:t>
      </w:r>
      <w:r w:rsidR="00D51650">
        <w:rPr>
          <w:rFonts w:eastAsia="Arial Unicode MS"/>
          <w:color w:val="000000"/>
          <w:sz w:val="28"/>
          <w:szCs w:val="28"/>
        </w:rPr>
        <w:t>»</w:t>
      </w:r>
      <w:r w:rsidR="00D51650" w:rsidRPr="00D51650">
        <w:rPr>
          <w:rFonts w:eastAsia="Arial Unicode MS"/>
          <w:color w:val="000000"/>
          <w:sz w:val="28"/>
          <w:szCs w:val="28"/>
        </w:rPr>
        <w:t>.</w:t>
      </w:r>
      <w:r w:rsidRPr="00D51650">
        <w:rPr>
          <w:rFonts w:eastAsia="Arial Unicode MS"/>
          <w:color w:val="000000"/>
          <w:sz w:val="28"/>
          <w:szCs w:val="28"/>
        </w:rPr>
        <w:t xml:space="preserve"> Исследователи до сих пор не могут понять, что означает эта фраза и откуда у </w:t>
      </w:r>
      <w:r w:rsidR="00D51650" w:rsidRPr="00D51650">
        <w:rPr>
          <w:rFonts w:eastAsia="Arial Unicode MS"/>
          <w:color w:val="000000"/>
          <w:sz w:val="28"/>
          <w:szCs w:val="28"/>
        </w:rPr>
        <w:t>Дж.</w:t>
      </w:r>
      <w:r w:rsidR="00D51650">
        <w:rPr>
          <w:rFonts w:eastAsia="Arial Unicode MS"/>
          <w:color w:val="000000"/>
          <w:sz w:val="28"/>
          <w:szCs w:val="28"/>
        </w:rPr>
        <w:t> </w:t>
      </w:r>
      <w:r w:rsidR="00D51650" w:rsidRPr="00D51650">
        <w:rPr>
          <w:rFonts w:eastAsia="Arial Unicode MS"/>
          <w:color w:val="000000"/>
          <w:sz w:val="28"/>
          <w:szCs w:val="28"/>
        </w:rPr>
        <w:t>Гилдера</w:t>
      </w:r>
      <w:r w:rsidRPr="00D51650">
        <w:rPr>
          <w:rFonts w:eastAsia="Arial Unicode MS"/>
          <w:color w:val="000000"/>
          <w:sz w:val="28"/>
          <w:szCs w:val="28"/>
        </w:rPr>
        <w:t xml:space="preserve"> взялась такая уверенность в будущем компании </w:t>
      </w:r>
      <w:r w:rsidR="00D51650">
        <w:rPr>
          <w:rFonts w:eastAsia="Arial Unicode MS"/>
          <w:color w:val="000000"/>
          <w:sz w:val="28"/>
          <w:szCs w:val="28"/>
        </w:rPr>
        <w:t>«</w:t>
      </w:r>
      <w:r w:rsidR="00D51650" w:rsidRPr="00D51650">
        <w:rPr>
          <w:rFonts w:eastAsia="Arial Unicode MS"/>
          <w:color w:val="000000"/>
          <w:sz w:val="28"/>
          <w:szCs w:val="28"/>
          <w:lang w:val="en-US"/>
        </w:rPr>
        <w:t>G</w:t>
      </w:r>
      <w:r w:rsidRPr="00D51650">
        <w:rPr>
          <w:rFonts w:eastAsia="Arial Unicode MS"/>
          <w:color w:val="000000"/>
          <w:sz w:val="28"/>
          <w:szCs w:val="28"/>
          <w:lang w:val="en-US"/>
        </w:rPr>
        <w:t>lobal</w:t>
      </w:r>
      <w:r w:rsidRPr="00D51650">
        <w:rPr>
          <w:rFonts w:eastAsia="Arial Unicode MS"/>
          <w:color w:val="000000"/>
          <w:sz w:val="28"/>
          <w:szCs w:val="28"/>
        </w:rPr>
        <w:t xml:space="preserve"> </w:t>
      </w:r>
      <w:r w:rsidRPr="00D51650">
        <w:rPr>
          <w:rFonts w:eastAsia="Arial Unicode MS"/>
          <w:color w:val="000000"/>
          <w:sz w:val="28"/>
          <w:szCs w:val="28"/>
          <w:lang w:val="en-US"/>
        </w:rPr>
        <w:t>Crossing</w:t>
      </w:r>
      <w:r w:rsidR="00D51650">
        <w:rPr>
          <w:rFonts w:eastAsia="Arial Unicode MS"/>
          <w:color w:val="000000"/>
          <w:sz w:val="28"/>
          <w:szCs w:val="28"/>
        </w:rPr>
        <w:t>»</w:t>
      </w:r>
      <w:r w:rsidR="00D51650" w:rsidRPr="00D51650">
        <w:rPr>
          <w:rFonts w:eastAsia="Arial Unicode MS"/>
          <w:color w:val="000000"/>
          <w:sz w:val="28"/>
          <w:szCs w:val="28"/>
        </w:rPr>
        <w:t xml:space="preserve"> </w:t>
      </w:r>
      <w:r w:rsidRPr="00D51650">
        <w:rPr>
          <w:rFonts w:eastAsia="Arial Unicode MS"/>
          <w:color w:val="000000"/>
          <w:sz w:val="28"/>
          <w:szCs w:val="28"/>
        </w:rPr>
        <w:t xml:space="preserve">и ей подобных, которые, по его словам, помогли принести </w:t>
      </w:r>
      <w:r w:rsidR="00D51650">
        <w:rPr>
          <w:rFonts w:eastAsia="Arial Unicode MS"/>
          <w:color w:val="000000"/>
          <w:sz w:val="28"/>
          <w:szCs w:val="28"/>
        </w:rPr>
        <w:t>«</w:t>
      </w:r>
      <w:r w:rsidR="00D51650" w:rsidRPr="00D51650">
        <w:rPr>
          <w:rFonts w:eastAsia="Arial Unicode MS"/>
          <w:color w:val="000000"/>
          <w:sz w:val="28"/>
          <w:szCs w:val="28"/>
        </w:rPr>
        <w:t>н</w:t>
      </w:r>
      <w:r w:rsidRPr="00D51650">
        <w:rPr>
          <w:rFonts w:eastAsia="Arial Unicode MS"/>
          <w:color w:val="000000"/>
          <w:sz w:val="28"/>
          <w:szCs w:val="28"/>
        </w:rPr>
        <w:t>овую эпоху веры и духовности</w:t>
      </w:r>
      <w:r w:rsidR="00D51650">
        <w:rPr>
          <w:rFonts w:eastAsia="Arial Unicode MS"/>
          <w:color w:val="000000"/>
          <w:sz w:val="28"/>
          <w:szCs w:val="28"/>
        </w:rPr>
        <w:t>»</w:t>
      </w:r>
      <w:r w:rsidR="00D51650" w:rsidRPr="00D51650">
        <w:rPr>
          <w:rFonts w:eastAsia="Arial Unicode MS"/>
          <w:color w:val="000000"/>
          <w:sz w:val="28"/>
          <w:szCs w:val="28"/>
        </w:rPr>
        <w:t>,</w:t>
      </w:r>
      <w:r w:rsidRPr="00D51650">
        <w:rPr>
          <w:rFonts w:eastAsia="Arial Unicode MS"/>
          <w:color w:val="000000"/>
          <w:sz w:val="28"/>
          <w:szCs w:val="28"/>
        </w:rPr>
        <w:t xml:space="preserve"> с ее </w:t>
      </w:r>
      <w:r w:rsidR="00D51650">
        <w:rPr>
          <w:rFonts w:eastAsia="Arial Unicode MS"/>
          <w:color w:val="000000"/>
          <w:sz w:val="28"/>
          <w:szCs w:val="28"/>
        </w:rPr>
        <w:t>«</w:t>
      </w:r>
      <w:r w:rsidR="00D51650" w:rsidRPr="00D51650">
        <w:rPr>
          <w:rFonts w:eastAsia="Arial Unicode MS"/>
          <w:color w:val="000000"/>
          <w:sz w:val="28"/>
          <w:szCs w:val="28"/>
        </w:rPr>
        <w:t>г</w:t>
      </w:r>
      <w:r w:rsidRPr="00D51650">
        <w:rPr>
          <w:rFonts w:eastAsia="Arial Unicode MS"/>
          <w:color w:val="000000"/>
          <w:sz w:val="28"/>
          <w:szCs w:val="28"/>
        </w:rPr>
        <w:t>рандиозной накопленной мощью, истиной и превосходством современной науки и богатства</w:t>
      </w:r>
      <w:r w:rsidR="00D51650">
        <w:rPr>
          <w:rFonts w:eastAsia="Arial Unicode MS"/>
          <w:color w:val="000000"/>
          <w:sz w:val="28"/>
          <w:szCs w:val="28"/>
        </w:rPr>
        <w:t>»</w:t>
      </w:r>
      <w:r w:rsidR="00D51650" w:rsidRPr="00D51650">
        <w:rPr>
          <w:rFonts w:eastAsia="Arial Unicode MS"/>
          <w:color w:val="000000"/>
          <w:sz w:val="28"/>
          <w:szCs w:val="28"/>
        </w:rPr>
        <w:t>.</w:t>
      </w:r>
      <w:r w:rsidRPr="00D51650">
        <w:rPr>
          <w:rFonts w:eastAsia="Arial Unicode MS"/>
          <w:color w:val="000000"/>
          <w:sz w:val="28"/>
          <w:szCs w:val="28"/>
        </w:rPr>
        <w:t xml:space="preserve"> По мнению </w:t>
      </w:r>
      <w:r w:rsidR="00D51650" w:rsidRPr="00D51650">
        <w:rPr>
          <w:rFonts w:eastAsia="Arial Unicode MS"/>
          <w:color w:val="000000"/>
          <w:sz w:val="28"/>
          <w:szCs w:val="28"/>
        </w:rPr>
        <w:t>У.</w:t>
      </w:r>
      <w:r w:rsidR="00D51650">
        <w:rPr>
          <w:rFonts w:eastAsia="Arial Unicode MS"/>
          <w:color w:val="000000"/>
          <w:sz w:val="28"/>
          <w:szCs w:val="28"/>
        </w:rPr>
        <w:t> </w:t>
      </w:r>
      <w:r w:rsidR="00D51650" w:rsidRPr="00D51650">
        <w:rPr>
          <w:rFonts w:eastAsia="Arial Unicode MS"/>
          <w:color w:val="000000"/>
          <w:sz w:val="28"/>
          <w:szCs w:val="28"/>
        </w:rPr>
        <w:t>Боннера</w:t>
      </w:r>
      <w:r w:rsidRPr="00D51650">
        <w:rPr>
          <w:rFonts w:eastAsia="Arial Unicode MS"/>
          <w:color w:val="000000"/>
          <w:sz w:val="28"/>
          <w:szCs w:val="28"/>
        </w:rPr>
        <w:t xml:space="preserve"> и </w:t>
      </w:r>
      <w:r w:rsidR="00D51650" w:rsidRPr="00D51650">
        <w:rPr>
          <w:rFonts w:eastAsia="Arial Unicode MS"/>
          <w:color w:val="000000"/>
          <w:sz w:val="28"/>
          <w:szCs w:val="28"/>
        </w:rPr>
        <w:t>Э.</w:t>
      </w:r>
      <w:r w:rsidR="00D51650">
        <w:rPr>
          <w:rFonts w:eastAsia="Arial Unicode MS"/>
          <w:color w:val="000000"/>
          <w:sz w:val="28"/>
          <w:szCs w:val="28"/>
        </w:rPr>
        <w:t> </w:t>
      </w:r>
      <w:r w:rsidR="00D51650" w:rsidRPr="00D51650">
        <w:rPr>
          <w:rFonts w:eastAsia="Arial Unicode MS"/>
          <w:color w:val="000000"/>
          <w:sz w:val="28"/>
          <w:szCs w:val="28"/>
        </w:rPr>
        <w:t>Уиггина</w:t>
      </w:r>
      <w:r w:rsidRPr="00D51650">
        <w:rPr>
          <w:rFonts w:eastAsia="Arial Unicode MS"/>
          <w:color w:val="000000"/>
          <w:sz w:val="28"/>
          <w:szCs w:val="28"/>
        </w:rPr>
        <w:t>, роль Гилдера в информационной революции конца 90</w:t>
      </w:r>
      <w:r w:rsidR="00D51650">
        <w:rPr>
          <w:rFonts w:eastAsia="Arial Unicode MS"/>
          <w:color w:val="000000"/>
          <w:sz w:val="28"/>
          <w:szCs w:val="28"/>
        </w:rPr>
        <w:t>-</w:t>
      </w:r>
      <w:r w:rsidR="00D51650" w:rsidRPr="00D51650">
        <w:rPr>
          <w:rFonts w:eastAsia="Arial Unicode MS"/>
          <w:color w:val="000000"/>
          <w:sz w:val="28"/>
          <w:szCs w:val="28"/>
        </w:rPr>
        <w:t>х</w:t>
      </w:r>
      <w:r w:rsidRPr="00D51650">
        <w:rPr>
          <w:rFonts w:eastAsia="Arial Unicode MS"/>
          <w:color w:val="000000"/>
          <w:sz w:val="28"/>
          <w:szCs w:val="28"/>
        </w:rPr>
        <w:t xml:space="preserve"> годов заключалась в том, что он обосновал мечты масс. Они пишут о том, что, </w:t>
      </w:r>
      <w:r w:rsidR="00D51650">
        <w:rPr>
          <w:rFonts w:eastAsia="Arial Unicode MS"/>
          <w:color w:val="000000"/>
          <w:sz w:val="28"/>
          <w:szCs w:val="28"/>
        </w:rPr>
        <w:t>«</w:t>
      </w:r>
      <w:r w:rsidR="00D51650" w:rsidRPr="00D51650">
        <w:rPr>
          <w:rFonts w:eastAsia="Arial Unicode MS"/>
          <w:color w:val="000000"/>
          <w:sz w:val="28"/>
          <w:szCs w:val="28"/>
        </w:rPr>
        <w:t>п</w:t>
      </w:r>
      <w:r w:rsidRPr="00D51650">
        <w:rPr>
          <w:rFonts w:eastAsia="Arial Unicode MS"/>
          <w:color w:val="000000"/>
          <w:sz w:val="28"/>
          <w:szCs w:val="28"/>
        </w:rPr>
        <w:t xml:space="preserve">одобно Марксу, Энгельсу и Ленину, он помог убедить </w:t>
      </w:r>
      <w:r w:rsidRPr="00D51650">
        <w:rPr>
          <w:rFonts w:eastAsia="Arial Unicode MS"/>
          <w:iCs/>
          <w:color w:val="000000"/>
          <w:sz w:val="28"/>
          <w:szCs w:val="28"/>
        </w:rPr>
        <w:t>люмпенинвесториат</w:t>
      </w:r>
      <w:r w:rsidRPr="00D51650">
        <w:rPr>
          <w:rFonts w:eastAsia="Arial Unicode MS"/>
          <w:i/>
          <w:iCs/>
          <w:color w:val="000000"/>
          <w:sz w:val="28"/>
          <w:szCs w:val="28"/>
        </w:rPr>
        <w:t xml:space="preserve"> </w:t>
      </w:r>
      <w:r w:rsidRPr="00D51650">
        <w:rPr>
          <w:rFonts w:eastAsia="Arial Unicode MS"/>
          <w:color w:val="000000"/>
          <w:sz w:val="28"/>
          <w:szCs w:val="28"/>
        </w:rPr>
        <w:t>в том, что можно разбогатеть не работая: нужно только поддерживать технологии, в которых не принадлежащие им деньги</w:t>
      </w:r>
      <w:r w:rsidR="00D51650">
        <w:rPr>
          <w:rFonts w:eastAsia="Arial Unicode MS"/>
          <w:color w:val="000000"/>
          <w:sz w:val="28"/>
          <w:szCs w:val="28"/>
        </w:rPr>
        <w:t>»</w:t>
      </w:r>
      <w:r w:rsidR="00D51650" w:rsidRPr="00D51650">
        <w:rPr>
          <w:rFonts w:eastAsia="Arial Unicode MS"/>
          <w:color w:val="000000"/>
          <w:sz w:val="28"/>
          <w:szCs w:val="28"/>
        </w:rPr>
        <w:t>.</w:t>
      </w:r>
    </w:p>
    <w:p w:rsidR="00816C65" w:rsidRPr="00D51650" w:rsidRDefault="00816C65" w:rsidP="00D51650">
      <w:pPr>
        <w:autoSpaceDE w:val="0"/>
        <w:autoSpaceDN w:val="0"/>
        <w:adjustRightInd w:val="0"/>
        <w:spacing w:line="360" w:lineRule="auto"/>
        <w:ind w:firstLine="709"/>
        <w:jc w:val="both"/>
        <w:rPr>
          <w:rFonts w:eastAsia="Arial Unicode MS"/>
          <w:color w:val="000000"/>
          <w:sz w:val="28"/>
          <w:szCs w:val="28"/>
        </w:rPr>
      </w:pPr>
      <w:r w:rsidRPr="00D51650">
        <w:rPr>
          <w:rFonts w:eastAsia="Arial Unicode MS"/>
          <w:color w:val="000000"/>
          <w:sz w:val="28"/>
          <w:szCs w:val="28"/>
        </w:rPr>
        <w:t xml:space="preserve">Следует отметить, что до определенного момента популяризация </w:t>
      </w:r>
      <w:r w:rsidR="00D51650">
        <w:rPr>
          <w:rFonts w:eastAsia="Arial Unicode MS"/>
          <w:color w:val="000000"/>
          <w:sz w:val="28"/>
          <w:szCs w:val="28"/>
        </w:rPr>
        <w:t>«</w:t>
      </w:r>
      <w:r w:rsidR="00D51650" w:rsidRPr="00D51650">
        <w:rPr>
          <w:rFonts w:eastAsia="Arial Unicode MS"/>
          <w:color w:val="000000"/>
          <w:sz w:val="28"/>
          <w:szCs w:val="28"/>
        </w:rPr>
        <w:t>н</w:t>
      </w:r>
      <w:r w:rsidRPr="00D51650">
        <w:rPr>
          <w:rFonts w:eastAsia="Arial Unicode MS"/>
          <w:color w:val="000000"/>
          <w:sz w:val="28"/>
          <w:szCs w:val="28"/>
        </w:rPr>
        <w:t>овой экономики</w:t>
      </w:r>
      <w:r w:rsidR="00D51650">
        <w:rPr>
          <w:rFonts w:eastAsia="Arial Unicode MS"/>
          <w:color w:val="000000"/>
          <w:sz w:val="28"/>
          <w:szCs w:val="28"/>
        </w:rPr>
        <w:t>»</w:t>
      </w:r>
      <w:r w:rsidR="00D51650" w:rsidRPr="00D51650">
        <w:rPr>
          <w:rFonts w:eastAsia="Arial Unicode MS"/>
          <w:color w:val="000000"/>
          <w:sz w:val="28"/>
          <w:szCs w:val="28"/>
        </w:rPr>
        <w:t xml:space="preserve"> </w:t>
      </w:r>
      <w:r w:rsidRPr="00D51650">
        <w:rPr>
          <w:rFonts w:eastAsia="Arial Unicode MS"/>
          <w:color w:val="000000"/>
          <w:sz w:val="28"/>
          <w:szCs w:val="28"/>
        </w:rPr>
        <w:t>имела достаточно веские основания: в 1999</w:t>
      </w:r>
      <w:r w:rsidR="00D51650">
        <w:rPr>
          <w:rFonts w:eastAsia="Arial Unicode MS"/>
          <w:color w:val="000000"/>
          <w:sz w:val="28"/>
          <w:szCs w:val="28"/>
        </w:rPr>
        <w:t> </w:t>
      </w:r>
      <w:r w:rsidR="00D51650" w:rsidRPr="00D51650">
        <w:rPr>
          <w:rFonts w:eastAsia="Arial Unicode MS"/>
          <w:color w:val="000000"/>
          <w:sz w:val="28"/>
          <w:szCs w:val="28"/>
        </w:rPr>
        <w:t>г</w:t>
      </w:r>
      <w:r w:rsidRPr="00D51650">
        <w:rPr>
          <w:rFonts w:eastAsia="Arial Unicode MS"/>
          <w:color w:val="000000"/>
          <w:sz w:val="28"/>
          <w:szCs w:val="28"/>
        </w:rPr>
        <w:t>. Интернет-экономика по добавленной стоимости превзошла компьютерную отрасль (236 млрд. дол. против 231 млрд. дол.); за 1995</w:t>
      </w:r>
      <w:r w:rsidR="00D51650">
        <w:rPr>
          <w:rFonts w:eastAsia="Arial Unicode MS"/>
          <w:color w:val="000000"/>
          <w:sz w:val="28"/>
          <w:szCs w:val="28"/>
        </w:rPr>
        <w:t>–</w:t>
      </w:r>
      <w:r w:rsidR="00D51650" w:rsidRPr="00D51650">
        <w:rPr>
          <w:rFonts w:eastAsia="Arial Unicode MS"/>
          <w:color w:val="000000"/>
          <w:sz w:val="28"/>
          <w:szCs w:val="28"/>
        </w:rPr>
        <w:t>1</w:t>
      </w:r>
      <w:r w:rsidRPr="00D51650">
        <w:rPr>
          <w:rFonts w:eastAsia="Arial Unicode MS"/>
          <w:color w:val="000000"/>
          <w:sz w:val="28"/>
          <w:szCs w:val="28"/>
        </w:rPr>
        <w:t>999</w:t>
      </w:r>
      <w:r w:rsidR="00D51650">
        <w:rPr>
          <w:rFonts w:eastAsia="Arial Unicode MS"/>
          <w:color w:val="000000"/>
          <w:sz w:val="28"/>
          <w:szCs w:val="28"/>
        </w:rPr>
        <w:t> </w:t>
      </w:r>
      <w:r w:rsidR="00D51650" w:rsidRPr="00D51650">
        <w:rPr>
          <w:rFonts w:eastAsia="Arial Unicode MS"/>
          <w:color w:val="000000"/>
          <w:sz w:val="28"/>
          <w:szCs w:val="28"/>
        </w:rPr>
        <w:t>гг</w:t>
      </w:r>
      <w:r w:rsidRPr="00D51650">
        <w:rPr>
          <w:rFonts w:eastAsia="Arial Unicode MS"/>
          <w:color w:val="000000"/>
          <w:sz w:val="28"/>
          <w:szCs w:val="28"/>
        </w:rPr>
        <w:t>. сектор высоких технологий обеспечил 1 /3 прироста ВВП США и создал более 3</w:t>
      </w:r>
      <w:r w:rsidR="00D51650" w:rsidRPr="00D51650">
        <w:rPr>
          <w:rFonts w:eastAsia="Arial Unicode MS"/>
          <w:color w:val="000000"/>
          <w:sz w:val="28"/>
          <w:szCs w:val="28"/>
        </w:rPr>
        <w:t>7</w:t>
      </w:r>
      <w:r w:rsidR="00D51650">
        <w:rPr>
          <w:rFonts w:eastAsia="Arial Unicode MS"/>
          <w:color w:val="000000"/>
          <w:sz w:val="28"/>
          <w:szCs w:val="28"/>
        </w:rPr>
        <w:t>%</w:t>
      </w:r>
      <w:r w:rsidRPr="00D51650">
        <w:rPr>
          <w:rFonts w:eastAsia="Arial Unicode MS"/>
          <w:color w:val="000000"/>
          <w:sz w:val="28"/>
          <w:szCs w:val="28"/>
        </w:rPr>
        <w:t xml:space="preserve"> новых рабочих мест</w:t>
      </w:r>
      <w:r w:rsidR="00D51650">
        <w:rPr>
          <w:rFonts w:eastAsia="Arial Unicode MS"/>
          <w:color w:val="000000"/>
          <w:sz w:val="28"/>
          <w:szCs w:val="28"/>
          <w:vertAlign w:val="superscript"/>
        </w:rPr>
        <w:t>.</w:t>
      </w:r>
      <w:r w:rsidRPr="00D51650">
        <w:rPr>
          <w:rFonts w:eastAsia="Arial Unicode MS"/>
          <w:color w:val="000000"/>
          <w:sz w:val="28"/>
          <w:szCs w:val="28"/>
        </w:rPr>
        <w:t xml:space="preserve"> В своих мемуарах </w:t>
      </w:r>
      <w:r w:rsidR="00D51650" w:rsidRPr="00D51650">
        <w:rPr>
          <w:rFonts w:eastAsia="Arial Unicode MS"/>
          <w:color w:val="000000"/>
          <w:sz w:val="28"/>
          <w:szCs w:val="28"/>
        </w:rPr>
        <w:t>А.</w:t>
      </w:r>
      <w:r w:rsidR="00D51650">
        <w:rPr>
          <w:rFonts w:eastAsia="Arial Unicode MS"/>
          <w:color w:val="000000"/>
          <w:sz w:val="28"/>
          <w:szCs w:val="28"/>
        </w:rPr>
        <w:t> </w:t>
      </w:r>
      <w:r w:rsidR="00D51650" w:rsidRPr="00D51650">
        <w:rPr>
          <w:rFonts w:eastAsia="Arial Unicode MS"/>
          <w:color w:val="000000"/>
          <w:sz w:val="28"/>
          <w:szCs w:val="28"/>
        </w:rPr>
        <w:t>Гринспен</w:t>
      </w:r>
      <w:r w:rsidRPr="00D51650">
        <w:rPr>
          <w:rFonts w:eastAsia="Arial Unicode MS"/>
          <w:color w:val="000000"/>
          <w:sz w:val="28"/>
          <w:szCs w:val="28"/>
        </w:rPr>
        <w:t xml:space="preserve"> пишет, что технологический бум 90</w:t>
      </w:r>
      <w:r w:rsidR="00D51650">
        <w:rPr>
          <w:rFonts w:eastAsia="Arial Unicode MS"/>
          <w:color w:val="000000"/>
          <w:sz w:val="28"/>
          <w:szCs w:val="28"/>
        </w:rPr>
        <w:t>-</w:t>
      </w:r>
      <w:r w:rsidR="00D51650" w:rsidRPr="00D51650">
        <w:rPr>
          <w:rFonts w:eastAsia="Arial Unicode MS"/>
          <w:color w:val="000000"/>
          <w:sz w:val="28"/>
          <w:szCs w:val="28"/>
        </w:rPr>
        <w:t>х</w:t>
      </w:r>
      <w:r w:rsidRPr="00D51650">
        <w:rPr>
          <w:rFonts w:eastAsia="Arial Unicode MS"/>
          <w:color w:val="000000"/>
          <w:sz w:val="28"/>
          <w:szCs w:val="28"/>
        </w:rPr>
        <w:t xml:space="preserve"> годов </w:t>
      </w:r>
      <w:r w:rsidR="00D51650">
        <w:rPr>
          <w:rFonts w:eastAsia="Arial Unicode MS"/>
          <w:color w:val="000000"/>
          <w:sz w:val="28"/>
          <w:szCs w:val="28"/>
        </w:rPr>
        <w:t>«</w:t>
      </w:r>
      <w:r w:rsidR="00D51650" w:rsidRPr="00D51650">
        <w:rPr>
          <w:rFonts w:eastAsia="Arial Unicode MS"/>
          <w:color w:val="000000"/>
          <w:sz w:val="28"/>
          <w:szCs w:val="28"/>
        </w:rPr>
        <w:t>с</w:t>
      </w:r>
      <w:r w:rsidRPr="00D51650">
        <w:rPr>
          <w:rFonts w:eastAsia="Arial Unicode MS"/>
          <w:color w:val="000000"/>
          <w:sz w:val="28"/>
          <w:szCs w:val="28"/>
        </w:rPr>
        <w:t>делал американ</w:t>
      </w:r>
      <w:r w:rsidRPr="00D51650">
        <w:rPr>
          <w:color w:val="000000"/>
          <w:sz w:val="28"/>
          <w:szCs w:val="28"/>
        </w:rPr>
        <w:t xml:space="preserve">скую деловую культуру, основанную на предпринимательстве и широких возможностях, предметом зависти всего мира. Американские информационные технологии выплеснулись на глобальный рынок, как, впрочем, и другие инновации, начиная с кофе латте </w:t>
      </w:r>
      <w:r w:rsidRPr="00D51650">
        <w:rPr>
          <w:color w:val="000000"/>
          <w:sz w:val="28"/>
          <w:szCs w:val="28"/>
          <w:lang w:val="en-US"/>
        </w:rPr>
        <w:t>Starbucks</w:t>
      </w:r>
      <w:r w:rsidRPr="00D51650">
        <w:rPr>
          <w:color w:val="000000"/>
          <w:sz w:val="28"/>
          <w:szCs w:val="28"/>
        </w:rPr>
        <w:t xml:space="preserve"> и заканчивая кредитными деривативами.</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Признанием достижений корпораций, которые составляли ядро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w:t>
      </w:r>
      <w:r w:rsidRPr="00D51650">
        <w:rPr>
          <w:color w:val="000000"/>
          <w:sz w:val="28"/>
          <w:szCs w:val="28"/>
        </w:rPr>
        <w:t xml:space="preserve"> стало включение ее ведущих представителей в индекс </w:t>
      </w:r>
      <w:r w:rsidRPr="00D51650">
        <w:rPr>
          <w:color w:val="000000"/>
          <w:sz w:val="28"/>
          <w:szCs w:val="28"/>
          <w:lang w:val="en-US"/>
        </w:rPr>
        <w:t>Dow</w:t>
      </w:r>
      <w:r w:rsidRPr="00D51650">
        <w:rPr>
          <w:color w:val="000000"/>
          <w:sz w:val="28"/>
          <w:szCs w:val="28"/>
        </w:rPr>
        <w:t xml:space="preserve"> </w:t>
      </w:r>
      <w:r w:rsidRPr="00D51650">
        <w:rPr>
          <w:color w:val="000000"/>
          <w:sz w:val="28"/>
          <w:szCs w:val="28"/>
          <w:lang w:val="en-US"/>
        </w:rPr>
        <w:t>Jones</w:t>
      </w:r>
      <w:r w:rsidRPr="00D51650">
        <w:rPr>
          <w:color w:val="000000"/>
          <w:sz w:val="28"/>
          <w:szCs w:val="28"/>
        </w:rPr>
        <w:t>. Необходимо подчеркнуть, что на протяжении большей части его истории составляющие индекса выбирались из компаний, акции которых зарегистрированы на Нью-Йоркской фондовой бирже (</w:t>
      </w:r>
      <w:r w:rsidRPr="00D51650">
        <w:rPr>
          <w:color w:val="000000"/>
          <w:sz w:val="28"/>
          <w:szCs w:val="28"/>
          <w:lang w:val="en-US"/>
        </w:rPr>
        <w:t>NYSE</w:t>
      </w:r>
      <w:r w:rsidRPr="00D51650">
        <w:rPr>
          <w:color w:val="000000"/>
          <w:sz w:val="28"/>
          <w:szCs w:val="28"/>
        </w:rPr>
        <w:t xml:space="preserve">). При этом в методологии расчета индекса никогда не существовало правила, которое бы устанавливало, что листинг на </w:t>
      </w:r>
      <w:r w:rsidRPr="00D51650">
        <w:rPr>
          <w:color w:val="000000"/>
          <w:sz w:val="28"/>
          <w:szCs w:val="28"/>
          <w:lang w:val="en-US"/>
        </w:rPr>
        <w:t>NYSE</w:t>
      </w:r>
      <w:r w:rsidRPr="00D51650">
        <w:rPr>
          <w:color w:val="000000"/>
          <w:sz w:val="28"/>
          <w:szCs w:val="28"/>
        </w:rPr>
        <w:t xml:space="preserve"> является обязательным условием для попадания в </w:t>
      </w:r>
      <w:r w:rsidRPr="00D51650">
        <w:rPr>
          <w:color w:val="000000"/>
          <w:sz w:val="28"/>
          <w:szCs w:val="28"/>
          <w:lang w:val="en-US"/>
        </w:rPr>
        <w:t>Dow</w:t>
      </w:r>
      <w:r w:rsidRPr="00D51650">
        <w:rPr>
          <w:color w:val="000000"/>
          <w:sz w:val="28"/>
          <w:szCs w:val="28"/>
        </w:rPr>
        <w:t xml:space="preserve"> </w:t>
      </w:r>
      <w:r w:rsidRPr="00D51650">
        <w:rPr>
          <w:color w:val="000000"/>
          <w:sz w:val="28"/>
          <w:szCs w:val="28"/>
          <w:lang w:val="en-US"/>
        </w:rPr>
        <w:t>Jones</w:t>
      </w:r>
      <w:r w:rsidRPr="00D51650">
        <w:rPr>
          <w:color w:val="000000"/>
          <w:sz w:val="28"/>
          <w:szCs w:val="28"/>
        </w:rPr>
        <w:t>. Только 1 ноября 1999</w:t>
      </w:r>
      <w:r w:rsidR="00D51650">
        <w:rPr>
          <w:color w:val="000000"/>
          <w:sz w:val="28"/>
          <w:szCs w:val="28"/>
        </w:rPr>
        <w:t> </w:t>
      </w:r>
      <w:r w:rsidR="00D51650" w:rsidRPr="00D51650">
        <w:rPr>
          <w:color w:val="000000"/>
          <w:sz w:val="28"/>
          <w:szCs w:val="28"/>
        </w:rPr>
        <w:t>г</w:t>
      </w:r>
      <w:r w:rsidRPr="00D51650">
        <w:rPr>
          <w:color w:val="000000"/>
          <w:sz w:val="28"/>
          <w:szCs w:val="28"/>
        </w:rPr>
        <w:t xml:space="preserve">. акции, котировавшиеся в системе </w:t>
      </w:r>
      <w:r w:rsidRPr="00D51650">
        <w:rPr>
          <w:color w:val="000000"/>
          <w:sz w:val="28"/>
          <w:szCs w:val="28"/>
          <w:lang w:val="en-US"/>
        </w:rPr>
        <w:t>NASDAQ</w:t>
      </w:r>
      <w:r w:rsidRPr="00D51650">
        <w:rPr>
          <w:color w:val="000000"/>
          <w:sz w:val="28"/>
          <w:szCs w:val="28"/>
        </w:rPr>
        <w:t xml:space="preserve">, были включены в индексную корзину (акции компаний </w:t>
      </w:r>
      <w:r w:rsidR="00D51650">
        <w:rPr>
          <w:color w:val="000000"/>
          <w:sz w:val="28"/>
          <w:szCs w:val="28"/>
        </w:rPr>
        <w:t>«</w:t>
      </w:r>
      <w:r w:rsidR="00D51650" w:rsidRPr="00D51650">
        <w:rPr>
          <w:color w:val="000000"/>
          <w:sz w:val="28"/>
          <w:szCs w:val="28"/>
          <w:lang w:val="en-US"/>
        </w:rPr>
        <w:t>M</w:t>
      </w:r>
      <w:r w:rsidRPr="00D51650">
        <w:rPr>
          <w:color w:val="000000"/>
          <w:sz w:val="28"/>
          <w:szCs w:val="28"/>
          <w:lang w:val="en-US"/>
        </w:rPr>
        <w:t>icrosoft</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и </w:t>
      </w:r>
      <w:r w:rsidR="00D51650">
        <w:rPr>
          <w:color w:val="000000"/>
          <w:sz w:val="28"/>
          <w:szCs w:val="28"/>
        </w:rPr>
        <w:t>«</w:t>
      </w:r>
      <w:r w:rsidR="00D51650" w:rsidRPr="00D51650">
        <w:rPr>
          <w:color w:val="000000"/>
          <w:sz w:val="28"/>
          <w:szCs w:val="28"/>
          <w:lang w:val="en-US"/>
        </w:rPr>
        <w:t>I</w:t>
      </w:r>
      <w:r w:rsidRPr="00D51650">
        <w:rPr>
          <w:color w:val="000000"/>
          <w:sz w:val="28"/>
          <w:szCs w:val="28"/>
          <w:lang w:val="en-US"/>
        </w:rPr>
        <w:t>ntel</w:t>
      </w:r>
      <w:r w:rsidR="00D51650">
        <w:rPr>
          <w:color w:val="000000"/>
          <w:sz w:val="28"/>
          <w:szCs w:val="28"/>
        </w:rPr>
        <w:t>»</w:t>
      </w:r>
      <w:r w:rsidR="00D51650" w:rsidRPr="00D51650">
        <w:rPr>
          <w:color w:val="000000"/>
          <w:sz w:val="28"/>
          <w:szCs w:val="28"/>
        </w:rPr>
        <w:t>)</w:t>
      </w:r>
      <w:r w:rsidRPr="00D51650">
        <w:rPr>
          <w:color w:val="000000"/>
          <w:sz w:val="28"/>
          <w:szCs w:val="28"/>
        </w:rPr>
        <w:t xml:space="preserve">. До включения в индекс этих корпораций в нем были представлены только три технологические акции (компании </w:t>
      </w:r>
      <w:r w:rsidR="00D51650">
        <w:rPr>
          <w:color w:val="000000"/>
          <w:sz w:val="28"/>
          <w:szCs w:val="28"/>
        </w:rPr>
        <w:t>«</w:t>
      </w:r>
      <w:r w:rsidR="00D51650" w:rsidRPr="00D51650">
        <w:rPr>
          <w:color w:val="000000"/>
          <w:sz w:val="28"/>
          <w:szCs w:val="28"/>
          <w:lang w:val="en-US"/>
        </w:rPr>
        <w:t>I</w:t>
      </w:r>
      <w:r w:rsidRPr="00D51650">
        <w:rPr>
          <w:color w:val="000000"/>
          <w:sz w:val="28"/>
          <w:szCs w:val="28"/>
          <w:lang w:val="en-US"/>
        </w:rPr>
        <w:t>BM</w:t>
      </w:r>
      <w:r w:rsidR="00D51650">
        <w:rPr>
          <w:color w:val="000000"/>
          <w:sz w:val="28"/>
          <w:szCs w:val="28"/>
        </w:rPr>
        <w:t>»</w:t>
      </w:r>
      <w:r w:rsidR="00D51650" w:rsidRPr="00D51650">
        <w:rPr>
          <w:color w:val="000000"/>
          <w:sz w:val="28"/>
          <w:szCs w:val="28"/>
        </w:rPr>
        <w:t>,</w:t>
      </w:r>
      <w:r w:rsidRPr="00D51650">
        <w:rPr>
          <w:color w:val="000000"/>
          <w:sz w:val="28"/>
          <w:szCs w:val="28"/>
        </w:rPr>
        <w:t xml:space="preserve"> </w:t>
      </w:r>
      <w:r w:rsidR="00D51650">
        <w:rPr>
          <w:color w:val="000000"/>
          <w:sz w:val="28"/>
          <w:szCs w:val="28"/>
        </w:rPr>
        <w:t>«</w:t>
      </w:r>
      <w:r w:rsidR="00D51650" w:rsidRPr="00D51650">
        <w:rPr>
          <w:color w:val="000000"/>
          <w:sz w:val="28"/>
          <w:szCs w:val="28"/>
          <w:lang w:val="en-US"/>
        </w:rPr>
        <w:t>H</w:t>
      </w:r>
      <w:r w:rsidRPr="00D51650">
        <w:rPr>
          <w:color w:val="000000"/>
          <w:sz w:val="28"/>
          <w:szCs w:val="28"/>
          <w:lang w:val="en-US"/>
        </w:rPr>
        <w:t>ewlett</w:t>
      </w:r>
      <w:r w:rsidRPr="00D51650">
        <w:rPr>
          <w:color w:val="000000"/>
          <w:sz w:val="28"/>
          <w:szCs w:val="28"/>
        </w:rPr>
        <w:t xml:space="preserve"> </w:t>
      </w:r>
      <w:r w:rsidRPr="00D51650">
        <w:rPr>
          <w:color w:val="000000"/>
          <w:sz w:val="28"/>
          <w:szCs w:val="28"/>
          <w:lang w:val="en-US"/>
        </w:rPr>
        <w:t>Packard</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и </w:t>
      </w:r>
      <w:r w:rsidR="00D51650">
        <w:rPr>
          <w:color w:val="000000"/>
          <w:sz w:val="28"/>
          <w:szCs w:val="28"/>
        </w:rPr>
        <w:t>«</w:t>
      </w:r>
      <w:r w:rsidR="00D51650" w:rsidRPr="00D51650">
        <w:rPr>
          <w:color w:val="000000"/>
          <w:sz w:val="28"/>
          <w:szCs w:val="28"/>
          <w:lang w:val="en-US"/>
        </w:rPr>
        <w:t>E</w:t>
      </w:r>
      <w:r w:rsidRPr="00D51650">
        <w:rPr>
          <w:color w:val="000000"/>
          <w:sz w:val="28"/>
          <w:szCs w:val="28"/>
          <w:lang w:val="en-US"/>
        </w:rPr>
        <w:t>astman</w:t>
      </w:r>
      <w:r w:rsidRPr="00D51650">
        <w:rPr>
          <w:color w:val="000000"/>
          <w:sz w:val="28"/>
          <w:szCs w:val="28"/>
        </w:rPr>
        <w:t xml:space="preserve"> </w:t>
      </w:r>
      <w:r w:rsidRPr="00D51650">
        <w:rPr>
          <w:color w:val="000000"/>
          <w:sz w:val="28"/>
          <w:szCs w:val="28"/>
          <w:lang w:val="en-US"/>
        </w:rPr>
        <w:t>Kodak</w:t>
      </w:r>
      <w:r w:rsidR="00D51650">
        <w:rPr>
          <w:color w:val="000000"/>
          <w:sz w:val="28"/>
          <w:szCs w:val="28"/>
        </w:rPr>
        <w:t>»</w:t>
      </w:r>
      <w:r w:rsidR="00D51650" w:rsidRPr="00D51650">
        <w:rPr>
          <w:color w:val="000000"/>
          <w:sz w:val="28"/>
          <w:szCs w:val="28"/>
        </w:rPr>
        <w:t>)</w:t>
      </w:r>
      <w:r w:rsidRPr="00D51650">
        <w:rPr>
          <w:color w:val="000000"/>
          <w:sz w:val="28"/>
          <w:szCs w:val="28"/>
        </w:rPr>
        <w:t xml:space="preserve">. После включения указанных корпораций в индекс </w:t>
      </w:r>
      <w:r w:rsidRPr="00D51650">
        <w:rPr>
          <w:color w:val="000000"/>
          <w:sz w:val="28"/>
          <w:szCs w:val="28"/>
          <w:lang w:val="en-US"/>
        </w:rPr>
        <w:t>Dow</w:t>
      </w:r>
      <w:r w:rsidRPr="00D51650">
        <w:rPr>
          <w:color w:val="000000"/>
          <w:sz w:val="28"/>
          <w:szCs w:val="28"/>
        </w:rPr>
        <w:t xml:space="preserve"> </w:t>
      </w:r>
      <w:r w:rsidRPr="00D51650">
        <w:rPr>
          <w:color w:val="000000"/>
          <w:sz w:val="28"/>
          <w:szCs w:val="28"/>
          <w:lang w:val="en-US"/>
        </w:rPr>
        <w:t>Jones</w:t>
      </w:r>
      <w:r w:rsidRPr="00D51650">
        <w:rPr>
          <w:color w:val="000000"/>
          <w:sz w:val="28"/>
          <w:szCs w:val="28"/>
        </w:rPr>
        <w:t xml:space="preserve"> доля технологической составляющей возросла с 1</w:t>
      </w:r>
      <w:r w:rsidR="00D51650" w:rsidRPr="00D51650">
        <w:rPr>
          <w:color w:val="000000"/>
          <w:sz w:val="28"/>
          <w:szCs w:val="28"/>
        </w:rPr>
        <w:t>2</w:t>
      </w:r>
      <w:r w:rsidR="00D51650">
        <w:rPr>
          <w:color w:val="000000"/>
          <w:sz w:val="28"/>
          <w:szCs w:val="28"/>
        </w:rPr>
        <w:t>%</w:t>
      </w:r>
      <w:r w:rsidRPr="00D51650">
        <w:rPr>
          <w:color w:val="000000"/>
          <w:sz w:val="28"/>
          <w:szCs w:val="28"/>
        </w:rPr>
        <w:t xml:space="preserve"> до 1</w:t>
      </w:r>
      <w:r w:rsidR="00D51650" w:rsidRPr="00D51650">
        <w:rPr>
          <w:color w:val="000000"/>
          <w:sz w:val="28"/>
          <w:szCs w:val="28"/>
        </w:rPr>
        <w:t>9</w:t>
      </w:r>
      <w:r w:rsidR="00D51650">
        <w:rPr>
          <w:color w:val="000000"/>
          <w:sz w:val="28"/>
          <w:szCs w:val="28"/>
        </w:rPr>
        <w:t>%</w:t>
      </w:r>
      <w:r w:rsidRPr="00D51650">
        <w:rPr>
          <w:color w:val="000000"/>
          <w:sz w:val="28"/>
          <w:szCs w:val="28"/>
        </w:rPr>
        <w:t>.</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Включение в индекс </w:t>
      </w:r>
      <w:r w:rsidRPr="00D51650">
        <w:rPr>
          <w:color w:val="000000"/>
          <w:sz w:val="28"/>
          <w:szCs w:val="28"/>
          <w:lang w:val="en-US"/>
        </w:rPr>
        <w:t>Dow</w:t>
      </w:r>
      <w:r w:rsidRPr="00D51650">
        <w:rPr>
          <w:color w:val="000000"/>
          <w:sz w:val="28"/>
          <w:szCs w:val="28"/>
        </w:rPr>
        <w:t xml:space="preserve"> </w:t>
      </w:r>
      <w:r w:rsidRPr="00D51650">
        <w:rPr>
          <w:color w:val="000000"/>
          <w:sz w:val="28"/>
          <w:szCs w:val="28"/>
          <w:lang w:val="en-US"/>
        </w:rPr>
        <w:t>Jones</w:t>
      </w:r>
      <w:r w:rsidRPr="00D51650">
        <w:rPr>
          <w:color w:val="000000"/>
          <w:sz w:val="28"/>
          <w:szCs w:val="28"/>
        </w:rPr>
        <w:t xml:space="preserve"> компаний высоких технологий, а также наиболее успешных представителей розничной торговли и телекоммуникаций зафиксировало те изменения, которые произошли в американской экономике за последнее десятилетие XX</w:t>
      </w:r>
      <w:r w:rsidR="00D51650">
        <w:rPr>
          <w:color w:val="000000"/>
          <w:sz w:val="28"/>
          <w:szCs w:val="28"/>
        </w:rPr>
        <w:t> </w:t>
      </w:r>
      <w:r w:rsidR="00D51650" w:rsidRPr="00D51650">
        <w:rPr>
          <w:color w:val="000000"/>
          <w:sz w:val="28"/>
          <w:szCs w:val="28"/>
        </w:rPr>
        <w:t xml:space="preserve">в. </w:t>
      </w:r>
      <w:r w:rsidRPr="00D51650">
        <w:rPr>
          <w:color w:val="000000"/>
          <w:sz w:val="28"/>
          <w:szCs w:val="28"/>
        </w:rPr>
        <w:t xml:space="preserve">Из индекса были удалены компании технической и нефтяной отраслей </w:t>
      </w:r>
      <w:r w:rsidR="00D51650" w:rsidRPr="00D51650">
        <w:rPr>
          <w:color w:val="000000"/>
          <w:sz w:val="28"/>
          <w:szCs w:val="28"/>
        </w:rPr>
        <w:t>(</w:t>
      </w:r>
      <w:r w:rsidR="00D51650">
        <w:rPr>
          <w:color w:val="000000"/>
          <w:sz w:val="28"/>
          <w:szCs w:val="28"/>
        </w:rPr>
        <w:t>«</w:t>
      </w:r>
      <w:r w:rsidR="00D51650" w:rsidRPr="00D51650">
        <w:rPr>
          <w:color w:val="000000"/>
          <w:sz w:val="28"/>
          <w:szCs w:val="28"/>
          <w:lang w:val="en-US"/>
        </w:rPr>
        <w:t>Cevron</w:t>
      </w:r>
      <w:r w:rsidR="00D51650">
        <w:rPr>
          <w:color w:val="000000"/>
          <w:sz w:val="28"/>
          <w:szCs w:val="28"/>
        </w:rPr>
        <w:t>»</w:t>
      </w:r>
      <w:r w:rsidR="00D51650" w:rsidRPr="00D51650">
        <w:rPr>
          <w:color w:val="000000"/>
          <w:sz w:val="28"/>
          <w:szCs w:val="28"/>
        </w:rPr>
        <w:t>,</w:t>
      </w:r>
      <w:r w:rsidRPr="00D51650">
        <w:rPr>
          <w:color w:val="000000"/>
          <w:sz w:val="28"/>
          <w:szCs w:val="28"/>
        </w:rPr>
        <w:t xml:space="preserve"> </w:t>
      </w:r>
      <w:r w:rsidR="00D51650">
        <w:rPr>
          <w:color w:val="000000"/>
          <w:sz w:val="28"/>
          <w:szCs w:val="28"/>
        </w:rPr>
        <w:t>«</w:t>
      </w:r>
      <w:r w:rsidR="00D51650" w:rsidRPr="00D51650">
        <w:rPr>
          <w:color w:val="000000"/>
          <w:sz w:val="28"/>
          <w:szCs w:val="28"/>
          <w:lang w:val="en-US"/>
        </w:rPr>
        <w:t>G</w:t>
      </w:r>
      <w:r w:rsidRPr="00D51650">
        <w:rPr>
          <w:color w:val="000000"/>
          <w:sz w:val="28"/>
          <w:szCs w:val="28"/>
          <w:lang w:val="en-US"/>
        </w:rPr>
        <w:t>ood</w:t>
      </w:r>
      <w:r w:rsidRPr="00D51650">
        <w:rPr>
          <w:color w:val="000000"/>
          <w:sz w:val="28"/>
          <w:szCs w:val="28"/>
        </w:rPr>
        <w:t xml:space="preserve"> </w:t>
      </w:r>
      <w:r w:rsidRPr="00D51650">
        <w:rPr>
          <w:color w:val="000000"/>
          <w:sz w:val="28"/>
          <w:szCs w:val="28"/>
          <w:lang w:val="en-US"/>
        </w:rPr>
        <w:t>Year</w:t>
      </w:r>
      <w:r w:rsidR="00D51650">
        <w:rPr>
          <w:color w:val="000000"/>
          <w:sz w:val="28"/>
          <w:szCs w:val="28"/>
        </w:rPr>
        <w:t>»</w:t>
      </w:r>
      <w:r w:rsidR="00D51650" w:rsidRPr="00D51650">
        <w:rPr>
          <w:color w:val="000000"/>
          <w:sz w:val="28"/>
          <w:szCs w:val="28"/>
        </w:rPr>
        <w:t>,</w:t>
      </w:r>
      <w:r w:rsidRPr="00D51650">
        <w:rPr>
          <w:color w:val="000000"/>
          <w:sz w:val="28"/>
          <w:szCs w:val="28"/>
        </w:rPr>
        <w:t xml:space="preserve"> </w:t>
      </w:r>
      <w:r w:rsidR="00D51650">
        <w:rPr>
          <w:color w:val="000000"/>
          <w:sz w:val="28"/>
          <w:szCs w:val="28"/>
        </w:rPr>
        <w:t>«</w:t>
      </w:r>
      <w:r w:rsidR="00D51650" w:rsidRPr="00D51650">
        <w:rPr>
          <w:color w:val="000000"/>
          <w:sz w:val="28"/>
          <w:szCs w:val="28"/>
          <w:lang w:val="en-US"/>
        </w:rPr>
        <w:t>U</w:t>
      </w:r>
      <w:r w:rsidRPr="00D51650">
        <w:rPr>
          <w:color w:val="000000"/>
          <w:sz w:val="28"/>
          <w:szCs w:val="28"/>
          <w:lang w:val="en-US"/>
        </w:rPr>
        <w:t>nited</w:t>
      </w:r>
      <w:r w:rsidRPr="00D51650">
        <w:rPr>
          <w:color w:val="000000"/>
          <w:sz w:val="28"/>
          <w:szCs w:val="28"/>
        </w:rPr>
        <w:t xml:space="preserve"> </w:t>
      </w:r>
      <w:r w:rsidRPr="00D51650">
        <w:rPr>
          <w:color w:val="000000"/>
          <w:sz w:val="28"/>
          <w:szCs w:val="28"/>
          <w:lang w:val="en-US"/>
        </w:rPr>
        <w:t>Carbide</w:t>
      </w:r>
      <w:r w:rsidR="00D51650">
        <w:rPr>
          <w:color w:val="000000"/>
          <w:sz w:val="28"/>
          <w:szCs w:val="28"/>
        </w:rPr>
        <w:t>»</w:t>
      </w:r>
      <w:r w:rsidR="00D51650" w:rsidRPr="00D51650">
        <w:rPr>
          <w:color w:val="000000"/>
          <w:sz w:val="28"/>
          <w:szCs w:val="28"/>
        </w:rPr>
        <w:t>,</w:t>
      </w:r>
      <w:r w:rsidRPr="00D51650">
        <w:rPr>
          <w:color w:val="000000"/>
          <w:sz w:val="28"/>
          <w:szCs w:val="28"/>
        </w:rPr>
        <w:t xml:space="preserve"> </w:t>
      </w:r>
      <w:r w:rsidR="00D51650">
        <w:rPr>
          <w:color w:val="000000"/>
          <w:sz w:val="28"/>
          <w:szCs w:val="28"/>
        </w:rPr>
        <w:t>«</w:t>
      </w:r>
      <w:r w:rsidR="00D51650" w:rsidRPr="00D51650">
        <w:rPr>
          <w:color w:val="000000"/>
          <w:sz w:val="28"/>
          <w:szCs w:val="28"/>
          <w:lang w:val="en-US"/>
        </w:rPr>
        <w:t>S</w:t>
      </w:r>
      <w:r w:rsidRPr="00D51650">
        <w:rPr>
          <w:color w:val="000000"/>
          <w:sz w:val="28"/>
          <w:szCs w:val="28"/>
          <w:lang w:val="en-US"/>
        </w:rPr>
        <w:t>ears</w:t>
      </w:r>
      <w:r w:rsidR="00D51650">
        <w:rPr>
          <w:color w:val="000000"/>
          <w:sz w:val="28"/>
          <w:szCs w:val="28"/>
        </w:rPr>
        <w:t>»</w:t>
      </w:r>
      <w:r w:rsidR="00D51650" w:rsidRPr="00D51650">
        <w:rPr>
          <w:color w:val="000000"/>
          <w:sz w:val="28"/>
          <w:szCs w:val="28"/>
        </w:rPr>
        <w:t>)</w:t>
      </w:r>
      <w:r w:rsidRPr="00D51650">
        <w:rPr>
          <w:color w:val="000000"/>
          <w:sz w:val="28"/>
          <w:szCs w:val="28"/>
        </w:rPr>
        <w:t>, поскольку в конце 90</w:t>
      </w:r>
      <w:r w:rsidR="00D51650">
        <w:rPr>
          <w:color w:val="000000"/>
          <w:sz w:val="28"/>
          <w:szCs w:val="28"/>
        </w:rPr>
        <w:t>-</w:t>
      </w:r>
      <w:r w:rsidR="00D51650" w:rsidRPr="00D51650">
        <w:rPr>
          <w:color w:val="000000"/>
          <w:sz w:val="28"/>
          <w:szCs w:val="28"/>
        </w:rPr>
        <w:t>х</w:t>
      </w:r>
      <w:r w:rsidRPr="00D51650">
        <w:rPr>
          <w:color w:val="000000"/>
          <w:sz w:val="28"/>
          <w:szCs w:val="28"/>
        </w:rPr>
        <w:t xml:space="preserve"> годов в них наблюдалась тенденция к снижению нормы прибыли (см. табл. 1). Капитализация корпораций, добавленных в базу индекса </w:t>
      </w:r>
      <w:r w:rsidRPr="00D51650">
        <w:rPr>
          <w:color w:val="000000"/>
          <w:sz w:val="28"/>
          <w:szCs w:val="28"/>
          <w:lang w:val="en-US"/>
        </w:rPr>
        <w:t>Dow</w:t>
      </w:r>
      <w:r w:rsidRPr="00D51650">
        <w:rPr>
          <w:color w:val="000000"/>
          <w:sz w:val="28"/>
          <w:szCs w:val="28"/>
        </w:rPr>
        <w:t xml:space="preserve"> </w:t>
      </w:r>
      <w:r w:rsidRPr="00D51650">
        <w:rPr>
          <w:color w:val="000000"/>
          <w:sz w:val="28"/>
          <w:szCs w:val="28"/>
          <w:lang w:val="en-US"/>
        </w:rPr>
        <w:t>Jones</w:t>
      </w:r>
      <w:r w:rsidRPr="00D51650">
        <w:rPr>
          <w:color w:val="000000"/>
          <w:sz w:val="28"/>
          <w:szCs w:val="28"/>
        </w:rPr>
        <w:t>, превышала 1 трлн. дол., а капитализация компаний, исключенных из индекса, составила менее 100 млрд. дол</w:t>
      </w:r>
      <w:r w:rsidR="00D51650">
        <w:rPr>
          <w:color w:val="000000"/>
          <w:sz w:val="28"/>
          <w:szCs w:val="28"/>
        </w:rPr>
        <w:t>.</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Идеи сторонников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и ее реальные достижения способствовали формированию </w:t>
      </w:r>
      <w:r w:rsidR="00D51650">
        <w:rPr>
          <w:color w:val="000000"/>
          <w:sz w:val="28"/>
          <w:szCs w:val="28"/>
        </w:rPr>
        <w:t>«</w:t>
      </w:r>
      <w:r w:rsidR="00D51650" w:rsidRPr="00D51650">
        <w:rPr>
          <w:color w:val="000000"/>
          <w:sz w:val="28"/>
          <w:szCs w:val="28"/>
        </w:rPr>
        <w:t>м</w:t>
      </w:r>
      <w:r w:rsidRPr="00D51650">
        <w:rPr>
          <w:color w:val="000000"/>
          <w:sz w:val="28"/>
          <w:szCs w:val="28"/>
        </w:rPr>
        <w:t>ыльного пузыря</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на фондовом рынке США (см. рис.), который является разновидностью финансово-спекулятивного </w:t>
      </w:r>
      <w:r w:rsidR="00D51650">
        <w:rPr>
          <w:color w:val="000000"/>
          <w:sz w:val="28"/>
          <w:szCs w:val="28"/>
        </w:rPr>
        <w:t>«</w:t>
      </w:r>
      <w:r w:rsidR="00D51650" w:rsidRPr="00D51650">
        <w:rPr>
          <w:color w:val="000000"/>
          <w:sz w:val="28"/>
          <w:szCs w:val="28"/>
        </w:rPr>
        <w:t>п</w:t>
      </w:r>
      <w:r w:rsidRPr="00D51650">
        <w:rPr>
          <w:color w:val="000000"/>
          <w:sz w:val="28"/>
          <w:szCs w:val="28"/>
        </w:rPr>
        <w:t>узыря</w:t>
      </w:r>
      <w:r w:rsidR="00D51650">
        <w:rPr>
          <w:color w:val="000000"/>
          <w:sz w:val="28"/>
          <w:szCs w:val="28"/>
        </w:rPr>
        <w:t>»</w:t>
      </w:r>
      <w:r w:rsidR="00D51650" w:rsidRPr="00D51650">
        <w:rPr>
          <w:color w:val="000000"/>
          <w:sz w:val="28"/>
          <w:szCs w:val="28"/>
        </w:rPr>
        <w:t>,</w:t>
      </w:r>
      <w:r w:rsidRPr="00D51650">
        <w:rPr>
          <w:color w:val="000000"/>
          <w:sz w:val="28"/>
          <w:szCs w:val="28"/>
        </w:rPr>
        <w:t xml:space="preserve"> определяемого современными американскими экономистами как </w:t>
      </w:r>
      <w:r w:rsidR="00D51650">
        <w:rPr>
          <w:color w:val="000000"/>
          <w:sz w:val="28"/>
          <w:szCs w:val="28"/>
        </w:rPr>
        <w:t>«</w:t>
      </w:r>
      <w:r w:rsidR="00D51650" w:rsidRPr="00D51650">
        <w:rPr>
          <w:color w:val="000000"/>
          <w:sz w:val="28"/>
          <w:szCs w:val="28"/>
        </w:rPr>
        <w:t>т</w:t>
      </w:r>
      <w:r w:rsidRPr="00D51650">
        <w:rPr>
          <w:color w:val="000000"/>
          <w:sz w:val="28"/>
          <w:szCs w:val="28"/>
        </w:rPr>
        <w:t>орговля огромными количествами экономических благ по ценам, значительно превышающим их стоимость</w:t>
      </w:r>
      <w:r w:rsidR="00D51650">
        <w:rPr>
          <w:color w:val="000000"/>
          <w:sz w:val="28"/>
          <w:szCs w:val="28"/>
        </w:rPr>
        <w:t>»</w:t>
      </w:r>
      <w:r w:rsidR="00D51650" w:rsidRPr="00D51650">
        <w:rPr>
          <w:color w:val="000000"/>
          <w:sz w:val="28"/>
          <w:szCs w:val="28"/>
        </w:rPr>
        <w:t>.</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Каково же было положение дел накануне кризиса в системе </w:t>
      </w:r>
      <w:r w:rsidRPr="00D51650">
        <w:rPr>
          <w:color w:val="000000"/>
          <w:sz w:val="28"/>
          <w:szCs w:val="28"/>
          <w:lang w:val="en-US"/>
        </w:rPr>
        <w:t>NASDAQ</w:t>
      </w:r>
      <w:r w:rsidRPr="00D51650">
        <w:rPr>
          <w:color w:val="000000"/>
          <w:sz w:val="28"/>
          <w:szCs w:val="28"/>
        </w:rPr>
        <w:t>, ведущей торговой площадки для акций высокотехнологичных компаний? Анализируя данные таблицы 2, можно сделать следующие выводы:</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 </w:t>
      </w:r>
      <w:r w:rsidR="00816C65" w:rsidRPr="00D51650">
        <w:rPr>
          <w:color w:val="000000"/>
          <w:sz w:val="28"/>
          <w:szCs w:val="28"/>
        </w:rPr>
        <w:t>за 3 года (1997</w:t>
      </w:r>
      <w:r>
        <w:rPr>
          <w:color w:val="000000"/>
          <w:sz w:val="28"/>
          <w:szCs w:val="28"/>
        </w:rPr>
        <w:t>–</w:t>
      </w:r>
      <w:r w:rsidRPr="00D51650">
        <w:rPr>
          <w:color w:val="000000"/>
          <w:sz w:val="28"/>
          <w:szCs w:val="28"/>
        </w:rPr>
        <w:t>1</w:t>
      </w:r>
      <w:r w:rsidR="00816C65" w:rsidRPr="00D51650">
        <w:rPr>
          <w:color w:val="000000"/>
          <w:sz w:val="28"/>
          <w:szCs w:val="28"/>
        </w:rPr>
        <w:t>999</w:t>
      </w:r>
      <w:r>
        <w:rPr>
          <w:color w:val="000000"/>
          <w:sz w:val="28"/>
          <w:szCs w:val="28"/>
        </w:rPr>
        <w:t> </w:t>
      </w:r>
      <w:r w:rsidRPr="00D51650">
        <w:rPr>
          <w:color w:val="000000"/>
          <w:sz w:val="28"/>
          <w:szCs w:val="28"/>
        </w:rPr>
        <w:t>гг</w:t>
      </w:r>
      <w:r w:rsidR="00816C65" w:rsidRPr="00D51650">
        <w:rPr>
          <w:color w:val="000000"/>
          <w:sz w:val="28"/>
          <w:szCs w:val="28"/>
        </w:rPr>
        <w:t xml:space="preserve">.) капитализация рынка </w:t>
      </w:r>
      <w:r w:rsidR="00816C65" w:rsidRPr="00D51650">
        <w:rPr>
          <w:color w:val="000000"/>
          <w:sz w:val="28"/>
          <w:szCs w:val="28"/>
          <w:lang w:val="en-US"/>
        </w:rPr>
        <w:t>NASDAQ</w:t>
      </w:r>
      <w:r w:rsidR="00816C65" w:rsidRPr="00D51650">
        <w:rPr>
          <w:color w:val="000000"/>
          <w:sz w:val="28"/>
          <w:szCs w:val="28"/>
        </w:rPr>
        <w:t xml:space="preserve"> возросла в 2 раза и в декабре 1999</w:t>
      </w:r>
      <w:r>
        <w:rPr>
          <w:color w:val="000000"/>
          <w:sz w:val="28"/>
          <w:szCs w:val="28"/>
        </w:rPr>
        <w:t> </w:t>
      </w:r>
      <w:r w:rsidRPr="00D51650">
        <w:rPr>
          <w:color w:val="000000"/>
          <w:sz w:val="28"/>
          <w:szCs w:val="28"/>
        </w:rPr>
        <w:t>г</w:t>
      </w:r>
      <w:r w:rsidR="00816C65" w:rsidRPr="00D51650">
        <w:rPr>
          <w:color w:val="000000"/>
          <w:sz w:val="28"/>
          <w:szCs w:val="28"/>
        </w:rPr>
        <w:t>. достигла 5204620,4 млн. дол. (Для сравнения: в 1999</w:t>
      </w:r>
      <w:r>
        <w:rPr>
          <w:color w:val="000000"/>
          <w:sz w:val="28"/>
          <w:szCs w:val="28"/>
        </w:rPr>
        <w:t> </w:t>
      </w:r>
      <w:r w:rsidRPr="00D51650">
        <w:rPr>
          <w:color w:val="000000"/>
          <w:sz w:val="28"/>
          <w:szCs w:val="28"/>
        </w:rPr>
        <w:t>г</w:t>
      </w:r>
      <w:r w:rsidR="00816C65" w:rsidRPr="00D51650">
        <w:rPr>
          <w:color w:val="000000"/>
          <w:sz w:val="28"/>
          <w:szCs w:val="28"/>
        </w:rPr>
        <w:t>. совокупная капитализация формирующихся рынков равнялась 2746494 млн. дол.);</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 </w:t>
      </w:r>
      <w:r w:rsidR="00816C65" w:rsidRPr="00D51650">
        <w:rPr>
          <w:color w:val="000000"/>
          <w:sz w:val="28"/>
          <w:szCs w:val="28"/>
        </w:rPr>
        <w:t xml:space="preserve">накануне кризиса наблюдалась тенденция к уменьшению числа компаний, прошедших процедуру листинга в системе </w:t>
      </w:r>
      <w:r w:rsidR="00816C65" w:rsidRPr="00D51650">
        <w:rPr>
          <w:color w:val="000000"/>
          <w:sz w:val="28"/>
          <w:szCs w:val="28"/>
          <w:lang w:val="en-US"/>
        </w:rPr>
        <w:t>NASDAQ</w:t>
      </w:r>
      <w:r w:rsidR="00816C65" w:rsidRPr="00D51650">
        <w:rPr>
          <w:color w:val="000000"/>
          <w:sz w:val="28"/>
          <w:szCs w:val="28"/>
        </w:rPr>
        <w:t>; несмотря на это, в 1999</w:t>
      </w:r>
      <w:r>
        <w:rPr>
          <w:color w:val="000000"/>
          <w:sz w:val="28"/>
          <w:szCs w:val="28"/>
        </w:rPr>
        <w:t> </w:t>
      </w:r>
      <w:r w:rsidRPr="00D51650">
        <w:rPr>
          <w:color w:val="000000"/>
          <w:sz w:val="28"/>
          <w:szCs w:val="28"/>
        </w:rPr>
        <w:t>г</w:t>
      </w:r>
      <w:r w:rsidR="00816C65" w:rsidRPr="00D51650">
        <w:rPr>
          <w:color w:val="000000"/>
          <w:sz w:val="28"/>
          <w:szCs w:val="28"/>
        </w:rPr>
        <w:t xml:space="preserve">. по количеству акций, входящих в котировочный лист </w:t>
      </w:r>
      <w:r w:rsidR="00816C65" w:rsidRPr="00D51650">
        <w:rPr>
          <w:color w:val="000000"/>
          <w:sz w:val="28"/>
          <w:szCs w:val="28"/>
          <w:lang w:val="en-US"/>
        </w:rPr>
        <w:t>NASDAQ</w:t>
      </w:r>
      <w:r w:rsidR="00816C65" w:rsidRPr="00D51650">
        <w:rPr>
          <w:color w:val="000000"/>
          <w:sz w:val="28"/>
          <w:szCs w:val="28"/>
        </w:rPr>
        <w:t xml:space="preserve"> (4829), она не имела равных себе в мире;</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 </w:t>
      </w:r>
      <w:r w:rsidR="00816C65" w:rsidRPr="00D51650">
        <w:rPr>
          <w:color w:val="000000"/>
          <w:sz w:val="28"/>
          <w:szCs w:val="28"/>
        </w:rPr>
        <w:t>за анализируемый период среднемесячный объем торгов акциями возрос в 2,34 раза, и в 1999</w:t>
      </w:r>
      <w:r>
        <w:rPr>
          <w:color w:val="000000"/>
          <w:sz w:val="28"/>
          <w:szCs w:val="28"/>
        </w:rPr>
        <w:t> </w:t>
      </w:r>
      <w:r w:rsidRPr="00D51650">
        <w:rPr>
          <w:color w:val="000000"/>
          <w:sz w:val="28"/>
          <w:szCs w:val="28"/>
        </w:rPr>
        <w:t>г</w:t>
      </w:r>
      <w:r w:rsidR="00816C65" w:rsidRPr="00D51650">
        <w:rPr>
          <w:color w:val="000000"/>
          <w:sz w:val="28"/>
          <w:szCs w:val="28"/>
        </w:rPr>
        <w:t xml:space="preserve">. годовой объем торгов в системе </w:t>
      </w:r>
      <w:r w:rsidR="00816C65" w:rsidRPr="00D51650">
        <w:rPr>
          <w:color w:val="000000"/>
          <w:sz w:val="28"/>
          <w:szCs w:val="28"/>
          <w:lang w:val="en-US"/>
        </w:rPr>
        <w:t>NASDAQ</w:t>
      </w:r>
      <w:r w:rsidR="00816C65" w:rsidRPr="00D51650">
        <w:rPr>
          <w:color w:val="000000"/>
          <w:sz w:val="28"/>
          <w:szCs w:val="28"/>
        </w:rPr>
        <w:t xml:space="preserve"> достиг 10467369,3 млн. дол. (Для сравнения: в 1999</w:t>
      </w:r>
      <w:r>
        <w:rPr>
          <w:color w:val="000000"/>
          <w:sz w:val="28"/>
          <w:szCs w:val="28"/>
        </w:rPr>
        <w:t> </w:t>
      </w:r>
      <w:r w:rsidRPr="00D51650">
        <w:rPr>
          <w:color w:val="000000"/>
          <w:sz w:val="28"/>
          <w:szCs w:val="28"/>
        </w:rPr>
        <w:t>г</w:t>
      </w:r>
      <w:r w:rsidR="00816C65" w:rsidRPr="00D51650">
        <w:rPr>
          <w:color w:val="000000"/>
          <w:sz w:val="28"/>
          <w:szCs w:val="28"/>
        </w:rPr>
        <w:t>. объем торгов акциями на всех формирующихся рынках составил 2928427 млн. дол.);</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 </w:t>
      </w:r>
      <w:r w:rsidR="00816C65" w:rsidRPr="00D51650">
        <w:rPr>
          <w:color w:val="000000"/>
          <w:sz w:val="28"/>
          <w:szCs w:val="28"/>
        </w:rPr>
        <w:t>на протяжении 1997</w:t>
      </w:r>
      <w:r>
        <w:rPr>
          <w:color w:val="000000"/>
          <w:sz w:val="28"/>
          <w:szCs w:val="28"/>
        </w:rPr>
        <w:t>–</w:t>
      </w:r>
      <w:r w:rsidRPr="00D51650">
        <w:rPr>
          <w:color w:val="000000"/>
          <w:sz w:val="28"/>
          <w:szCs w:val="28"/>
        </w:rPr>
        <w:t>1</w:t>
      </w:r>
      <w:r w:rsidR="00816C65" w:rsidRPr="00D51650">
        <w:rPr>
          <w:color w:val="000000"/>
          <w:sz w:val="28"/>
          <w:szCs w:val="28"/>
        </w:rPr>
        <w:t>999</w:t>
      </w:r>
      <w:r>
        <w:rPr>
          <w:color w:val="000000"/>
          <w:sz w:val="28"/>
          <w:szCs w:val="28"/>
        </w:rPr>
        <w:t> </w:t>
      </w:r>
      <w:r w:rsidRPr="00D51650">
        <w:rPr>
          <w:color w:val="000000"/>
          <w:sz w:val="28"/>
          <w:szCs w:val="28"/>
        </w:rPr>
        <w:t>гг</w:t>
      </w:r>
      <w:r w:rsidR="00816C65" w:rsidRPr="00D51650">
        <w:rPr>
          <w:color w:val="000000"/>
          <w:sz w:val="28"/>
          <w:szCs w:val="28"/>
        </w:rPr>
        <w:t>. показатель ликвидности рынка снижался, хотя при этом его величина оставалась достаточно высокой (Для сравнения: в 1993</w:t>
      </w:r>
      <w:r>
        <w:rPr>
          <w:color w:val="000000"/>
          <w:sz w:val="28"/>
          <w:szCs w:val="28"/>
        </w:rPr>
        <w:t> </w:t>
      </w:r>
      <w:r w:rsidRPr="00D51650">
        <w:rPr>
          <w:color w:val="000000"/>
          <w:sz w:val="28"/>
          <w:szCs w:val="28"/>
        </w:rPr>
        <w:t>г</w:t>
      </w:r>
      <w:r w:rsidR="00816C65" w:rsidRPr="00D51650">
        <w:rPr>
          <w:color w:val="000000"/>
          <w:sz w:val="28"/>
          <w:szCs w:val="28"/>
        </w:rPr>
        <w:t>., который для формирующихся рынков стал наиболее успешным в последней декаде прошлого века, показатель ликвидности в Южной Корее составлял 151,</w:t>
      </w:r>
      <w:r w:rsidRPr="00D51650">
        <w:rPr>
          <w:color w:val="000000"/>
          <w:sz w:val="28"/>
          <w:szCs w:val="28"/>
        </w:rPr>
        <w:t>9</w:t>
      </w:r>
      <w:r>
        <w:rPr>
          <w:color w:val="000000"/>
          <w:sz w:val="28"/>
          <w:szCs w:val="28"/>
        </w:rPr>
        <w:t>%</w:t>
      </w:r>
      <w:r w:rsidR="00816C65" w:rsidRPr="00D51650">
        <w:rPr>
          <w:color w:val="000000"/>
          <w:sz w:val="28"/>
          <w:szCs w:val="28"/>
        </w:rPr>
        <w:t xml:space="preserve">, в Малайзии </w:t>
      </w:r>
      <w:r>
        <w:rPr>
          <w:color w:val="000000"/>
          <w:sz w:val="28"/>
          <w:szCs w:val="28"/>
        </w:rPr>
        <w:t>–</w:t>
      </w:r>
      <w:r w:rsidRPr="00D51650">
        <w:rPr>
          <w:color w:val="000000"/>
          <w:sz w:val="28"/>
          <w:szCs w:val="28"/>
        </w:rPr>
        <w:t xml:space="preserve"> </w:t>
      </w:r>
      <w:r w:rsidR="00816C65" w:rsidRPr="00D51650">
        <w:rPr>
          <w:color w:val="000000"/>
          <w:sz w:val="28"/>
          <w:szCs w:val="28"/>
        </w:rPr>
        <w:t>67,</w:t>
      </w:r>
      <w:r w:rsidRPr="00D51650">
        <w:rPr>
          <w:color w:val="000000"/>
          <w:sz w:val="28"/>
          <w:szCs w:val="28"/>
        </w:rPr>
        <w:t>6</w:t>
      </w:r>
      <w:r>
        <w:rPr>
          <w:color w:val="000000"/>
          <w:sz w:val="28"/>
          <w:szCs w:val="28"/>
        </w:rPr>
        <w:t>%</w:t>
      </w:r>
      <w:r w:rsidR="00816C65" w:rsidRPr="00D51650">
        <w:rPr>
          <w:color w:val="000000"/>
          <w:sz w:val="28"/>
          <w:szCs w:val="28"/>
        </w:rPr>
        <w:t xml:space="preserve"> и в Таиланде </w:t>
      </w:r>
      <w:r>
        <w:rPr>
          <w:color w:val="000000"/>
          <w:sz w:val="28"/>
          <w:szCs w:val="28"/>
        </w:rPr>
        <w:t>–</w:t>
      </w:r>
      <w:r w:rsidRPr="00D51650">
        <w:rPr>
          <w:color w:val="000000"/>
          <w:sz w:val="28"/>
          <w:szCs w:val="28"/>
        </w:rPr>
        <w:t xml:space="preserve"> </w:t>
      </w:r>
      <w:r w:rsidR="00816C65" w:rsidRPr="00D51650">
        <w:rPr>
          <w:color w:val="000000"/>
          <w:sz w:val="28"/>
          <w:szCs w:val="28"/>
        </w:rPr>
        <w:t>69,</w:t>
      </w:r>
      <w:r w:rsidRPr="00D51650">
        <w:rPr>
          <w:color w:val="000000"/>
          <w:sz w:val="28"/>
          <w:szCs w:val="28"/>
        </w:rPr>
        <w:t>7</w:t>
      </w:r>
      <w:r>
        <w:rPr>
          <w:color w:val="000000"/>
          <w:sz w:val="28"/>
          <w:szCs w:val="28"/>
        </w:rPr>
        <w:t>%)</w:t>
      </w:r>
      <w:r w:rsidR="00816C65" w:rsidRPr="00D51650">
        <w:rPr>
          <w:color w:val="000000"/>
          <w:sz w:val="28"/>
          <w:szCs w:val="28"/>
        </w:rPr>
        <w:t>;</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 </w:t>
      </w:r>
      <w:r w:rsidR="00816C65" w:rsidRPr="00D51650">
        <w:rPr>
          <w:color w:val="000000"/>
          <w:sz w:val="28"/>
          <w:szCs w:val="28"/>
        </w:rPr>
        <w:t>за 3 года (1997</w:t>
      </w:r>
      <w:r>
        <w:rPr>
          <w:color w:val="000000"/>
          <w:sz w:val="28"/>
          <w:szCs w:val="28"/>
        </w:rPr>
        <w:t>–</w:t>
      </w:r>
      <w:r w:rsidRPr="00D51650">
        <w:rPr>
          <w:color w:val="000000"/>
          <w:sz w:val="28"/>
          <w:szCs w:val="28"/>
        </w:rPr>
        <w:t>1</w:t>
      </w:r>
      <w:r w:rsidR="00816C65" w:rsidRPr="00D51650">
        <w:rPr>
          <w:color w:val="000000"/>
          <w:sz w:val="28"/>
          <w:szCs w:val="28"/>
        </w:rPr>
        <w:t>999</w:t>
      </w:r>
      <w:r>
        <w:rPr>
          <w:color w:val="000000"/>
          <w:sz w:val="28"/>
          <w:szCs w:val="28"/>
        </w:rPr>
        <w:t> </w:t>
      </w:r>
      <w:r w:rsidRPr="00D51650">
        <w:rPr>
          <w:color w:val="000000"/>
          <w:sz w:val="28"/>
          <w:szCs w:val="28"/>
        </w:rPr>
        <w:t>гг</w:t>
      </w:r>
      <w:r w:rsidR="00816C65" w:rsidRPr="00D51650">
        <w:rPr>
          <w:color w:val="000000"/>
          <w:sz w:val="28"/>
          <w:szCs w:val="28"/>
        </w:rPr>
        <w:t xml:space="preserve">.) </w:t>
      </w:r>
      <w:r w:rsidR="00816C65" w:rsidRPr="00D51650">
        <w:rPr>
          <w:color w:val="000000"/>
          <w:sz w:val="28"/>
          <w:szCs w:val="28"/>
          <w:lang w:val="en-US"/>
        </w:rPr>
        <w:t>NASDAQ</w:t>
      </w:r>
      <w:r w:rsidR="00816C65" w:rsidRPr="00D51650">
        <w:rPr>
          <w:color w:val="000000"/>
          <w:sz w:val="28"/>
          <w:szCs w:val="28"/>
        </w:rPr>
        <w:t xml:space="preserve"> </w:t>
      </w:r>
      <w:r w:rsidR="00816C65" w:rsidRPr="00D51650">
        <w:rPr>
          <w:color w:val="000000"/>
          <w:sz w:val="28"/>
          <w:szCs w:val="28"/>
          <w:lang w:val="en-US"/>
        </w:rPr>
        <w:t>Composite</w:t>
      </w:r>
      <w:r w:rsidR="00816C65" w:rsidRPr="00D51650">
        <w:rPr>
          <w:color w:val="000000"/>
          <w:sz w:val="28"/>
          <w:szCs w:val="28"/>
        </w:rPr>
        <w:t xml:space="preserve"> </w:t>
      </w:r>
      <w:r w:rsidR="00816C65" w:rsidRPr="00D51650">
        <w:rPr>
          <w:color w:val="000000"/>
          <w:sz w:val="28"/>
          <w:szCs w:val="28"/>
          <w:lang w:val="en-US"/>
        </w:rPr>
        <w:t>Index</w:t>
      </w:r>
      <w:r w:rsidR="00816C65" w:rsidRPr="00D51650">
        <w:rPr>
          <w:color w:val="000000"/>
          <w:sz w:val="28"/>
          <w:szCs w:val="28"/>
        </w:rPr>
        <w:t xml:space="preserve"> вырос на 146,8</w:t>
      </w:r>
      <w:r w:rsidRPr="00D51650">
        <w:rPr>
          <w:color w:val="000000"/>
          <w:sz w:val="28"/>
          <w:szCs w:val="28"/>
        </w:rPr>
        <w:t>6</w:t>
      </w:r>
      <w:r>
        <w:rPr>
          <w:color w:val="000000"/>
          <w:sz w:val="28"/>
          <w:szCs w:val="28"/>
        </w:rPr>
        <w:t>%</w:t>
      </w:r>
      <w:r w:rsidR="00816C65" w:rsidRPr="00D51650">
        <w:rPr>
          <w:color w:val="000000"/>
          <w:sz w:val="28"/>
          <w:szCs w:val="28"/>
        </w:rPr>
        <w:t xml:space="preserve"> (тогда как промышленный индекс </w:t>
      </w:r>
      <w:r w:rsidR="00816C65" w:rsidRPr="00D51650">
        <w:rPr>
          <w:color w:val="000000"/>
          <w:sz w:val="28"/>
          <w:szCs w:val="28"/>
          <w:lang w:val="en-US"/>
        </w:rPr>
        <w:t>Dow</w:t>
      </w:r>
      <w:r w:rsidR="00816C65" w:rsidRPr="00D51650">
        <w:rPr>
          <w:color w:val="000000"/>
          <w:sz w:val="28"/>
          <w:szCs w:val="28"/>
        </w:rPr>
        <w:t xml:space="preserve"> </w:t>
      </w:r>
      <w:r w:rsidR="00816C65" w:rsidRPr="00D51650">
        <w:rPr>
          <w:color w:val="000000"/>
          <w:sz w:val="28"/>
          <w:szCs w:val="28"/>
          <w:lang w:val="en-US"/>
        </w:rPr>
        <w:t>Jones</w:t>
      </w:r>
      <w:r w:rsidR="00816C65" w:rsidRPr="00D51650">
        <w:rPr>
          <w:color w:val="000000"/>
          <w:sz w:val="28"/>
          <w:szCs w:val="28"/>
        </w:rPr>
        <w:t xml:space="preserve"> (</w:t>
      </w:r>
      <w:r w:rsidR="00816C65" w:rsidRPr="00D51650">
        <w:rPr>
          <w:color w:val="000000"/>
          <w:sz w:val="28"/>
          <w:szCs w:val="28"/>
          <w:lang w:val="en-US"/>
        </w:rPr>
        <w:t>DJIA</w:t>
      </w:r>
      <w:r w:rsidR="00816C65" w:rsidRPr="00D51650">
        <w:rPr>
          <w:color w:val="000000"/>
          <w:sz w:val="28"/>
          <w:szCs w:val="28"/>
        </w:rPr>
        <w:t xml:space="preserve">) </w:t>
      </w:r>
      <w:r>
        <w:rPr>
          <w:color w:val="000000"/>
          <w:sz w:val="28"/>
          <w:szCs w:val="28"/>
        </w:rPr>
        <w:t>–</w:t>
      </w:r>
      <w:r w:rsidRPr="00D51650">
        <w:rPr>
          <w:color w:val="000000"/>
          <w:sz w:val="28"/>
          <w:szCs w:val="28"/>
        </w:rPr>
        <w:t xml:space="preserve"> </w:t>
      </w:r>
      <w:r w:rsidR="00816C65" w:rsidRPr="00D51650">
        <w:rPr>
          <w:color w:val="000000"/>
          <w:sz w:val="28"/>
          <w:szCs w:val="28"/>
        </w:rPr>
        <w:t>на 145,3</w:t>
      </w:r>
      <w:r w:rsidRPr="00D51650">
        <w:rPr>
          <w:color w:val="000000"/>
          <w:sz w:val="28"/>
          <w:szCs w:val="28"/>
        </w:rPr>
        <w:t>8</w:t>
      </w:r>
      <w:r>
        <w:rPr>
          <w:color w:val="000000"/>
          <w:sz w:val="28"/>
          <w:szCs w:val="28"/>
        </w:rPr>
        <w:t>%</w:t>
      </w:r>
      <w:r w:rsidR="00816C65" w:rsidRPr="00D51650">
        <w:rPr>
          <w:color w:val="000000"/>
          <w:sz w:val="28"/>
          <w:szCs w:val="28"/>
        </w:rPr>
        <w:t xml:space="preserve"> и </w:t>
      </w:r>
      <w:r w:rsidR="00816C65" w:rsidRPr="00D51650">
        <w:rPr>
          <w:color w:val="000000"/>
          <w:sz w:val="28"/>
          <w:szCs w:val="28"/>
          <w:lang w:val="en-US"/>
        </w:rPr>
        <w:t>NYSE</w:t>
      </w:r>
      <w:r w:rsidR="00816C65" w:rsidRPr="00D51650">
        <w:rPr>
          <w:color w:val="000000"/>
          <w:sz w:val="28"/>
          <w:szCs w:val="28"/>
        </w:rPr>
        <w:t xml:space="preserve"> </w:t>
      </w:r>
      <w:r w:rsidR="00816C65" w:rsidRPr="00D51650">
        <w:rPr>
          <w:color w:val="000000"/>
          <w:sz w:val="28"/>
          <w:szCs w:val="28"/>
          <w:lang w:val="en-US"/>
        </w:rPr>
        <w:t>Composite</w:t>
      </w:r>
      <w:r w:rsidR="00816C65" w:rsidRPr="00D51650">
        <w:rPr>
          <w:color w:val="000000"/>
          <w:sz w:val="28"/>
          <w:szCs w:val="28"/>
        </w:rPr>
        <w:t xml:space="preserve"> </w:t>
      </w:r>
      <w:r w:rsidR="00816C65" w:rsidRPr="00D51650">
        <w:rPr>
          <w:color w:val="000000"/>
          <w:sz w:val="28"/>
          <w:szCs w:val="28"/>
          <w:lang w:val="en-US"/>
        </w:rPr>
        <w:t>Index</w:t>
      </w:r>
      <w:r w:rsidR="00816C65" w:rsidRPr="00D51650">
        <w:rPr>
          <w:color w:val="000000"/>
          <w:sz w:val="28"/>
          <w:szCs w:val="28"/>
        </w:rPr>
        <w:t xml:space="preserve"> </w:t>
      </w:r>
      <w:r>
        <w:rPr>
          <w:color w:val="000000"/>
          <w:sz w:val="28"/>
          <w:szCs w:val="28"/>
        </w:rPr>
        <w:t>–</w:t>
      </w:r>
      <w:r w:rsidRPr="00D51650">
        <w:rPr>
          <w:color w:val="000000"/>
          <w:sz w:val="28"/>
          <w:szCs w:val="28"/>
        </w:rPr>
        <w:t xml:space="preserve"> </w:t>
      </w:r>
      <w:r w:rsidR="00816C65" w:rsidRPr="00D51650">
        <w:rPr>
          <w:color w:val="000000"/>
          <w:sz w:val="28"/>
          <w:szCs w:val="28"/>
        </w:rPr>
        <w:t>на 127,2</w:t>
      </w:r>
      <w:r w:rsidRPr="00D51650">
        <w:rPr>
          <w:color w:val="000000"/>
          <w:sz w:val="28"/>
          <w:szCs w:val="28"/>
        </w:rPr>
        <w:t>1</w:t>
      </w:r>
      <w:r>
        <w:rPr>
          <w:color w:val="000000"/>
          <w:sz w:val="28"/>
          <w:szCs w:val="28"/>
        </w:rPr>
        <w:t>%</w:t>
      </w:r>
      <w:r w:rsidR="00816C65" w:rsidRPr="00D51650">
        <w:rPr>
          <w:color w:val="000000"/>
          <w:sz w:val="28"/>
          <w:szCs w:val="28"/>
        </w:rPr>
        <w:t>), аза 10 ле</w:t>
      </w:r>
      <w:r w:rsidRPr="00D51650">
        <w:rPr>
          <w:color w:val="000000"/>
          <w:sz w:val="28"/>
          <w:szCs w:val="28"/>
        </w:rPr>
        <w:t>т</w:t>
      </w:r>
      <w:r>
        <w:rPr>
          <w:color w:val="000000"/>
          <w:sz w:val="28"/>
          <w:szCs w:val="28"/>
        </w:rPr>
        <w:t xml:space="preserve"> </w:t>
      </w:r>
      <w:r w:rsidRPr="00D51650">
        <w:rPr>
          <w:color w:val="000000"/>
          <w:sz w:val="28"/>
          <w:szCs w:val="28"/>
        </w:rPr>
        <w:t>(1990</w:t>
      </w:r>
      <w:r>
        <w:rPr>
          <w:color w:val="000000"/>
          <w:sz w:val="28"/>
          <w:szCs w:val="28"/>
        </w:rPr>
        <w:t>–</w:t>
      </w:r>
      <w:r w:rsidRPr="00D51650">
        <w:rPr>
          <w:color w:val="000000"/>
          <w:sz w:val="28"/>
          <w:szCs w:val="28"/>
        </w:rPr>
        <w:t>1</w:t>
      </w:r>
      <w:r w:rsidR="00816C65" w:rsidRPr="00D51650">
        <w:rPr>
          <w:color w:val="000000"/>
          <w:sz w:val="28"/>
          <w:szCs w:val="28"/>
        </w:rPr>
        <w:t>999</w:t>
      </w:r>
      <w:r>
        <w:rPr>
          <w:color w:val="000000"/>
          <w:sz w:val="28"/>
          <w:szCs w:val="28"/>
        </w:rPr>
        <w:t> </w:t>
      </w:r>
      <w:r w:rsidRPr="00D51650">
        <w:rPr>
          <w:color w:val="000000"/>
          <w:sz w:val="28"/>
          <w:szCs w:val="28"/>
        </w:rPr>
        <w:t>гг</w:t>
      </w:r>
      <w:r w:rsidR="00816C65" w:rsidRPr="00D51650">
        <w:rPr>
          <w:color w:val="000000"/>
          <w:sz w:val="28"/>
          <w:szCs w:val="28"/>
        </w:rPr>
        <w:t xml:space="preserve">.) </w:t>
      </w:r>
      <w:r>
        <w:rPr>
          <w:color w:val="000000"/>
          <w:sz w:val="28"/>
          <w:szCs w:val="28"/>
        </w:rPr>
        <w:t>–</w:t>
      </w:r>
      <w:r w:rsidRPr="00D51650">
        <w:rPr>
          <w:color w:val="000000"/>
          <w:sz w:val="28"/>
          <w:szCs w:val="28"/>
        </w:rPr>
        <w:t xml:space="preserve"> </w:t>
      </w:r>
      <w:r w:rsidR="00816C65" w:rsidRPr="00D51650">
        <w:rPr>
          <w:color w:val="000000"/>
          <w:sz w:val="28"/>
          <w:szCs w:val="28"/>
        </w:rPr>
        <w:t>более чем в 10 раз;</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 </w:t>
      </w:r>
      <w:r w:rsidR="00816C65" w:rsidRPr="00D51650">
        <w:rPr>
          <w:color w:val="000000"/>
          <w:sz w:val="28"/>
          <w:szCs w:val="28"/>
        </w:rPr>
        <w:t xml:space="preserve">значение коэффициента </w:t>
      </w:r>
      <w:r>
        <w:rPr>
          <w:color w:val="000000"/>
          <w:sz w:val="28"/>
          <w:szCs w:val="28"/>
        </w:rPr>
        <w:t>«</w:t>
      </w:r>
      <w:r w:rsidRPr="00D51650">
        <w:rPr>
          <w:color w:val="000000"/>
          <w:sz w:val="28"/>
          <w:szCs w:val="28"/>
        </w:rPr>
        <w:t>ц</w:t>
      </w:r>
      <w:r w:rsidR="00816C65" w:rsidRPr="00D51650">
        <w:rPr>
          <w:color w:val="000000"/>
          <w:sz w:val="28"/>
          <w:szCs w:val="28"/>
        </w:rPr>
        <w:t>ена</w:t>
      </w:r>
      <w:r>
        <w:rPr>
          <w:color w:val="000000"/>
          <w:sz w:val="28"/>
          <w:szCs w:val="28"/>
        </w:rPr>
        <w:t xml:space="preserve"> / </w:t>
      </w:r>
      <w:r w:rsidRPr="00D51650">
        <w:rPr>
          <w:color w:val="000000"/>
          <w:sz w:val="28"/>
          <w:szCs w:val="28"/>
        </w:rPr>
        <w:t>прибыль</w:t>
      </w:r>
      <w:r>
        <w:rPr>
          <w:color w:val="000000"/>
          <w:sz w:val="28"/>
          <w:szCs w:val="28"/>
        </w:rPr>
        <w:t>»</w:t>
      </w:r>
      <w:r w:rsidRPr="00D51650">
        <w:rPr>
          <w:color w:val="000000"/>
          <w:sz w:val="28"/>
          <w:szCs w:val="28"/>
        </w:rPr>
        <w:t xml:space="preserve"> </w:t>
      </w:r>
      <w:r w:rsidR="00816C65" w:rsidRPr="00D51650">
        <w:rPr>
          <w:color w:val="000000"/>
          <w:sz w:val="28"/>
          <w:szCs w:val="28"/>
        </w:rPr>
        <w:t>(Р/Е), достигнутое в конце 1999</w:t>
      </w:r>
      <w:r>
        <w:rPr>
          <w:color w:val="000000"/>
          <w:sz w:val="28"/>
          <w:szCs w:val="28"/>
        </w:rPr>
        <w:t> </w:t>
      </w:r>
      <w:r w:rsidRPr="00D51650">
        <w:rPr>
          <w:color w:val="000000"/>
          <w:sz w:val="28"/>
          <w:szCs w:val="28"/>
        </w:rPr>
        <w:t>г</w:t>
      </w:r>
      <w:r w:rsidR="00816C65" w:rsidRPr="00D51650">
        <w:rPr>
          <w:color w:val="000000"/>
          <w:sz w:val="28"/>
          <w:szCs w:val="28"/>
        </w:rPr>
        <w:t xml:space="preserve">. (205,5), свидетельствовало о том, что рынок акций высокотехнологичных компаний был </w:t>
      </w:r>
      <w:r>
        <w:rPr>
          <w:color w:val="000000"/>
          <w:sz w:val="28"/>
          <w:szCs w:val="28"/>
        </w:rPr>
        <w:t>«</w:t>
      </w:r>
      <w:r w:rsidRPr="00D51650">
        <w:rPr>
          <w:color w:val="000000"/>
          <w:sz w:val="28"/>
          <w:szCs w:val="28"/>
        </w:rPr>
        <w:t>п</w:t>
      </w:r>
      <w:r w:rsidR="00816C65" w:rsidRPr="00D51650">
        <w:rPr>
          <w:color w:val="000000"/>
          <w:sz w:val="28"/>
          <w:szCs w:val="28"/>
        </w:rPr>
        <w:t>ерегрет</w:t>
      </w:r>
      <w:r>
        <w:rPr>
          <w:color w:val="000000"/>
          <w:sz w:val="28"/>
          <w:szCs w:val="28"/>
        </w:rPr>
        <w:t>»</w:t>
      </w:r>
      <w:r w:rsidRPr="00D51650">
        <w:rPr>
          <w:color w:val="000000"/>
          <w:sz w:val="28"/>
          <w:szCs w:val="28"/>
        </w:rPr>
        <w:t xml:space="preserve"> </w:t>
      </w:r>
      <w:r w:rsidR="00816C65" w:rsidRPr="00D51650">
        <w:rPr>
          <w:color w:val="000000"/>
          <w:sz w:val="28"/>
          <w:szCs w:val="28"/>
        </w:rPr>
        <w:t>(накануне кризиса аналитики с тревогой отмечали, что в сентябре 1929</w:t>
      </w:r>
      <w:r>
        <w:rPr>
          <w:color w:val="000000"/>
          <w:sz w:val="28"/>
          <w:szCs w:val="28"/>
        </w:rPr>
        <w:t> </w:t>
      </w:r>
      <w:r w:rsidRPr="00D51650">
        <w:rPr>
          <w:color w:val="000000"/>
          <w:sz w:val="28"/>
          <w:szCs w:val="28"/>
        </w:rPr>
        <w:t>г</w:t>
      </w:r>
      <w:r w:rsidR="00816C65" w:rsidRPr="00D51650">
        <w:rPr>
          <w:color w:val="000000"/>
          <w:sz w:val="28"/>
          <w:szCs w:val="28"/>
        </w:rPr>
        <w:t>., в преддверии биржевого краха, вслед за которым наступила Великая депрессия, значение этого коэффициента составляло 32,6</w:t>
      </w:r>
      <w:r>
        <w:rPr>
          <w:color w:val="000000"/>
          <w:sz w:val="28"/>
          <w:szCs w:val="28"/>
        </w:rPr>
        <w:t>;</w:t>
      </w:r>
      <w:r w:rsidR="00816C65" w:rsidRPr="00D51650">
        <w:rPr>
          <w:color w:val="000000"/>
          <w:sz w:val="28"/>
          <w:szCs w:val="28"/>
        </w:rPr>
        <w:t xml:space="preserve"> в I квартале 2000</w:t>
      </w:r>
      <w:r>
        <w:rPr>
          <w:color w:val="000000"/>
          <w:sz w:val="28"/>
          <w:szCs w:val="28"/>
        </w:rPr>
        <w:t> </w:t>
      </w:r>
      <w:r w:rsidRPr="00D51650">
        <w:rPr>
          <w:color w:val="000000"/>
          <w:sz w:val="28"/>
          <w:szCs w:val="28"/>
        </w:rPr>
        <w:t>г</w:t>
      </w:r>
      <w:r w:rsidR="00816C65" w:rsidRPr="00D51650">
        <w:rPr>
          <w:color w:val="000000"/>
          <w:sz w:val="28"/>
          <w:szCs w:val="28"/>
        </w:rPr>
        <w:t xml:space="preserve">. соотношение средней цены акции и дохода на 1 акцию за предшествующий год для компаний </w:t>
      </w:r>
      <w:r>
        <w:rPr>
          <w:color w:val="000000"/>
          <w:sz w:val="28"/>
          <w:szCs w:val="28"/>
        </w:rPr>
        <w:t>«</w:t>
      </w:r>
      <w:r w:rsidRPr="00D51650">
        <w:rPr>
          <w:color w:val="000000"/>
          <w:sz w:val="28"/>
          <w:szCs w:val="28"/>
          <w:lang w:val="en-US"/>
        </w:rPr>
        <w:t>h</w:t>
      </w:r>
      <w:r w:rsidR="00816C65" w:rsidRPr="00D51650">
        <w:rPr>
          <w:color w:val="000000"/>
          <w:sz w:val="28"/>
          <w:szCs w:val="28"/>
          <w:lang w:val="en-US"/>
        </w:rPr>
        <w:t>igh</w:t>
      </w:r>
      <w:r w:rsidR="00816C65" w:rsidRPr="00D51650">
        <w:rPr>
          <w:color w:val="000000"/>
          <w:sz w:val="28"/>
          <w:szCs w:val="28"/>
        </w:rPr>
        <w:t>-</w:t>
      </w:r>
      <w:r w:rsidR="00816C65" w:rsidRPr="00D51650">
        <w:rPr>
          <w:color w:val="000000"/>
          <w:sz w:val="28"/>
          <w:szCs w:val="28"/>
          <w:lang w:val="en-US"/>
        </w:rPr>
        <w:t>tech</w:t>
      </w:r>
      <w:r>
        <w:rPr>
          <w:color w:val="000000"/>
          <w:sz w:val="28"/>
          <w:szCs w:val="28"/>
        </w:rPr>
        <w:t>»</w:t>
      </w:r>
      <w:r w:rsidRPr="00D51650">
        <w:rPr>
          <w:color w:val="000000"/>
          <w:sz w:val="28"/>
          <w:szCs w:val="28"/>
        </w:rPr>
        <w:t>,</w:t>
      </w:r>
      <w:r w:rsidR="00816C65" w:rsidRPr="00D51650">
        <w:rPr>
          <w:color w:val="000000"/>
          <w:sz w:val="28"/>
          <w:szCs w:val="28"/>
        </w:rPr>
        <w:t xml:space="preserve"> котирующихся в системе </w:t>
      </w:r>
      <w:r w:rsidR="00816C65" w:rsidRPr="00D51650">
        <w:rPr>
          <w:color w:val="000000"/>
          <w:sz w:val="28"/>
          <w:szCs w:val="28"/>
          <w:lang w:val="en-US"/>
        </w:rPr>
        <w:t>NASDAQ</w:t>
      </w:r>
      <w:r w:rsidR="00816C65" w:rsidRPr="00D51650">
        <w:rPr>
          <w:color w:val="000000"/>
          <w:sz w:val="28"/>
          <w:szCs w:val="28"/>
        </w:rPr>
        <w:t>, достигло пропорции 400:1, то есть, чтобы окупить инвестиции в корпоративные права, необходимо было ждать 400 лет).</w:t>
      </w:r>
    </w:p>
    <w:p w:rsidR="00816C65" w:rsidRPr="00D15C3F" w:rsidRDefault="00816C65" w:rsidP="00D15C3F">
      <w:pPr>
        <w:spacing w:line="360" w:lineRule="auto"/>
        <w:ind w:firstLine="709"/>
        <w:jc w:val="both"/>
        <w:rPr>
          <w:bCs/>
          <w:iCs/>
          <w:color w:val="000000"/>
          <w:sz w:val="28"/>
          <w:szCs w:val="28"/>
        </w:rPr>
      </w:pPr>
      <w:r w:rsidRPr="00D51650">
        <w:rPr>
          <w:b/>
          <w:bCs/>
          <w:i/>
          <w:iCs/>
          <w:color w:val="000000"/>
          <w:sz w:val="28"/>
          <w:szCs w:val="28"/>
        </w:rPr>
        <w:br w:type="page"/>
      </w:r>
      <w:r w:rsidRPr="00D51650">
        <w:rPr>
          <w:bCs/>
          <w:iCs/>
          <w:color w:val="000000"/>
          <w:sz w:val="28"/>
          <w:szCs w:val="28"/>
        </w:rPr>
        <w:t>Таблица 1</w:t>
      </w:r>
      <w:r w:rsidR="00D15C3F">
        <w:rPr>
          <w:bCs/>
          <w:iCs/>
          <w:color w:val="000000"/>
          <w:sz w:val="28"/>
          <w:szCs w:val="28"/>
        </w:rPr>
        <w:t xml:space="preserve">. </w:t>
      </w:r>
      <w:r w:rsidRPr="00D51650">
        <w:rPr>
          <w:bCs/>
          <w:color w:val="000000"/>
          <w:sz w:val="28"/>
          <w:szCs w:val="28"/>
        </w:rPr>
        <w:t xml:space="preserve">Изменения в индексе </w:t>
      </w:r>
      <w:r w:rsidRPr="00D51650">
        <w:rPr>
          <w:bCs/>
          <w:color w:val="000000"/>
          <w:sz w:val="28"/>
          <w:szCs w:val="28"/>
          <w:lang w:val="en-US"/>
        </w:rPr>
        <w:t>Dow</w:t>
      </w:r>
      <w:r w:rsidRPr="00D51650">
        <w:rPr>
          <w:bCs/>
          <w:color w:val="000000"/>
          <w:sz w:val="28"/>
          <w:szCs w:val="28"/>
        </w:rPr>
        <w:t xml:space="preserve"> </w:t>
      </w:r>
      <w:r w:rsidRPr="00D51650">
        <w:rPr>
          <w:bCs/>
          <w:color w:val="000000"/>
          <w:sz w:val="28"/>
          <w:szCs w:val="28"/>
          <w:lang w:val="en-US"/>
        </w:rPr>
        <w:t>Jones</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264"/>
        <w:gridCol w:w="4033"/>
      </w:tblGrid>
      <w:tr w:rsidR="00816C65" w:rsidRPr="0047316B" w:rsidTr="0047316B">
        <w:trPr>
          <w:cantSplit/>
          <w:trHeight w:val="259"/>
          <w:jc w:val="center"/>
        </w:trPr>
        <w:tc>
          <w:tcPr>
            <w:tcW w:w="2831"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Компании</w:t>
            </w:r>
          </w:p>
        </w:tc>
        <w:tc>
          <w:tcPr>
            <w:tcW w:w="216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Рост прибыли в 1989</w:t>
            </w:r>
            <w:r w:rsidR="00D51650" w:rsidRPr="0047316B">
              <w:rPr>
                <w:bCs/>
                <w:color w:val="000000"/>
                <w:sz w:val="20"/>
              </w:rPr>
              <w:t>–1</w:t>
            </w:r>
            <w:r w:rsidRPr="0047316B">
              <w:rPr>
                <w:bCs/>
                <w:color w:val="000000"/>
                <w:sz w:val="20"/>
              </w:rPr>
              <w:t>999</w:t>
            </w:r>
            <w:r w:rsidR="00D51650" w:rsidRPr="0047316B">
              <w:rPr>
                <w:bCs/>
                <w:color w:val="000000"/>
                <w:sz w:val="20"/>
              </w:rPr>
              <w:t> гг</w:t>
            </w:r>
            <w:r w:rsidRPr="0047316B">
              <w:rPr>
                <w:bCs/>
                <w:color w:val="000000"/>
                <w:sz w:val="20"/>
              </w:rPr>
              <w:t>. (%)</w:t>
            </w:r>
          </w:p>
        </w:tc>
      </w:tr>
      <w:tr w:rsidR="00816C65" w:rsidRPr="0047316B" w:rsidTr="0047316B">
        <w:trPr>
          <w:cantSplit/>
          <w:trHeight w:val="264"/>
          <w:jc w:val="center"/>
        </w:trPr>
        <w:tc>
          <w:tcPr>
            <w:tcW w:w="2831"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Компании, добавленные в индекс:</w:t>
            </w:r>
          </w:p>
        </w:tc>
        <w:tc>
          <w:tcPr>
            <w:tcW w:w="2169" w:type="pct"/>
            <w:shd w:val="clear" w:color="auto" w:fill="auto"/>
          </w:tcPr>
          <w:p w:rsidR="00816C65" w:rsidRPr="0047316B" w:rsidRDefault="00816C65" w:rsidP="0047316B">
            <w:pPr>
              <w:autoSpaceDE w:val="0"/>
              <w:autoSpaceDN w:val="0"/>
              <w:adjustRightInd w:val="0"/>
              <w:spacing w:line="360" w:lineRule="auto"/>
              <w:jc w:val="both"/>
              <w:rPr>
                <w:color w:val="000000"/>
                <w:sz w:val="20"/>
              </w:rPr>
            </w:pPr>
          </w:p>
        </w:tc>
      </w:tr>
      <w:tr w:rsidR="00816C65" w:rsidRPr="0047316B" w:rsidTr="0047316B">
        <w:trPr>
          <w:cantSplit/>
          <w:trHeight w:val="230"/>
          <w:jc w:val="center"/>
        </w:trPr>
        <w:tc>
          <w:tcPr>
            <w:tcW w:w="2831" w:type="pct"/>
            <w:shd w:val="clear" w:color="auto" w:fill="auto"/>
          </w:tcPr>
          <w:p w:rsidR="00816C65" w:rsidRPr="0047316B" w:rsidRDefault="00D51650" w:rsidP="0047316B">
            <w:pPr>
              <w:autoSpaceDE w:val="0"/>
              <w:autoSpaceDN w:val="0"/>
              <w:adjustRightInd w:val="0"/>
              <w:spacing w:line="360" w:lineRule="auto"/>
              <w:jc w:val="both"/>
              <w:rPr>
                <w:bCs/>
                <w:color w:val="000000"/>
                <w:sz w:val="20"/>
                <w:lang w:eastAsia="en-US"/>
              </w:rPr>
            </w:pPr>
            <w:r w:rsidRPr="0047316B">
              <w:rPr>
                <w:bCs/>
                <w:color w:val="000000"/>
                <w:sz w:val="20"/>
                <w:lang w:val="en-US" w:eastAsia="en-US"/>
              </w:rPr>
              <w:t>«Microsoft»</w:t>
            </w:r>
            <w:r w:rsidRPr="0047316B">
              <w:rPr>
                <w:bCs/>
                <w:color w:val="000000"/>
                <w:sz w:val="20"/>
                <w:lang w:eastAsia="en-US"/>
              </w:rPr>
              <w:t>………………………………………</w:t>
            </w:r>
            <w:r w:rsidR="00816C65" w:rsidRPr="0047316B">
              <w:rPr>
                <w:bCs/>
                <w:color w:val="000000"/>
                <w:sz w:val="20"/>
                <w:lang w:eastAsia="en-US"/>
              </w:rPr>
              <w:t>.</w:t>
            </w:r>
          </w:p>
        </w:tc>
        <w:tc>
          <w:tcPr>
            <w:tcW w:w="216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7394</w:t>
            </w:r>
          </w:p>
        </w:tc>
      </w:tr>
      <w:tr w:rsidR="00816C65" w:rsidRPr="0047316B" w:rsidTr="0047316B">
        <w:trPr>
          <w:cantSplit/>
          <w:trHeight w:val="240"/>
          <w:jc w:val="center"/>
        </w:trPr>
        <w:tc>
          <w:tcPr>
            <w:tcW w:w="2831" w:type="pct"/>
            <w:shd w:val="clear" w:color="auto" w:fill="auto"/>
          </w:tcPr>
          <w:p w:rsidR="00816C65" w:rsidRPr="0047316B" w:rsidRDefault="00816C65" w:rsidP="0047316B">
            <w:pPr>
              <w:autoSpaceDE w:val="0"/>
              <w:autoSpaceDN w:val="0"/>
              <w:adjustRightInd w:val="0"/>
              <w:spacing w:line="360" w:lineRule="auto"/>
              <w:jc w:val="both"/>
              <w:rPr>
                <w:bCs/>
                <w:color w:val="000000"/>
                <w:sz w:val="20"/>
                <w:lang w:eastAsia="en-US"/>
              </w:rPr>
            </w:pPr>
            <w:r w:rsidRPr="0047316B">
              <w:rPr>
                <w:bCs/>
                <w:color w:val="000000"/>
                <w:sz w:val="20"/>
                <w:lang w:val="en-US" w:eastAsia="en-US"/>
              </w:rPr>
              <w:t>'Intel</w:t>
            </w:r>
            <w:r w:rsidR="00D51650" w:rsidRPr="0047316B">
              <w:rPr>
                <w:bCs/>
                <w:color w:val="000000"/>
                <w:sz w:val="20"/>
                <w:lang w:val="en-US" w:eastAsia="en-US"/>
              </w:rPr>
              <w:t>»</w:t>
            </w:r>
            <w:r w:rsidR="00D51650" w:rsidRPr="0047316B">
              <w:rPr>
                <w:bCs/>
                <w:color w:val="000000"/>
                <w:sz w:val="20"/>
                <w:lang w:eastAsia="en-US"/>
              </w:rPr>
              <w:t>………………………………………………</w:t>
            </w:r>
          </w:p>
        </w:tc>
        <w:tc>
          <w:tcPr>
            <w:tcW w:w="216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3409</w:t>
            </w:r>
          </w:p>
        </w:tc>
      </w:tr>
      <w:tr w:rsidR="00816C65" w:rsidRPr="0047316B" w:rsidTr="0047316B">
        <w:trPr>
          <w:cantSplit/>
          <w:trHeight w:val="250"/>
          <w:jc w:val="center"/>
        </w:trPr>
        <w:tc>
          <w:tcPr>
            <w:tcW w:w="2831" w:type="pct"/>
            <w:shd w:val="clear" w:color="auto" w:fill="auto"/>
          </w:tcPr>
          <w:p w:rsidR="00816C65" w:rsidRPr="0047316B" w:rsidRDefault="00D51650" w:rsidP="0047316B">
            <w:pPr>
              <w:autoSpaceDE w:val="0"/>
              <w:autoSpaceDN w:val="0"/>
              <w:adjustRightInd w:val="0"/>
              <w:spacing w:line="360" w:lineRule="auto"/>
              <w:jc w:val="both"/>
              <w:rPr>
                <w:bCs/>
                <w:color w:val="000000"/>
                <w:sz w:val="20"/>
                <w:lang w:eastAsia="en-US"/>
              </w:rPr>
            </w:pPr>
            <w:r w:rsidRPr="0047316B">
              <w:rPr>
                <w:bCs/>
                <w:color w:val="000000"/>
                <w:sz w:val="20"/>
                <w:lang w:val="en-US" w:eastAsia="en-US"/>
              </w:rPr>
              <w:t>«Home Depot»</w:t>
            </w:r>
            <w:r w:rsidRPr="0047316B">
              <w:rPr>
                <w:bCs/>
                <w:color w:val="000000"/>
                <w:sz w:val="20"/>
                <w:lang w:eastAsia="en-US"/>
              </w:rPr>
              <w:t>………………………………….</w:t>
            </w:r>
          </w:p>
        </w:tc>
        <w:tc>
          <w:tcPr>
            <w:tcW w:w="216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2509</w:t>
            </w:r>
          </w:p>
        </w:tc>
      </w:tr>
      <w:tr w:rsidR="00816C65" w:rsidRPr="0047316B" w:rsidTr="0047316B">
        <w:trPr>
          <w:cantSplit/>
          <w:trHeight w:val="245"/>
          <w:jc w:val="center"/>
        </w:trPr>
        <w:tc>
          <w:tcPr>
            <w:tcW w:w="2831" w:type="pct"/>
            <w:shd w:val="clear" w:color="auto" w:fill="auto"/>
          </w:tcPr>
          <w:p w:rsidR="00816C65" w:rsidRPr="0047316B" w:rsidRDefault="00D51650" w:rsidP="0047316B">
            <w:pPr>
              <w:autoSpaceDE w:val="0"/>
              <w:autoSpaceDN w:val="0"/>
              <w:adjustRightInd w:val="0"/>
              <w:spacing w:line="360" w:lineRule="auto"/>
              <w:jc w:val="both"/>
              <w:rPr>
                <w:bCs/>
                <w:color w:val="000000"/>
                <w:sz w:val="20"/>
                <w:lang w:eastAsia="en-US"/>
              </w:rPr>
            </w:pPr>
            <w:r w:rsidRPr="0047316B">
              <w:rPr>
                <w:bCs/>
                <w:color w:val="000000"/>
                <w:sz w:val="20"/>
                <w:lang w:val="en-US" w:eastAsia="en-US"/>
              </w:rPr>
              <w:t>«SBC Communications»</w:t>
            </w:r>
            <w:r w:rsidRPr="0047316B">
              <w:rPr>
                <w:bCs/>
                <w:color w:val="000000"/>
                <w:sz w:val="20"/>
                <w:lang w:eastAsia="en-US"/>
              </w:rPr>
              <w:t>……………………</w:t>
            </w:r>
            <w:r w:rsidR="00816C65" w:rsidRPr="0047316B">
              <w:rPr>
                <w:bCs/>
                <w:color w:val="000000"/>
                <w:sz w:val="20"/>
                <w:lang w:eastAsia="en-US"/>
              </w:rPr>
              <w:t>.</w:t>
            </w:r>
          </w:p>
        </w:tc>
        <w:tc>
          <w:tcPr>
            <w:tcW w:w="216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358</w:t>
            </w:r>
          </w:p>
        </w:tc>
      </w:tr>
      <w:tr w:rsidR="00816C65" w:rsidRPr="0047316B" w:rsidTr="0047316B">
        <w:trPr>
          <w:cantSplit/>
          <w:trHeight w:val="235"/>
          <w:jc w:val="center"/>
        </w:trPr>
        <w:tc>
          <w:tcPr>
            <w:tcW w:w="2831"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Компании, удаленные из индекса:</w:t>
            </w:r>
          </w:p>
        </w:tc>
        <w:tc>
          <w:tcPr>
            <w:tcW w:w="2169" w:type="pct"/>
            <w:shd w:val="clear" w:color="auto" w:fill="auto"/>
          </w:tcPr>
          <w:p w:rsidR="00816C65" w:rsidRPr="0047316B" w:rsidRDefault="00816C65" w:rsidP="0047316B">
            <w:pPr>
              <w:autoSpaceDE w:val="0"/>
              <w:autoSpaceDN w:val="0"/>
              <w:adjustRightInd w:val="0"/>
              <w:spacing w:line="360" w:lineRule="auto"/>
              <w:jc w:val="both"/>
              <w:rPr>
                <w:color w:val="000000"/>
                <w:sz w:val="20"/>
              </w:rPr>
            </w:pPr>
          </w:p>
        </w:tc>
      </w:tr>
      <w:tr w:rsidR="00816C65" w:rsidRPr="0047316B" w:rsidTr="0047316B">
        <w:trPr>
          <w:cantSplit/>
          <w:trHeight w:val="226"/>
          <w:jc w:val="center"/>
        </w:trPr>
        <w:tc>
          <w:tcPr>
            <w:tcW w:w="2831" w:type="pct"/>
            <w:shd w:val="clear" w:color="auto" w:fill="auto"/>
          </w:tcPr>
          <w:p w:rsidR="00816C65" w:rsidRPr="0047316B" w:rsidRDefault="00D51650" w:rsidP="0047316B">
            <w:pPr>
              <w:autoSpaceDE w:val="0"/>
              <w:autoSpaceDN w:val="0"/>
              <w:adjustRightInd w:val="0"/>
              <w:spacing w:line="360" w:lineRule="auto"/>
              <w:jc w:val="both"/>
              <w:rPr>
                <w:bCs/>
                <w:color w:val="000000"/>
                <w:sz w:val="20"/>
                <w:lang w:eastAsia="en-US"/>
              </w:rPr>
            </w:pPr>
            <w:r w:rsidRPr="0047316B">
              <w:rPr>
                <w:bCs/>
                <w:color w:val="000000"/>
                <w:sz w:val="20"/>
                <w:lang w:val="en-US" w:eastAsia="en-US"/>
              </w:rPr>
              <w:t>«Cevron»</w:t>
            </w:r>
            <w:r w:rsidRPr="0047316B">
              <w:rPr>
                <w:bCs/>
                <w:color w:val="000000"/>
                <w:sz w:val="20"/>
                <w:lang w:eastAsia="en-US"/>
              </w:rPr>
              <w:t>………………………………………….</w:t>
            </w:r>
          </w:p>
        </w:tc>
        <w:tc>
          <w:tcPr>
            <w:tcW w:w="216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280</w:t>
            </w:r>
          </w:p>
        </w:tc>
      </w:tr>
      <w:tr w:rsidR="00816C65" w:rsidRPr="0047316B" w:rsidTr="0047316B">
        <w:trPr>
          <w:cantSplit/>
          <w:trHeight w:val="240"/>
          <w:jc w:val="center"/>
        </w:trPr>
        <w:tc>
          <w:tcPr>
            <w:tcW w:w="2831" w:type="pct"/>
            <w:shd w:val="clear" w:color="auto" w:fill="auto"/>
          </w:tcPr>
          <w:p w:rsidR="00816C65" w:rsidRPr="0047316B" w:rsidRDefault="00D51650" w:rsidP="0047316B">
            <w:pPr>
              <w:autoSpaceDE w:val="0"/>
              <w:autoSpaceDN w:val="0"/>
              <w:adjustRightInd w:val="0"/>
              <w:spacing w:line="360" w:lineRule="auto"/>
              <w:jc w:val="both"/>
              <w:rPr>
                <w:bCs/>
                <w:color w:val="000000"/>
                <w:sz w:val="20"/>
                <w:lang w:eastAsia="en-US"/>
              </w:rPr>
            </w:pPr>
            <w:r w:rsidRPr="0047316B">
              <w:rPr>
                <w:bCs/>
                <w:color w:val="000000"/>
                <w:sz w:val="20"/>
                <w:lang w:val="en-US" w:eastAsia="en-US"/>
              </w:rPr>
              <w:t>«Good Year»</w:t>
            </w:r>
            <w:r w:rsidRPr="0047316B">
              <w:rPr>
                <w:bCs/>
                <w:color w:val="000000"/>
                <w:sz w:val="20"/>
                <w:lang w:eastAsia="en-US"/>
              </w:rPr>
              <w:t>…………………………………….</w:t>
            </w:r>
          </w:p>
        </w:tc>
        <w:tc>
          <w:tcPr>
            <w:tcW w:w="216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178</w:t>
            </w:r>
          </w:p>
        </w:tc>
      </w:tr>
      <w:tr w:rsidR="00816C65" w:rsidRPr="0047316B" w:rsidTr="0047316B">
        <w:trPr>
          <w:cantSplit/>
          <w:trHeight w:val="235"/>
          <w:jc w:val="center"/>
        </w:trPr>
        <w:tc>
          <w:tcPr>
            <w:tcW w:w="2831" w:type="pct"/>
            <w:shd w:val="clear" w:color="auto" w:fill="auto"/>
          </w:tcPr>
          <w:p w:rsidR="00816C65" w:rsidRPr="0047316B" w:rsidRDefault="00D51650" w:rsidP="0047316B">
            <w:pPr>
              <w:autoSpaceDE w:val="0"/>
              <w:autoSpaceDN w:val="0"/>
              <w:adjustRightInd w:val="0"/>
              <w:spacing w:line="360" w:lineRule="auto"/>
              <w:jc w:val="both"/>
              <w:rPr>
                <w:bCs/>
                <w:color w:val="000000"/>
                <w:sz w:val="20"/>
                <w:lang w:eastAsia="en-US"/>
              </w:rPr>
            </w:pPr>
            <w:r w:rsidRPr="0047316B">
              <w:rPr>
                <w:bCs/>
                <w:color w:val="000000"/>
                <w:sz w:val="20"/>
                <w:lang w:val="en-US" w:eastAsia="en-US"/>
              </w:rPr>
              <w:t>«United Carbide»</w:t>
            </w:r>
            <w:r w:rsidRPr="0047316B">
              <w:rPr>
                <w:bCs/>
                <w:color w:val="000000"/>
                <w:sz w:val="20"/>
                <w:lang w:eastAsia="en-US"/>
              </w:rPr>
              <w:t>………………………………</w:t>
            </w:r>
            <w:r w:rsidR="00816C65" w:rsidRPr="0047316B">
              <w:rPr>
                <w:bCs/>
                <w:color w:val="000000"/>
                <w:sz w:val="20"/>
                <w:lang w:eastAsia="en-US"/>
              </w:rPr>
              <w:t>.</w:t>
            </w:r>
          </w:p>
        </w:tc>
        <w:tc>
          <w:tcPr>
            <w:tcW w:w="216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335</w:t>
            </w:r>
          </w:p>
        </w:tc>
      </w:tr>
      <w:tr w:rsidR="00816C65" w:rsidRPr="0047316B" w:rsidTr="0047316B">
        <w:trPr>
          <w:cantSplit/>
          <w:trHeight w:val="259"/>
          <w:jc w:val="center"/>
        </w:trPr>
        <w:tc>
          <w:tcPr>
            <w:tcW w:w="2831" w:type="pct"/>
            <w:shd w:val="clear" w:color="auto" w:fill="auto"/>
          </w:tcPr>
          <w:p w:rsidR="00816C65" w:rsidRPr="0047316B" w:rsidRDefault="00D51650" w:rsidP="0047316B">
            <w:pPr>
              <w:autoSpaceDE w:val="0"/>
              <w:autoSpaceDN w:val="0"/>
              <w:adjustRightInd w:val="0"/>
              <w:spacing w:line="360" w:lineRule="auto"/>
              <w:jc w:val="both"/>
              <w:rPr>
                <w:bCs/>
                <w:color w:val="000000"/>
                <w:sz w:val="20"/>
                <w:lang w:eastAsia="en-US"/>
              </w:rPr>
            </w:pPr>
            <w:r w:rsidRPr="0047316B">
              <w:rPr>
                <w:bCs/>
                <w:color w:val="000000"/>
                <w:sz w:val="20"/>
                <w:lang w:val="en-US" w:eastAsia="en-US"/>
              </w:rPr>
              <w:t>«Sears»</w:t>
            </w:r>
            <w:r w:rsidRPr="0047316B">
              <w:rPr>
                <w:bCs/>
                <w:color w:val="000000"/>
                <w:sz w:val="20"/>
                <w:lang w:eastAsia="en-US"/>
              </w:rPr>
              <w:t>…………………………………………….</w:t>
            </w:r>
          </w:p>
        </w:tc>
        <w:tc>
          <w:tcPr>
            <w:tcW w:w="216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824</w:t>
            </w:r>
          </w:p>
        </w:tc>
      </w:tr>
      <w:tr w:rsidR="00816C65" w:rsidRPr="0047316B" w:rsidTr="0047316B">
        <w:trPr>
          <w:cantSplit/>
          <w:trHeight w:val="240"/>
          <w:jc w:val="center"/>
        </w:trPr>
        <w:tc>
          <w:tcPr>
            <w:tcW w:w="2831"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В среднем по индексу:</w:t>
            </w:r>
          </w:p>
        </w:tc>
        <w:tc>
          <w:tcPr>
            <w:tcW w:w="2169" w:type="pct"/>
            <w:shd w:val="clear" w:color="auto" w:fill="auto"/>
          </w:tcPr>
          <w:p w:rsidR="00816C65" w:rsidRPr="0047316B" w:rsidRDefault="00816C65" w:rsidP="0047316B">
            <w:pPr>
              <w:autoSpaceDE w:val="0"/>
              <w:autoSpaceDN w:val="0"/>
              <w:adjustRightInd w:val="0"/>
              <w:spacing w:line="360" w:lineRule="auto"/>
              <w:jc w:val="both"/>
              <w:rPr>
                <w:color w:val="000000"/>
                <w:sz w:val="20"/>
              </w:rPr>
            </w:pPr>
          </w:p>
        </w:tc>
      </w:tr>
      <w:tr w:rsidR="00816C65" w:rsidRPr="0047316B" w:rsidTr="0047316B">
        <w:trPr>
          <w:cantSplit/>
          <w:trHeight w:val="221"/>
          <w:jc w:val="center"/>
        </w:trPr>
        <w:tc>
          <w:tcPr>
            <w:tcW w:w="2831" w:type="pct"/>
            <w:shd w:val="clear" w:color="auto" w:fill="auto"/>
          </w:tcPr>
          <w:p w:rsidR="00816C65" w:rsidRPr="0047316B" w:rsidRDefault="00816C65" w:rsidP="0047316B">
            <w:pPr>
              <w:autoSpaceDE w:val="0"/>
              <w:autoSpaceDN w:val="0"/>
              <w:adjustRightInd w:val="0"/>
              <w:spacing w:line="360" w:lineRule="auto"/>
              <w:jc w:val="both"/>
              <w:rPr>
                <w:bCs/>
                <w:color w:val="000000"/>
                <w:sz w:val="20"/>
                <w:lang w:eastAsia="en-US"/>
              </w:rPr>
            </w:pPr>
            <w:r w:rsidRPr="0047316B">
              <w:rPr>
                <w:bCs/>
                <w:color w:val="000000"/>
                <w:sz w:val="20"/>
                <w:lang w:val="en-US" w:eastAsia="en-US"/>
              </w:rPr>
              <w:t>Dow Jones Industrial Average</w:t>
            </w:r>
            <w:r w:rsidR="00D51650" w:rsidRPr="0047316B">
              <w:rPr>
                <w:bCs/>
                <w:color w:val="000000"/>
                <w:sz w:val="20"/>
                <w:lang w:eastAsia="en-US"/>
              </w:rPr>
              <w:t>…………….</w:t>
            </w:r>
          </w:p>
        </w:tc>
        <w:tc>
          <w:tcPr>
            <w:tcW w:w="216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383</w:t>
            </w:r>
          </w:p>
        </w:tc>
      </w:tr>
    </w:tbl>
    <w:p w:rsidR="00816C65" w:rsidRPr="00D51650" w:rsidRDefault="00816C65" w:rsidP="00D51650">
      <w:pPr>
        <w:autoSpaceDE w:val="0"/>
        <w:autoSpaceDN w:val="0"/>
        <w:adjustRightInd w:val="0"/>
        <w:spacing w:line="360" w:lineRule="auto"/>
        <w:ind w:firstLine="709"/>
        <w:jc w:val="both"/>
        <w:rPr>
          <w:b/>
          <w:bCs/>
          <w:color w:val="000000"/>
          <w:sz w:val="28"/>
          <w:szCs w:val="28"/>
        </w:rPr>
      </w:pP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Используя данные Мировой федерации бирж и Нью-Йоркской фондовой биржи о значениях фондовых индексов, а также методику, предложенную американскими исследователями </w:t>
      </w:r>
      <w:r w:rsidR="00D51650" w:rsidRPr="00D51650">
        <w:rPr>
          <w:color w:val="000000"/>
          <w:sz w:val="28"/>
          <w:szCs w:val="28"/>
        </w:rPr>
        <w:t>С.</w:t>
      </w:r>
      <w:r w:rsidR="00D51650">
        <w:rPr>
          <w:color w:val="000000"/>
          <w:sz w:val="28"/>
          <w:szCs w:val="28"/>
        </w:rPr>
        <w:t> </w:t>
      </w:r>
      <w:r w:rsidR="00D51650" w:rsidRPr="00D51650">
        <w:rPr>
          <w:color w:val="000000"/>
          <w:sz w:val="28"/>
          <w:szCs w:val="28"/>
        </w:rPr>
        <w:t>Пателом</w:t>
      </w:r>
      <w:r w:rsidRPr="00D51650">
        <w:rPr>
          <w:color w:val="000000"/>
          <w:sz w:val="28"/>
          <w:szCs w:val="28"/>
        </w:rPr>
        <w:t xml:space="preserve"> и </w:t>
      </w:r>
      <w:r w:rsidR="00D51650" w:rsidRPr="00D51650">
        <w:rPr>
          <w:color w:val="000000"/>
          <w:sz w:val="28"/>
          <w:szCs w:val="28"/>
        </w:rPr>
        <w:t>А.</w:t>
      </w:r>
      <w:r w:rsidR="00D51650">
        <w:rPr>
          <w:color w:val="000000"/>
          <w:sz w:val="28"/>
          <w:szCs w:val="28"/>
        </w:rPr>
        <w:t> </w:t>
      </w:r>
      <w:r w:rsidR="00D51650" w:rsidRPr="00D51650">
        <w:rPr>
          <w:color w:val="000000"/>
          <w:sz w:val="28"/>
          <w:szCs w:val="28"/>
        </w:rPr>
        <w:t>Саркаром</w:t>
      </w:r>
      <w:r w:rsidRPr="00D51650">
        <w:rPr>
          <w:color w:val="000000"/>
          <w:sz w:val="28"/>
          <w:szCs w:val="28"/>
        </w:rPr>
        <w:t>, рассмотрим хронологию и глубину кризиса на рынке акционерного капитала США. Для анализа введем следующие понятия:</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w:t>
      </w:r>
      <w:r w:rsidRPr="00D51650">
        <w:rPr>
          <w:color w:val="000000"/>
          <w:sz w:val="28"/>
          <w:szCs w:val="28"/>
        </w:rPr>
        <w:t>кризис на развитом фондовом рынке</w:t>
      </w:r>
      <w:r>
        <w:rPr>
          <w:color w:val="000000"/>
          <w:sz w:val="28"/>
          <w:szCs w:val="28"/>
        </w:rPr>
        <w:t>»</w:t>
      </w:r>
      <w:r w:rsidRPr="00D51650">
        <w:rPr>
          <w:color w:val="000000"/>
          <w:sz w:val="28"/>
          <w:szCs w:val="28"/>
        </w:rPr>
        <w:t xml:space="preserve"> </w:t>
      </w:r>
      <w:r>
        <w:rPr>
          <w:color w:val="000000"/>
          <w:sz w:val="28"/>
          <w:szCs w:val="28"/>
        </w:rPr>
        <w:t>–</w:t>
      </w:r>
      <w:r w:rsidRPr="00D51650">
        <w:rPr>
          <w:color w:val="000000"/>
          <w:sz w:val="28"/>
          <w:szCs w:val="28"/>
        </w:rPr>
        <w:t xml:space="preserve"> </w:t>
      </w:r>
      <w:r w:rsidR="00816C65" w:rsidRPr="00D51650">
        <w:rPr>
          <w:color w:val="000000"/>
          <w:sz w:val="28"/>
          <w:szCs w:val="28"/>
        </w:rPr>
        <w:t>падение фондового индекса относительно его исторического максимума более чем на 2</w:t>
      </w:r>
      <w:r w:rsidRPr="00D51650">
        <w:rPr>
          <w:color w:val="000000"/>
          <w:sz w:val="28"/>
          <w:szCs w:val="28"/>
        </w:rPr>
        <w:t>0</w:t>
      </w:r>
      <w:r>
        <w:rPr>
          <w:color w:val="000000"/>
          <w:sz w:val="28"/>
          <w:szCs w:val="28"/>
        </w:rPr>
        <w:t>%</w:t>
      </w:r>
      <w:r w:rsidR="00816C65" w:rsidRPr="00D51650">
        <w:rPr>
          <w:color w:val="000000"/>
          <w:sz w:val="28"/>
          <w:szCs w:val="28"/>
        </w:rPr>
        <w:t>;</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w:t>
      </w:r>
      <w:r w:rsidRPr="00D51650">
        <w:rPr>
          <w:color w:val="000000"/>
          <w:sz w:val="28"/>
          <w:szCs w:val="28"/>
        </w:rPr>
        <w:t>начало кризиса</w:t>
      </w:r>
      <w:r>
        <w:rPr>
          <w:color w:val="000000"/>
          <w:sz w:val="28"/>
          <w:szCs w:val="28"/>
        </w:rPr>
        <w:t>»</w:t>
      </w:r>
      <w:r w:rsidRPr="00D51650">
        <w:rPr>
          <w:color w:val="000000"/>
          <w:sz w:val="28"/>
          <w:szCs w:val="28"/>
        </w:rPr>
        <w:t xml:space="preserve"> </w:t>
      </w:r>
      <w:r>
        <w:rPr>
          <w:color w:val="000000"/>
          <w:sz w:val="28"/>
          <w:szCs w:val="28"/>
        </w:rPr>
        <w:t>–</w:t>
      </w:r>
      <w:r w:rsidRPr="00D51650">
        <w:rPr>
          <w:color w:val="000000"/>
          <w:sz w:val="28"/>
          <w:szCs w:val="28"/>
        </w:rPr>
        <w:t xml:space="preserve"> </w:t>
      </w:r>
      <w:r w:rsidR="00816C65" w:rsidRPr="00D51650">
        <w:rPr>
          <w:color w:val="000000"/>
          <w:sz w:val="28"/>
          <w:szCs w:val="28"/>
        </w:rPr>
        <w:t>месяц, в котором индекс достигает своего исторического максимума;</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w:t>
      </w:r>
      <w:r w:rsidRPr="00D51650">
        <w:rPr>
          <w:color w:val="000000"/>
          <w:sz w:val="28"/>
          <w:szCs w:val="28"/>
        </w:rPr>
        <w:t>начало падения</w:t>
      </w:r>
      <w:r>
        <w:rPr>
          <w:color w:val="000000"/>
          <w:sz w:val="28"/>
          <w:szCs w:val="28"/>
        </w:rPr>
        <w:t>»</w:t>
      </w:r>
      <w:r w:rsidRPr="00D51650">
        <w:rPr>
          <w:color w:val="000000"/>
          <w:sz w:val="28"/>
          <w:szCs w:val="28"/>
        </w:rPr>
        <w:t xml:space="preserve"> </w:t>
      </w:r>
      <w:r>
        <w:rPr>
          <w:color w:val="000000"/>
          <w:sz w:val="28"/>
          <w:szCs w:val="28"/>
        </w:rPr>
        <w:t>–</w:t>
      </w:r>
      <w:r w:rsidRPr="00D51650">
        <w:rPr>
          <w:color w:val="000000"/>
          <w:sz w:val="28"/>
          <w:szCs w:val="28"/>
        </w:rPr>
        <w:t xml:space="preserve"> </w:t>
      </w:r>
      <w:r w:rsidR="00816C65" w:rsidRPr="00D51650">
        <w:rPr>
          <w:color w:val="000000"/>
          <w:sz w:val="28"/>
          <w:szCs w:val="28"/>
        </w:rPr>
        <w:t>месяц, когда индекс снижается ниже своего порогового значения;</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w:t>
      </w:r>
      <w:r w:rsidRPr="00D51650">
        <w:rPr>
          <w:color w:val="000000"/>
          <w:sz w:val="28"/>
          <w:szCs w:val="28"/>
        </w:rPr>
        <w:t>низшая точка падения</w:t>
      </w:r>
      <w:r>
        <w:rPr>
          <w:color w:val="000000"/>
          <w:sz w:val="28"/>
          <w:szCs w:val="28"/>
        </w:rPr>
        <w:t>»</w:t>
      </w:r>
      <w:r w:rsidRPr="00D51650">
        <w:rPr>
          <w:color w:val="000000"/>
          <w:sz w:val="28"/>
          <w:szCs w:val="28"/>
        </w:rPr>
        <w:t xml:space="preserve"> </w:t>
      </w:r>
      <w:r>
        <w:rPr>
          <w:color w:val="000000"/>
          <w:sz w:val="28"/>
          <w:szCs w:val="28"/>
        </w:rPr>
        <w:t>–</w:t>
      </w:r>
      <w:r w:rsidRPr="00D51650">
        <w:rPr>
          <w:color w:val="000000"/>
          <w:sz w:val="28"/>
          <w:szCs w:val="28"/>
        </w:rPr>
        <w:t xml:space="preserve"> </w:t>
      </w:r>
      <w:r w:rsidR="00816C65" w:rsidRPr="00D51650">
        <w:rPr>
          <w:color w:val="000000"/>
          <w:sz w:val="28"/>
          <w:szCs w:val="28"/>
        </w:rPr>
        <w:t>месяц, когда индекс достигает своего минимального уровня;</w:t>
      </w:r>
    </w:p>
    <w:p w:rsidR="00816C65" w:rsidRPr="00D51650" w:rsidRDefault="00D51650" w:rsidP="00D51650">
      <w:pPr>
        <w:autoSpaceDE w:val="0"/>
        <w:autoSpaceDN w:val="0"/>
        <w:adjustRightInd w:val="0"/>
        <w:spacing w:line="360" w:lineRule="auto"/>
        <w:ind w:firstLine="709"/>
        <w:jc w:val="both"/>
        <w:rPr>
          <w:color w:val="000000"/>
          <w:sz w:val="28"/>
          <w:szCs w:val="28"/>
        </w:rPr>
      </w:pPr>
      <w:r>
        <w:rPr>
          <w:color w:val="000000"/>
          <w:sz w:val="28"/>
          <w:szCs w:val="28"/>
        </w:rPr>
        <w:t>«</w:t>
      </w:r>
      <w:r w:rsidRPr="00D51650">
        <w:rPr>
          <w:color w:val="000000"/>
          <w:sz w:val="28"/>
          <w:szCs w:val="28"/>
        </w:rPr>
        <w:t>период восстановления</w:t>
      </w:r>
      <w:r>
        <w:rPr>
          <w:color w:val="000000"/>
          <w:sz w:val="28"/>
          <w:szCs w:val="28"/>
        </w:rPr>
        <w:t>»</w:t>
      </w:r>
      <w:r w:rsidRPr="00D51650">
        <w:rPr>
          <w:color w:val="000000"/>
          <w:sz w:val="28"/>
          <w:szCs w:val="28"/>
        </w:rPr>
        <w:t xml:space="preserve"> </w:t>
      </w:r>
      <w:r>
        <w:rPr>
          <w:color w:val="000000"/>
          <w:sz w:val="28"/>
          <w:szCs w:val="28"/>
        </w:rPr>
        <w:t xml:space="preserve">– </w:t>
      </w:r>
      <w:r w:rsidRPr="00D51650">
        <w:rPr>
          <w:color w:val="000000"/>
          <w:sz w:val="28"/>
          <w:szCs w:val="28"/>
        </w:rPr>
        <w:t>в</w:t>
      </w:r>
      <w:r w:rsidR="00816C65" w:rsidRPr="00D51650">
        <w:rPr>
          <w:color w:val="000000"/>
          <w:sz w:val="28"/>
          <w:szCs w:val="28"/>
        </w:rPr>
        <w:t>ремя, в течение которого индекс достигает своего предкризисного максимума.</w:t>
      </w:r>
    </w:p>
    <w:p w:rsidR="00D15C3F" w:rsidRDefault="00D15C3F" w:rsidP="00D51650">
      <w:pPr>
        <w:autoSpaceDE w:val="0"/>
        <w:autoSpaceDN w:val="0"/>
        <w:adjustRightInd w:val="0"/>
        <w:spacing w:line="360" w:lineRule="auto"/>
        <w:ind w:firstLine="709"/>
        <w:jc w:val="both"/>
        <w:rPr>
          <w:bCs/>
          <w:iCs/>
          <w:color w:val="000000"/>
          <w:sz w:val="28"/>
          <w:szCs w:val="28"/>
        </w:rPr>
      </w:pPr>
    </w:p>
    <w:p w:rsidR="00816C65" w:rsidRPr="00D51650" w:rsidRDefault="00D15C3F" w:rsidP="00D51650">
      <w:pPr>
        <w:autoSpaceDE w:val="0"/>
        <w:autoSpaceDN w:val="0"/>
        <w:adjustRightInd w:val="0"/>
        <w:spacing w:line="360" w:lineRule="auto"/>
        <w:ind w:firstLine="709"/>
        <w:jc w:val="both"/>
        <w:rPr>
          <w:bCs/>
          <w:color w:val="000000"/>
          <w:sz w:val="28"/>
          <w:szCs w:val="28"/>
        </w:rPr>
      </w:pPr>
      <w:r>
        <w:rPr>
          <w:bCs/>
          <w:iCs/>
          <w:color w:val="000000"/>
          <w:sz w:val="28"/>
          <w:szCs w:val="28"/>
        </w:rPr>
        <w:br w:type="page"/>
      </w:r>
      <w:r w:rsidR="00816C65" w:rsidRPr="00D51650">
        <w:rPr>
          <w:bCs/>
          <w:iCs/>
          <w:color w:val="000000"/>
          <w:sz w:val="28"/>
          <w:szCs w:val="28"/>
        </w:rPr>
        <w:t>Таблица 2</w:t>
      </w:r>
      <w:r>
        <w:rPr>
          <w:bCs/>
          <w:color w:val="000000"/>
          <w:sz w:val="28"/>
          <w:szCs w:val="28"/>
        </w:rPr>
        <w:t xml:space="preserve">. </w:t>
      </w:r>
      <w:r w:rsidR="00816C65" w:rsidRPr="00D51650">
        <w:rPr>
          <w:bCs/>
          <w:color w:val="000000"/>
          <w:sz w:val="28"/>
          <w:szCs w:val="28"/>
        </w:rPr>
        <w:t xml:space="preserve">Показатели развития </w:t>
      </w:r>
      <w:r w:rsidR="00816C65" w:rsidRPr="00D51650">
        <w:rPr>
          <w:bCs/>
          <w:color w:val="000000"/>
          <w:sz w:val="28"/>
          <w:szCs w:val="28"/>
          <w:lang w:val="en-US"/>
        </w:rPr>
        <w:t>NASDAQ</w:t>
      </w:r>
      <w:r w:rsidR="00816C65" w:rsidRPr="00D51650">
        <w:rPr>
          <w:bCs/>
          <w:color w:val="000000"/>
          <w:sz w:val="28"/>
          <w:szCs w:val="28"/>
        </w:rPr>
        <w:t xml:space="preserve"> накануне кризиса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88"/>
        <w:gridCol w:w="1703"/>
        <w:gridCol w:w="1703"/>
        <w:gridCol w:w="1703"/>
      </w:tblGrid>
      <w:tr w:rsidR="00816C65" w:rsidRPr="0047316B" w:rsidTr="0047316B">
        <w:trPr>
          <w:cantSplit/>
          <w:trHeight w:val="264"/>
          <w:jc w:val="center"/>
        </w:trPr>
        <w:tc>
          <w:tcPr>
            <w:tcW w:w="2252"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Показатели</w:t>
            </w:r>
          </w:p>
        </w:tc>
        <w:tc>
          <w:tcPr>
            <w:tcW w:w="2748" w:type="pct"/>
            <w:gridSpan w:val="3"/>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Годы</w:t>
            </w:r>
          </w:p>
        </w:tc>
      </w:tr>
      <w:tr w:rsidR="00816C65" w:rsidRPr="0047316B" w:rsidTr="0047316B">
        <w:trPr>
          <w:cantSplit/>
          <w:trHeight w:val="245"/>
          <w:jc w:val="center"/>
        </w:trPr>
        <w:tc>
          <w:tcPr>
            <w:tcW w:w="2252"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p>
        </w:tc>
        <w:tc>
          <w:tcPr>
            <w:tcW w:w="916"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1997</w:t>
            </w:r>
          </w:p>
        </w:tc>
        <w:tc>
          <w:tcPr>
            <w:tcW w:w="916"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1998</w:t>
            </w:r>
          </w:p>
        </w:tc>
        <w:tc>
          <w:tcPr>
            <w:tcW w:w="916"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1999</w:t>
            </w:r>
          </w:p>
        </w:tc>
      </w:tr>
      <w:tr w:rsidR="00816C65" w:rsidRPr="0047316B" w:rsidTr="0047316B">
        <w:trPr>
          <w:cantSplit/>
          <w:trHeight w:val="269"/>
          <w:jc w:val="center"/>
        </w:trPr>
        <w:tc>
          <w:tcPr>
            <w:tcW w:w="2252"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Капитализация на конец периода (млн. дол.)</w:t>
            </w:r>
            <w:r w:rsidR="00D51650" w:rsidRPr="0047316B">
              <w:rPr>
                <w:color w:val="000000"/>
                <w:sz w:val="20"/>
              </w:rPr>
              <w:t>.</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1726390,4</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2243734,0</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5204620,4</w:t>
            </w:r>
          </w:p>
        </w:tc>
      </w:tr>
      <w:tr w:rsidR="00816C65" w:rsidRPr="0047316B" w:rsidTr="0047316B">
        <w:trPr>
          <w:cantSplit/>
          <w:trHeight w:val="235"/>
          <w:jc w:val="center"/>
        </w:trPr>
        <w:tc>
          <w:tcPr>
            <w:tcW w:w="2252"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Количество листинговых компаний</w:t>
            </w:r>
            <w:r w:rsidR="00D51650" w:rsidRPr="0047316B">
              <w:rPr>
                <w:color w:val="000000"/>
                <w:sz w:val="20"/>
              </w:rPr>
              <w:t>.</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5487</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5068</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4829</w:t>
            </w:r>
          </w:p>
        </w:tc>
      </w:tr>
      <w:tr w:rsidR="00816C65" w:rsidRPr="0047316B" w:rsidTr="0047316B">
        <w:trPr>
          <w:cantSplit/>
          <w:trHeight w:val="254"/>
          <w:jc w:val="center"/>
        </w:trPr>
        <w:tc>
          <w:tcPr>
            <w:tcW w:w="2252"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Среднемесячный объем торгов акциями</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p>
        </w:tc>
      </w:tr>
      <w:tr w:rsidR="00816C65" w:rsidRPr="0047316B" w:rsidTr="0047316B">
        <w:trPr>
          <w:cantSplit/>
          <w:trHeight w:val="226"/>
          <w:jc w:val="center"/>
        </w:trPr>
        <w:tc>
          <w:tcPr>
            <w:tcW w:w="2252"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(млн. дол.)</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373473,51</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459912,19</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872280,78</w:t>
            </w:r>
          </w:p>
        </w:tc>
      </w:tr>
      <w:tr w:rsidR="00816C65" w:rsidRPr="0047316B" w:rsidTr="0047316B">
        <w:trPr>
          <w:cantSplit/>
          <w:trHeight w:val="245"/>
          <w:jc w:val="center"/>
        </w:trPr>
        <w:tc>
          <w:tcPr>
            <w:tcW w:w="2252"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Ликвидность рынка (%).</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259,6</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245,97</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201,12</w:t>
            </w:r>
          </w:p>
        </w:tc>
      </w:tr>
      <w:tr w:rsidR="00816C65" w:rsidRPr="0047316B" w:rsidTr="0047316B">
        <w:trPr>
          <w:cantSplit/>
          <w:trHeight w:val="235"/>
          <w:jc w:val="center"/>
        </w:trPr>
        <w:tc>
          <w:tcPr>
            <w:tcW w:w="2252"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Изменение фондового индекса за год (%)</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21,64</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39,63</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85,59</w:t>
            </w:r>
          </w:p>
        </w:tc>
      </w:tr>
      <w:tr w:rsidR="00816C65" w:rsidRPr="0047316B" w:rsidTr="0047316B">
        <w:trPr>
          <w:cantSplit/>
          <w:trHeight w:val="240"/>
          <w:jc w:val="center"/>
        </w:trPr>
        <w:tc>
          <w:tcPr>
            <w:tcW w:w="2252"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 xml:space="preserve">Коэффициент </w:t>
            </w:r>
            <w:r w:rsidR="00D51650" w:rsidRPr="0047316B">
              <w:rPr>
                <w:color w:val="000000"/>
                <w:sz w:val="20"/>
              </w:rPr>
              <w:t>«ц</w:t>
            </w:r>
            <w:r w:rsidRPr="0047316B">
              <w:rPr>
                <w:color w:val="000000"/>
                <w:sz w:val="20"/>
              </w:rPr>
              <w:t>ена</w:t>
            </w:r>
            <w:r w:rsidR="00D51650" w:rsidRPr="0047316B">
              <w:rPr>
                <w:color w:val="000000"/>
                <w:sz w:val="20"/>
              </w:rPr>
              <w:t> / прибыль</w:t>
            </w:r>
            <w:r w:rsidR="00D15C3F" w:rsidRPr="0047316B">
              <w:rPr>
                <w:color w:val="000000"/>
                <w:sz w:val="20"/>
              </w:rPr>
              <w:t>»</w:t>
            </w:r>
            <w:r w:rsidR="00D51650" w:rsidRPr="0047316B">
              <w:rPr>
                <w:color w:val="000000"/>
                <w:sz w:val="20"/>
              </w:rPr>
              <w:t>.</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26,4</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105,6</w:t>
            </w:r>
          </w:p>
        </w:tc>
        <w:tc>
          <w:tcPr>
            <w:tcW w:w="9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205,5</w:t>
            </w:r>
          </w:p>
        </w:tc>
      </w:tr>
    </w:tbl>
    <w:p w:rsidR="00816C65" w:rsidRPr="00D51650" w:rsidRDefault="00816C65" w:rsidP="00D51650">
      <w:pPr>
        <w:autoSpaceDE w:val="0"/>
        <w:autoSpaceDN w:val="0"/>
        <w:adjustRightInd w:val="0"/>
        <w:spacing w:line="360" w:lineRule="auto"/>
        <w:ind w:firstLine="709"/>
        <w:jc w:val="both"/>
        <w:rPr>
          <w:color w:val="000000"/>
          <w:sz w:val="28"/>
          <w:szCs w:val="28"/>
        </w:rPr>
      </w:pP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Данные таблицы 3 свидетельствуют о том, насколько глубоким и продолжительным стал кризис для торговой системы </w:t>
      </w:r>
      <w:r w:rsidRPr="00D51650">
        <w:rPr>
          <w:color w:val="000000"/>
          <w:sz w:val="28"/>
          <w:szCs w:val="28"/>
          <w:lang w:val="en-US"/>
        </w:rPr>
        <w:t>NASDAQ</w:t>
      </w:r>
      <w:r w:rsidRPr="00D51650">
        <w:rPr>
          <w:color w:val="000000"/>
          <w:sz w:val="28"/>
          <w:szCs w:val="28"/>
        </w:rPr>
        <w:t xml:space="preserve">, которая ассоциируется с отраслями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w:t>
      </w:r>
      <w:r w:rsidRPr="00D51650">
        <w:rPr>
          <w:color w:val="000000"/>
          <w:sz w:val="28"/>
          <w:szCs w:val="28"/>
        </w:rPr>
        <w:t xml:space="preserve"> Так, рынок </w:t>
      </w:r>
      <w:r w:rsidRPr="00D51650">
        <w:rPr>
          <w:color w:val="000000"/>
          <w:sz w:val="28"/>
          <w:szCs w:val="28"/>
          <w:lang w:val="en-US"/>
        </w:rPr>
        <w:t>NASDAQ</w:t>
      </w:r>
      <w:r w:rsidRPr="00D51650">
        <w:rPr>
          <w:color w:val="000000"/>
          <w:sz w:val="28"/>
          <w:szCs w:val="28"/>
        </w:rPr>
        <w:t xml:space="preserve"> достиг своего </w:t>
      </w:r>
      <w:r w:rsidR="00D51650">
        <w:rPr>
          <w:color w:val="000000"/>
          <w:sz w:val="28"/>
          <w:szCs w:val="28"/>
        </w:rPr>
        <w:t>«</w:t>
      </w:r>
      <w:r w:rsidR="00D51650" w:rsidRPr="00D51650">
        <w:rPr>
          <w:color w:val="000000"/>
          <w:sz w:val="28"/>
          <w:szCs w:val="28"/>
        </w:rPr>
        <w:t>д</w:t>
      </w:r>
      <w:r w:rsidRPr="00D51650">
        <w:rPr>
          <w:color w:val="000000"/>
          <w:sz w:val="28"/>
          <w:szCs w:val="28"/>
        </w:rPr>
        <w:t>на</w:t>
      </w:r>
      <w:r w:rsidR="00D51650">
        <w:rPr>
          <w:color w:val="000000"/>
          <w:sz w:val="28"/>
          <w:szCs w:val="28"/>
        </w:rPr>
        <w:t>»</w:t>
      </w:r>
      <w:r w:rsidR="00D51650" w:rsidRPr="00D51650">
        <w:rPr>
          <w:color w:val="000000"/>
          <w:sz w:val="28"/>
          <w:szCs w:val="28"/>
        </w:rPr>
        <w:t xml:space="preserve"> </w:t>
      </w:r>
      <w:r w:rsidRPr="00D51650">
        <w:rPr>
          <w:color w:val="000000"/>
          <w:sz w:val="28"/>
          <w:szCs w:val="28"/>
        </w:rPr>
        <w:t>в сентябре 2002</w:t>
      </w:r>
      <w:r w:rsidR="00D51650">
        <w:rPr>
          <w:color w:val="000000"/>
          <w:sz w:val="28"/>
          <w:szCs w:val="28"/>
        </w:rPr>
        <w:t> </w:t>
      </w:r>
      <w:r w:rsidR="00D51650" w:rsidRPr="00D51650">
        <w:rPr>
          <w:color w:val="000000"/>
          <w:sz w:val="28"/>
          <w:szCs w:val="28"/>
        </w:rPr>
        <w:t>г</w:t>
      </w:r>
      <w:r w:rsidRPr="00D51650">
        <w:rPr>
          <w:color w:val="000000"/>
          <w:sz w:val="28"/>
          <w:szCs w:val="28"/>
        </w:rPr>
        <w:t xml:space="preserve">., когда значение </w:t>
      </w:r>
      <w:r w:rsidRPr="00D51650">
        <w:rPr>
          <w:color w:val="000000"/>
          <w:sz w:val="28"/>
          <w:szCs w:val="28"/>
          <w:lang w:val="en-US"/>
        </w:rPr>
        <w:t>NASDAQ</w:t>
      </w:r>
      <w:r w:rsidRPr="00D51650">
        <w:rPr>
          <w:color w:val="000000"/>
          <w:sz w:val="28"/>
          <w:szCs w:val="28"/>
        </w:rPr>
        <w:t xml:space="preserve"> </w:t>
      </w:r>
      <w:r w:rsidRPr="00D51650">
        <w:rPr>
          <w:color w:val="000000"/>
          <w:sz w:val="28"/>
          <w:szCs w:val="28"/>
          <w:lang w:val="en-US"/>
        </w:rPr>
        <w:t>Composite</w:t>
      </w:r>
      <w:r w:rsidRPr="00D51650">
        <w:rPr>
          <w:color w:val="000000"/>
          <w:sz w:val="28"/>
          <w:szCs w:val="28"/>
        </w:rPr>
        <w:t xml:space="preserve"> </w:t>
      </w:r>
      <w:r w:rsidRPr="00D51650">
        <w:rPr>
          <w:color w:val="000000"/>
          <w:sz w:val="28"/>
          <w:szCs w:val="28"/>
          <w:lang w:val="en-US"/>
        </w:rPr>
        <w:t>Index</w:t>
      </w:r>
      <w:r w:rsidRPr="00D51650">
        <w:rPr>
          <w:color w:val="000000"/>
          <w:sz w:val="28"/>
          <w:szCs w:val="28"/>
        </w:rPr>
        <w:t xml:space="preserve"> снизилось по сравнению со своим историческим максимумом на 75,0</w:t>
      </w:r>
      <w:r w:rsidR="00D51650" w:rsidRPr="00D51650">
        <w:rPr>
          <w:color w:val="000000"/>
          <w:sz w:val="28"/>
          <w:szCs w:val="28"/>
        </w:rPr>
        <w:t>4</w:t>
      </w:r>
      <w:r w:rsidR="00D51650">
        <w:rPr>
          <w:color w:val="000000"/>
          <w:sz w:val="28"/>
          <w:szCs w:val="28"/>
        </w:rPr>
        <w:t>%</w:t>
      </w:r>
      <w:r w:rsidRPr="00D51650">
        <w:rPr>
          <w:color w:val="000000"/>
          <w:sz w:val="28"/>
          <w:szCs w:val="28"/>
        </w:rPr>
        <w:t>.</w:t>
      </w:r>
    </w:p>
    <w:p w:rsidR="00816C65" w:rsidRPr="00D51650" w:rsidRDefault="00816C65" w:rsidP="00D51650">
      <w:pPr>
        <w:spacing w:line="360" w:lineRule="auto"/>
        <w:ind w:firstLine="709"/>
        <w:jc w:val="both"/>
        <w:rPr>
          <w:i/>
          <w:iCs/>
          <w:color w:val="000000"/>
          <w:sz w:val="28"/>
          <w:szCs w:val="28"/>
        </w:rPr>
      </w:pPr>
    </w:p>
    <w:p w:rsidR="00816C65" w:rsidRPr="00D15C3F" w:rsidRDefault="00816C65" w:rsidP="00D51650">
      <w:pPr>
        <w:autoSpaceDE w:val="0"/>
        <w:autoSpaceDN w:val="0"/>
        <w:adjustRightInd w:val="0"/>
        <w:spacing w:line="360" w:lineRule="auto"/>
        <w:ind w:firstLine="709"/>
        <w:jc w:val="both"/>
        <w:rPr>
          <w:iCs/>
          <w:color w:val="000000"/>
          <w:sz w:val="28"/>
          <w:szCs w:val="28"/>
          <w:lang w:val="uk-UA"/>
        </w:rPr>
      </w:pPr>
      <w:r w:rsidRPr="00D51650">
        <w:rPr>
          <w:iCs/>
          <w:color w:val="000000"/>
          <w:sz w:val="28"/>
          <w:szCs w:val="28"/>
        </w:rPr>
        <w:t>Таблица</w:t>
      </w:r>
      <w:r w:rsidRPr="00D51650">
        <w:rPr>
          <w:iCs/>
          <w:color w:val="000000"/>
          <w:sz w:val="28"/>
          <w:szCs w:val="28"/>
          <w:lang w:val="uk-UA"/>
        </w:rPr>
        <w:t xml:space="preserve"> 3</w:t>
      </w:r>
      <w:r w:rsidR="00D15C3F">
        <w:rPr>
          <w:iCs/>
          <w:color w:val="000000"/>
          <w:sz w:val="28"/>
          <w:szCs w:val="28"/>
          <w:lang w:val="uk-UA"/>
        </w:rPr>
        <w:t xml:space="preserve">. </w:t>
      </w:r>
      <w:r w:rsidRPr="00D51650">
        <w:rPr>
          <w:bCs/>
          <w:color w:val="000000"/>
          <w:sz w:val="28"/>
          <w:szCs w:val="28"/>
        </w:rPr>
        <w:t>Продолжительность и глубина кризиса на рынке акций в США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10"/>
        <w:gridCol w:w="1331"/>
        <w:gridCol w:w="1357"/>
        <w:gridCol w:w="1709"/>
        <w:gridCol w:w="1328"/>
        <w:gridCol w:w="2062"/>
      </w:tblGrid>
      <w:tr w:rsidR="00816C65" w:rsidRPr="0047316B" w:rsidTr="0047316B">
        <w:trPr>
          <w:cantSplit/>
          <w:trHeight w:val="499"/>
          <w:jc w:val="center"/>
        </w:trPr>
        <w:tc>
          <w:tcPr>
            <w:tcW w:w="812" w:type="pct"/>
            <w:shd w:val="clear" w:color="auto" w:fill="auto"/>
          </w:tcPr>
          <w:p w:rsidR="00816C65" w:rsidRPr="0047316B" w:rsidRDefault="00816C65" w:rsidP="0047316B">
            <w:pPr>
              <w:autoSpaceDE w:val="0"/>
              <w:autoSpaceDN w:val="0"/>
              <w:adjustRightInd w:val="0"/>
              <w:spacing w:line="360" w:lineRule="auto"/>
              <w:jc w:val="both"/>
              <w:rPr>
                <w:color w:val="000000"/>
                <w:sz w:val="20"/>
              </w:rPr>
            </w:pPr>
          </w:p>
        </w:tc>
        <w:tc>
          <w:tcPr>
            <w:tcW w:w="7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Начало</w:t>
            </w:r>
          </w:p>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кризиса</w:t>
            </w:r>
          </w:p>
        </w:tc>
        <w:tc>
          <w:tcPr>
            <w:tcW w:w="730"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Начало</w:t>
            </w:r>
          </w:p>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падения</w:t>
            </w:r>
          </w:p>
        </w:tc>
        <w:tc>
          <w:tcPr>
            <w:tcW w:w="919"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Дата</w:t>
            </w:r>
          </w:p>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достижения низшей точки падения</w:t>
            </w:r>
          </w:p>
        </w:tc>
        <w:tc>
          <w:tcPr>
            <w:tcW w:w="714"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Низшая точка падения (%)</w:t>
            </w:r>
          </w:p>
        </w:tc>
        <w:tc>
          <w:tcPr>
            <w:tcW w:w="1109"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Дата</w:t>
            </w:r>
          </w:p>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восстановления</w:t>
            </w:r>
          </w:p>
        </w:tc>
      </w:tr>
      <w:tr w:rsidR="00816C65" w:rsidRPr="0047316B" w:rsidTr="0047316B">
        <w:trPr>
          <w:cantSplit/>
          <w:trHeight w:val="250"/>
          <w:jc w:val="center"/>
        </w:trPr>
        <w:tc>
          <w:tcPr>
            <w:tcW w:w="812" w:type="pct"/>
            <w:shd w:val="clear" w:color="auto" w:fill="auto"/>
          </w:tcPr>
          <w:p w:rsidR="00816C65" w:rsidRPr="0047316B" w:rsidRDefault="00816C65" w:rsidP="0047316B">
            <w:pPr>
              <w:autoSpaceDE w:val="0"/>
              <w:autoSpaceDN w:val="0"/>
              <w:adjustRightInd w:val="0"/>
              <w:spacing w:line="360" w:lineRule="auto"/>
              <w:jc w:val="both"/>
              <w:rPr>
                <w:color w:val="000000"/>
                <w:sz w:val="20"/>
                <w:lang w:val="en-US" w:eastAsia="en-US"/>
              </w:rPr>
            </w:pPr>
            <w:r w:rsidRPr="0047316B">
              <w:rPr>
                <w:color w:val="000000"/>
                <w:sz w:val="20"/>
                <w:lang w:val="en-US" w:eastAsia="en-US"/>
              </w:rPr>
              <w:t>NASDAQ</w:t>
            </w:r>
          </w:p>
        </w:tc>
        <w:tc>
          <w:tcPr>
            <w:tcW w:w="7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02/00</w:t>
            </w:r>
          </w:p>
        </w:tc>
        <w:tc>
          <w:tcPr>
            <w:tcW w:w="730"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05/00</w:t>
            </w:r>
          </w:p>
        </w:tc>
        <w:tc>
          <w:tcPr>
            <w:tcW w:w="919"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09/02</w:t>
            </w:r>
          </w:p>
        </w:tc>
        <w:tc>
          <w:tcPr>
            <w:tcW w:w="714"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75,04</w:t>
            </w:r>
          </w:p>
        </w:tc>
        <w:tc>
          <w:tcPr>
            <w:tcW w:w="1109" w:type="pct"/>
            <w:shd w:val="clear" w:color="auto" w:fill="auto"/>
          </w:tcPr>
          <w:p w:rsidR="00816C65" w:rsidRPr="0047316B" w:rsidRDefault="00816C65" w:rsidP="0047316B">
            <w:pPr>
              <w:autoSpaceDE w:val="0"/>
              <w:autoSpaceDN w:val="0"/>
              <w:adjustRightInd w:val="0"/>
              <w:spacing w:line="360" w:lineRule="auto"/>
              <w:jc w:val="both"/>
              <w:rPr>
                <w:bCs/>
                <w:color w:val="000000"/>
                <w:sz w:val="20"/>
              </w:rPr>
            </w:pPr>
            <w:r w:rsidRPr="0047316B">
              <w:rPr>
                <w:bCs/>
                <w:color w:val="000000"/>
                <w:sz w:val="20"/>
              </w:rPr>
              <w:t>НВ**</w:t>
            </w:r>
          </w:p>
        </w:tc>
      </w:tr>
      <w:tr w:rsidR="00816C65" w:rsidRPr="0047316B" w:rsidTr="0047316B">
        <w:trPr>
          <w:cantSplit/>
          <w:trHeight w:val="259"/>
          <w:jc w:val="center"/>
        </w:trPr>
        <w:tc>
          <w:tcPr>
            <w:tcW w:w="812" w:type="pct"/>
            <w:shd w:val="clear" w:color="auto" w:fill="auto"/>
          </w:tcPr>
          <w:p w:rsidR="00816C65" w:rsidRPr="0047316B" w:rsidRDefault="00816C65" w:rsidP="0047316B">
            <w:pPr>
              <w:autoSpaceDE w:val="0"/>
              <w:autoSpaceDN w:val="0"/>
              <w:adjustRightInd w:val="0"/>
              <w:spacing w:line="360" w:lineRule="auto"/>
              <w:jc w:val="both"/>
              <w:rPr>
                <w:color w:val="000000"/>
                <w:sz w:val="20"/>
                <w:lang w:val="en-US" w:eastAsia="en-US"/>
              </w:rPr>
            </w:pPr>
            <w:r w:rsidRPr="0047316B">
              <w:rPr>
                <w:color w:val="000000"/>
                <w:sz w:val="20"/>
                <w:lang w:val="en-US" w:eastAsia="en-US"/>
              </w:rPr>
              <w:t>NYSE</w:t>
            </w:r>
          </w:p>
        </w:tc>
        <w:tc>
          <w:tcPr>
            <w:tcW w:w="716"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08/00</w:t>
            </w:r>
          </w:p>
        </w:tc>
        <w:tc>
          <w:tcPr>
            <w:tcW w:w="730"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07/02</w:t>
            </w:r>
          </w:p>
        </w:tc>
        <w:tc>
          <w:tcPr>
            <w:tcW w:w="919"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09/02</w:t>
            </w:r>
          </w:p>
        </w:tc>
        <w:tc>
          <w:tcPr>
            <w:tcW w:w="714"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33,96</w:t>
            </w:r>
          </w:p>
        </w:tc>
        <w:tc>
          <w:tcPr>
            <w:tcW w:w="1109" w:type="pct"/>
            <w:shd w:val="clear" w:color="auto" w:fill="auto"/>
          </w:tcPr>
          <w:p w:rsidR="00816C65" w:rsidRPr="0047316B" w:rsidRDefault="00816C65" w:rsidP="0047316B">
            <w:pPr>
              <w:autoSpaceDE w:val="0"/>
              <w:autoSpaceDN w:val="0"/>
              <w:adjustRightInd w:val="0"/>
              <w:spacing w:line="360" w:lineRule="auto"/>
              <w:jc w:val="both"/>
              <w:rPr>
                <w:color w:val="000000"/>
                <w:sz w:val="20"/>
              </w:rPr>
            </w:pPr>
            <w:r w:rsidRPr="0047316B">
              <w:rPr>
                <w:color w:val="000000"/>
                <w:sz w:val="20"/>
              </w:rPr>
              <w:t>12/04</w:t>
            </w:r>
          </w:p>
        </w:tc>
      </w:tr>
    </w:tbl>
    <w:p w:rsidR="00816C65" w:rsidRPr="00D51650" w:rsidRDefault="00816C65" w:rsidP="00D51650">
      <w:pPr>
        <w:autoSpaceDE w:val="0"/>
        <w:autoSpaceDN w:val="0"/>
        <w:adjustRightInd w:val="0"/>
        <w:spacing w:line="360" w:lineRule="auto"/>
        <w:ind w:firstLine="709"/>
        <w:jc w:val="both"/>
        <w:rPr>
          <w:color w:val="000000"/>
          <w:sz w:val="28"/>
          <w:szCs w:val="28"/>
        </w:rPr>
      </w:pP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Если сравнить глубину падения котировок акций компаний </w:t>
      </w:r>
      <w:r w:rsidR="00D51650">
        <w:rPr>
          <w:color w:val="000000"/>
          <w:sz w:val="28"/>
          <w:szCs w:val="28"/>
        </w:rPr>
        <w:t>«</w:t>
      </w:r>
      <w:r w:rsidR="00D51650" w:rsidRPr="00D51650">
        <w:rPr>
          <w:color w:val="000000"/>
          <w:sz w:val="28"/>
          <w:szCs w:val="28"/>
          <w:lang w:val="en-US"/>
        </w:rPr>
        <w:t>h</w:t>
      </w:r>
      <w:r w:rsidRPr="00D51650">
        <w:rPr>
          <w:color w:val="000000"/>
          <w:sz w:val="28"/>
          <w:szCs w:val="28"/>
          <w:lang w:val="en-US"/>
        </w:rPr>
        <w:t>igh</w:t>
      </w:r>
      <w:r w:rsidRPr="00D51650">
        <w:rPr>
          <w:color w:val="000000"/>
          <w:sz w:val="28"/>
          <w:szCs w:val="28"/>
        </w:rPr>
        <w:t>-</w:t>
      </w:r>
      <w:r w:rsidRPr="00D51650">
        <w:rPr>
          <w:color w:val="000000"/>
          <w:sz w:val="28"/>
          <w:szCs w:val="28"/>
          <w:lang w:val="en-US"/>
        </w:rPr>
        <w:t>tech</w:t>
      </w:r>
      <w:r w:rsidR="00D51650">
        <w:rPr>
          <w:color w:val="000000"/>
          <w:sz w:val="28"/>
          <w:szCs w:val="28"/>
        </w:rPr>
        <w:t>»</w:t>
      </w:r>
      <w:r w:rsidR="00D51650" w:rsidRPr="00D51650">
        <w:rPr>
          <w:color w:val="000000"/>
          <w:sz w:val="28"/>
          <w:szCs w:val="28"/>
        </w:rPr>
        <w:t xml:space="preserve"> </w:t>
      </w:r>
      <w:r w:rsidRPr="00D51650">
        <w:rPr>
          <w:color w:val="000000"/>
          <w:sz w:val="28"/>
          <w:szCs w:val="28"/>
        </w:rPr>
        <w:t>с последствиями международного валютно-финансового кризиса 1997</w:t>
      </w:r>
      <w:r w:rsidR="00D51650">
        <w:rPr>
          <w:color w:val="000000"/>
          <w:sz w:val="28"/>
          <w:szCs w:val="28"/>
        </w:rPr>
        <w:t>–</w:t>
      </w:r>
      <w:r w:rsidR="00D51650" w:rsidRPr="00D51650">
        <w:rPr>
          <w:color w:val="000000"/>
          <w:sz w:val="28"/>
          <w:szCs w:val="28"/>
        </w:rPr>
        <w:t>1</w:t>
      </w:r>
      <w:r w:rsidRPr="00D51650">
        <w:rPr>
          <w:color w:val="000000"/>
          <w:sz w:val="28"/>
          <w:szCs w:val="28"/>
        </w:rPr>
        <w:t>998</w:t>
      </w:r>
      <w:r w:rsidR="00D51650">
        <w:rPr>
          <w:color w:val="000000"/>
          <w:sz w:val="28"/>
          <w:szCs w:val="28"/>
        </w:rPr>
        <w:t> </w:t>
      </w:r>
      <w:r w:rsidR="00D51650" w:rsidRPr="00D51650">
        <w:rPr>
          <w:color w:val="000000"/>
          <w:sz w:val="28"/>
          <w:szCs w:val="28"/>
        </w:rPr>
        <w:t>гг</w:t>
      </w:r>
      <w:r w:rsidRPr="00D51650">
        <w:rPr>
          <w:color w:val="000000"/>
          <w:sz w:val="28"/>
          <w:szCs w:val="28"/>
        </w:rPr>
        <w:t xml:space="preserve">., то можно сделать вывод, что среди стран Юго-Восточной Азии, являвшихся эпицентром кризиса, только фондовый рынок Таиланда пострадал больше, чем </w:t>
      </w:r>
      <w:r w:rsidRPr="00D51650">
        <w:rPr>
          <w:color w:val="000000"/>
          <w:sz w:val="28"/>
          <w:szCs w:val="28"/>
          <w:lang w:val="en-US"/>
        </w:rPr>
        <w:t>NASDAQ</w:t>
      </w:r>
      <w:r w:rsidRPr="00D51650">
        <w:rPr>
          <w:color w:val="000000"/>
          <w:sz w:val="28"/>
          <w:szCs w:val="28"/>
        </w:rPr>
        <w:t xml:space="preserve"> (на самом </w:t>
      </w:r>
      <w:r w:rsidR="00D51650">
        <w:rPr>
          <w:color w:val="000000"/>
          <w:sz w:val="28"/>
          <w:szCs w:val="28"/>
        </w:rPr>
        <w:t>«</w:t>
      </w:r>
      <w:r w:rsidR="00D51650" w:rsidRPr="00D51650">
        <w:rPr>
          <w:color w:val="000000"/>
          <w:sz w:val="28"/>
          <w:szCs w:val="28"/>
        </w:rPr>
        <w:t>д</w:t>
      </w:r>
      <w:r w:rsidRPr="00D51650">
        <w:rPr>
          <w:color w:val="000000"/>
          <w:sz w:val="28"/>
          <w:szCs w:val="28"/>
        </w:rPr>
        <w:t>не</w:t>
      </w:r>
      <w:r w:rsidR="00D51650">
        <w:rPr>
          <w:color w:val="000000"/>
          <w:sz w:val="28"/>
          <w:szCs w:val="28"/>
        </w:rPr>
        <w:t>»</w:t>
      </w:r>
      <w:r w:rsidR="00D51650" w:rsidRPr="00D51650">
        <w:rPr>
          <w:color w:val="000000"/>
          <w:sz w:val="28"/>
          <w:szCs w:val="28"/>
        </w:rPr>
        <w:t xml:space="preserve"> </w:t>
      </w:r>
      <w:r w:rsidRPr="00D51650">
        <w:rPr>
          <w:color w:val="000000"/>
          <w:sz w:val="28"/>
          <w:szCs w:val="28"/>
        </w:rPr>
        <w:t>падение основного фондового индекса Таиланда составило 84,</w:t>
      </w:r>
      <w:r w:rsidR="00D51650" w:rsidRPr="00D51650">
        <w:rPr>
          <w:color w:val="000000"/>
          <w:sz w:val="28"/>
          <w:szCs w:val="28"/>
        </w:rPr>
        <w:t>6</w:t>
      </w:r>
      <w:r w:rsidR="00D51650">
        <w:rPr>
          <w:color w:val="000000"/>
          <w:sz w:val="28"/>
          <w:szCs w:val="28"/>
        </w:rPr>
        <w:t>%</w:t>
      </w:r>
      <w:r w:rsidRPr="00D51650">
        <w:rPr>
          <w:color w:val="000000"/>
          <w:sz w:val="28"/>
          <w:szCs w:val="28"/>
        </w:rPr>
        <w:t>).</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Исходя из данных таблицы 3, можно утверждать, что в целом восстановление американского рынка корпоративных прав заняло 51 месяц. Фондовым рынкам Южной Кореи и Индонезии, чтобы справиться с последствиями азиатского кризиса, потребовалось, соответственно, 49 и 50 месяцев.</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После серии корпоративных скандалов, связанных с финансовыми злоупотреблениями в американских корпорациях, Экономический совет при Президенте США пришел к следующим выводам: </w:t>
      </w:r>
      <w:r w:rsidR="00D51650">
        <w:rPr>
          <w:color w:val="000000"/>
          <w:sz w:val="28"/>
          <w:szCs w:val="28"/>
        </w:rPr>
        <w:t>«</w:t>
      </w:r>
      <w:r w:rsidR="00D51650" w:rsidRPr="00D51650">
        <w:rPr>
          <w:color w:val="000000"/>
          <w:sz w:val="28"/>
          <w:szCs w:val="28"/>
        </w:rPr>
        <w:t>Р</w:t>
      </w:r>
      <w:r w:rsidRPr="00D51650">
        <w:rPr>
          <w:color w:val="000000"/>
          <w:sz w:val="28"/>
          <w:szCs w:val="28"/>
        </w:rPr>
        <w:t>езкое падение котировок акций наукоемких фирм стало важнейшим фактором общего падения стоимости корпоративных активов, но оно также явилось знаковым изменением общих позиций этого сегмента бизнеса в экономике, особенно отраслей информационных и телекоммуникационных технологий, которые были важнейшим источником экономического роста в период 1995</w:t>
      </w:r>
      <w:r w:rsidR="00D51650">
        <w:rPr>
          <w:color w:val="000000"/>
          <w:sz w:val="28"/>
          <w:szCs w:val="28"/>
        </w:rPr>
        <w:t>–</w:t>
      </w:r>
      <w:r w:rsidR="00D51650" w:rsidRPr="00D51650">
        <w:rPr>
          <w:color w:val="000000"/>
          <w:sz w:val="28"/>
          <w:szCs w:val="28"/>
        </w:rPr>
        <w:t>1</w:t>
      </w:r>
      <w:r w:rsidRPr="00D51650">
        <w:rPr>
          <w:color w:val="000000"/>
          <w:sz w:val="28"/>
          <w:szCs w:val="28"/>
        </w:rPr>
        <w:t>999</w:t>
      </w:r>
      <w:r w:rsidR="00D51650">
        <w:rPr>
          <w:color w:val="000000"/>
          <w:sz w:val="28"/>
          <w:szCs w:val="28"/>
        </w:rPr>
        <w:t> </w:t>
      </w:r>
      <w:r w:rsidR="00D51650" w:rsidRPr="00D51650">
        <w:rPr>
          <w:color w:val="000000"/>
          <w:sz w:val="28"/>
          <w:szCs w:val="28"/>
        </w:rPr>
        <w:t>гг</w:t>
      </w:r>
      <w:r w:rsidRPr="00D51650">
        <w:rPr>
          <w:color w:val="000000"/>
          <w:sz w:val="28"/>
          <w:szCs w:val="28"/>
        </w:rPr>
        <w:t>. Инвесторы не только резко изменили свое отношение к перспективам получения высоких доходов этими фирмами, но и увидели для себя большие риски инвестирования в более спекулятивную отрасль наукоемкой продукции. Эта фундаментальная переоценка экономической значимости фирм, производящих информационные и телекоммуникационные технологии, привела к быстрому сворачиванию экономической активности этого сектора экономики и прекращению общего инвестиционного бума</w:t>
      </w:r>
      <w:r w:rsidR="00D51650">
        <w:rPr>
          <w:color w:val="000000"/>
          <w:sz w:val="28"/>
          <w:szCs w:val="28"/>
        </w:rPr>
        <w:t>»</w:t>
      </w:r>
      <w:r w:rsidR="00D51650" w:rsidRPr="00D51650">
        <w:rPr>
          <w:color w:val="000000"/>
          <w:sz w:val="28"/>
          <w:szCs w:val="28"/>
        </w:rPr>
        <w:t>.</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Как отмечают исследователи, из венчурных компаний и корпораций, созданных в период расцвета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w:t>
      </w:r>
      <w:r w:rsidRPr="00D51650">
        <w:rPr>
          <w:color w:val="000000"/>
          <w:sz w:val="28"/>
          <w:szCs w:val="28"/>
        </w:rPr>
        <w:t xml:space="preserve"> выжило не более 5</w:t>
      </w:r>
      <w:r w:rsidR="00D51650" w:rsidRPr="00D51650">
        <w:rPr>
          <w:color w:val="000000"/>
          <w:sz w:val="28"/>
          <w:szCs w:val="28"/>
        </w:rPr>
        <w:t>0</w:t>
      </w:r>
      <w:r w:rsidR="00D51650">
        <w:rPr>
          <w:color w:val="000000"/>
          <w:sz w:val="28"/>
          <w:szCs w:val="28"/>
        </w:rPr>
        <w:t>%</w:t>
      </w:r>
      <w:r w:rsidRPr="00D51650">
        <w:rPr>
          <w:color w:val="000000"/>
          <w:sz w:val="28"/>
          <w:szCs w:val="28"/>
        </w:rPr>
        <w:t>, да и то только благодаря тому, что они нашли другие ниши на рынке, как правило, не имеющие отношения к наукоемким технологиям, а также перенесли свою производственную и сбытовую деятельность в другие страны.</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Так закончился период беспрецедентного экономического роста в США, который впоследствии был охарактеризован следующим образом: </w:t>
      </w:r>
      <w:r w:rsidR="00D51650">
        <w:rPr>
          <w:color w:val="000000"/>
          <w:sz w:val="28"/>
          <w:szCs w:val="28"/>
        </w:rPr>
        <w:t>«</w:t>
      </w:r>
      <w:r w:rsidR="00D51650" w:rsidRPr="00D51650">
        <w:rPr>
          <w:color w:val="000000"/>
          <w:sz w:val="28"/>
          <w:szCs w:val="28"/>
        </w:rPr>
        <w:t>с</w:t>
      </w:r>
      <w:r w:rsidRPr="00D51650">
        <w:rPr>
          <w:color w:val="000000"/>
          <w:sz w:val="28"/>
          <w:szCs w:val="28"/>
        </w:rPr>
        <w:t>тремительное повышение цен на акции, недвижимость и другие активы, низкая инфляция, сокращение безработицы, рост производительности, сильный доллар, низкие тарифы, готовность выступать в роли всемирного антикризисного управляющего и, самое главное, значительный запланированный профицит бюджета</w:t>
      </w:r>
      <w:r w:rsidR="00D51650">
        <w:rPr>
          <w:color w:val="000000"/>
          <w:sz w:val="28"/>
          <w:szCs w:val="28"/>
        </w:rPr>
        <w:t>»</w:t>
      </w:r>
      <w:r w:rsidR="00D51650" w:rsidRPr="00D51650">
        <w:rPr>
          <w:color w:val="000000"/>
          <w:sz w:val="28"/>
          <w:szCs w:val="28"/>
        </w:rPr>
        <w:t>.</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После вывода денежных средств из сферы обращения фиктивного капитала спекулянты и рядовые инвесторы сфокусировали свое внимание на рынке недвижимости, и постепенно на нем возобладал </w:t>
      </w:r>
      <w:r w:rsidR="00D51650">
        <w:rPr>
          <w:color w:val="000000"/>
          <w:sz w:val="28"/>
          <w:szCs w:val="28"/>
        </w:rPr>
        <w:t>«</w:t>
      </w:r>
      <w:r w:rsidR="00D51650" w:rsidRPr="00D51650">
        <w:rPr>
          <w:color w:val="000000"/>
          <w:sz w:val="28"/>
          <w:szCs w:val="28"/>
        </w:rPr>
        <w:t>и</w:t>
      </w:r>
      <w:r w:rsidRPr="00D51650">
        <w:rPr>
          <w:color w:val="000000"/>
          <w:sz w:val="28"/>
          <w:szCs w:val="28"/>
        </w:rPr>
        <w:t>ррациональный оптимизм</w:t>
      </w:r>
      <w:r w:rsidR="00D51650">
        <w:rPr>
          <w:color w:val="000000"/>
          <w:sz w:val="28"/>
          <w:szCs w:val="28"/>
        </w:rPr>
        <w:t>»</w:t>
      </w:r>
      <w:r w:rsidR="00D51650" w:rsidRPr="00D51650">
        <w:rPr>
          <w:color w:val="000000"/>
          <w:sz w:val="28"/>
          <w:szCs w:val="28"/>
        </w:rPr>
        <w:t>.</w:t>
      </w:r>
      <w:r w:rsidRPr="00D51650">
        <w:rPr>
          <w:color w:val="000000"/>
          <w:sz w:val="28"/>
          <w:szCs w:val="28"/>
        </w:rPr>
        <w:t xml:space="preserve"> За период с 2001 по 2007</w:t>
      </w:r>
      <w:r w:rsidR="00D51650">
        <w:rPr>
          <w:color w:val="000000"/>
          <w:sz w:val="28"/>
          <w:szCs w:val="28"/>
        </w:rPr>
        <w:t> </w:t>
      </w:r>
      <w:r w:rsidR="00D51650" w:rsidRPr="00D51650">
        <w:rPr>
          <w:color w:val="000000"/>
          <w:sz w:val="28"/>
          <w:szCs w:val="28"/>
        </w:rPr>
        <w:t>г</w:t>
      </w:r>
      <w:r w:rsidRPr="00D51650">
        <w:rPr>
          <w:color w:val="000000"/>
          <w:sz w:val="28"/>
          <w:szCs w:val="28"/>
        </w:rPr>
        <w:t>. жилая недвижимость в США выросла в цене на 77,</w:t>
      </w:r>
      <w:r w:rsidR="00D51650" w:rsidRPr="00D51650">
        <w:rPr>
          <w:color w:val="000000"/>
          <w:sz w:val="28"/>
          <w:szCs w:val="28"/>
        </w:rPr>
        <w:t>4</w:t>
      </w:r>
      <w:r w:rsidR="00D51650">
        <w:rPr>
          <w:color w:val="000000"/>
          <w:sz w:val="28"/>
          <w:szCs w:val="28"/>
        </w:rPr>
        <w:t>%</w:t>
      </w:r>
      <w:r w:rsidRPr="00D51650">
        <w:rPr>
          <w:color w:val="000000"/>
          <w:sz w:val="28"/>
          <w:szCs w:val="28"/>
        </w:rPr>
        <w:t xml:space="preserve">, и на американском рынке недвижимости сформировался </w:t>
      </w:r>
      <w:r w:rsidR="00D51650">
        <w:rPr>
          <w:color w:val="000000"/>
          <w:sz w:val="28"/>
          <w:szCs w:val="28"/>
        </w:rPr>
        <w:t>«</w:t>
      </w:r>
      <w:r w:rsidR="00D51650" w:rsidRPr="00D51650">
        <w:rPr>
          <w:color w:val="000000"/>
          <w:sz w:val="28"/>
          <w:szCs w:val="28"/>
        </w:rPr>
        <w:t>п</w:t>
      </w:r>
      <w:r w:rsidRPr="00D51650">
        <w:rPr>
          <w:color w:val="000000"/>
          <w:sz w:val="28"/>
          <w:szCs w:val="28"/>
        </w:rPr>
        <w:t>узырь</w:t>
      </w:r>
      <w:r w:rsidR="00D51650">
        <w:rPr>
          <w:color w:val="000000"/>
          <w:sz w:val="28"/>
          <w:szCs w:val="28"/>
        </w:rPr>
        <w:t>»</w:t>
      </w:r>
      <w:r w:rsidR="00D51650" w:rsidRPr="00D51650">
        <w:rPr>
          <w:color w:val="000000"/>
          <w:sz w:val="28"/>
          <w:szCs w:val="28"/>
        </w:rPr>
        <w:t>,</w:t>
      </w:r>
      <w:r w:rsidRPr="00D51650">
        <w:rPr>
          <w:color w:val="000000"/>
          <w:sz w:val="28"/>
          <w:szCs w:val="28"/>
        </w:rPr>
        <w:t xml:space="preserve"> который рано или поздно должен был лопнуть.</w:t>
      </w:r>
    </w:p>
    <w:p w:rsidR="00D15C3F" w:rsidRDefault="00D15C3F" w:rsidP="00D51650">
      <w:pPr>
        <w:spacing w:line="360" w:lineRule="auto"/>
        <w:ind w:firstLine="709"/>
        <w:jc w:val="both"/>
        <w:rPr>
          <w:color w:val="000000"/>
          <w:sz w:val="28"/>
          <w:szCs w:val="28"/>
        </w:rPr>
      </w:pPr>
    </w:p>
    <w:p w:rsidR="00D15C3F" w:rsidRDefault="00D15C3F" w:rsidP="00D51650">
      <w:pPr>
        <w:spacing w:line="360" w:lineRule="auto"/>
        <w:ind w:firstLine="709"/>
        <w:jc w:val="both"/>
        <w:rPr>
          <w:color w:val="000000"/>
          <w:sz w:val="28"/>
          <w:szCs w:val="28"/>
        </w:rPr>
      </w:pPr>
    </w:p>
    <w:p w:rsidR="00816C65" w:rsidRPr="00D51650" w:rsidRDefault="00816C65" w:rsidP="00D15C3F">
      <w:pPr>
        <w:spacing w:line="360" w:lineRule="auto"/>
        <w:ind w:firstLine="709"/>
        <w:jc w:val="both"/>
        <w:rPr>
          <w:b/>
          <w:color w:val="000000"/>
          <w:sz w:val="28"/>
          <w:szCs w:val="28"/>
        </w:rPr>
      </w:pPr>
      <w:r w:rsidRPr="00D51650">
        <w:rPr>
          <w:color w:val="000000"/>
          <w:sz w:val="28"/>
          <w:szCs w:val="28"/>
        </w:rPr>
        <w:br w:type="page"/>
      </w:r>
      <w:r w:rsidR="00D15C3F" w:rsidRPr="00D51650">
        <w:rPr>
          <w:b/>
          <w:color w:val="000000"/>
          <w:sz w:val="28"/>
          <w:szCs w:val="28"/>
        </w:rPr>
        <w:t>Выводы</w:t>
      </w:r>
    </w:p>
    <w:p w:rsidR="00816C65" w:rsidRPr="00D51650" w:rsidRDefault="00816C65" w:rsidP="00D51650">
      <w:pPr>
        <w:autoSpaceDE w:val="0"/>
        <w:autoSpaceDN w:val="0"/>
        <w:adjustRightInd w:val="0"/>
        <w:spacing w:line="360" w:lineRule="auto"/>
        <w:ind w:firstLine="709"/>
        <w:jc w:val="both"/>
        <w:rPr>
          <w:color w:val="000000"/>
          <w:sz w:val="28"/>
          <w:szCs w:val="28"/>
        </w:rPr>
      </w:pP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Обобщая результаты исследования, необходимо отметить, что стремительный рост курсовой стоимости акций американских корпораций во второй половине 90</w:t>
      </w:r>
      <w:r w:rsidR="00D51650">
        <w:rPr>
          <w:color w:val="000000"/>
          <w:sz w:val="28"/>
          <w:szCs w:val="28"/>
        </w:rPr>
        <w:t>-</w:t>
      </w:r>
      <w:r w:rsidR="00D51650" w:rsidRPr="00D51650">
        <w:rPr>
          <w:color w:val="000000"/>
          <w:sz w:val="28"/>
          <w:szCs w:val="28"/>
        </w:rPr>
        <w:t>х</w:t>
      </w:r>
      <w:r w:rsidRPr="00D51650">
        <w:rPr>
          <w:color w:val="000000"/>
          <w:sz w:val="28"/>
          <w:szCs w:val="28"/>
        </w:rPr>
        <w:t xml:space="preserve"> годов XX</w:t>
      </w:r>
      <w:r w:rsidR="00D51650">
        <w:rPr>
          <w:color w:val="000000"/>
          <w:sz w:val="28"/>
          <w:szCs w:val="28"/>
        </w:rPr>
        <w:t> </w:t>
      </w:r>
      <w:r w:rsidR="00D51650" w:rsidRPr="00D51650">
        <w:rPr>
          <w:color w:val="000000"/>
          <w:sz w:val="28"/>
          <w:szCs w:val="28"/>
        </w:rPr>
        <w:t>в</w:t>
      </w:r>
      <w:r w:rsidRPr="00D51650">
        <w:rPr>
          <w:color w:val="000000"/>
          <w:sz w:val="28"/>
          <w:szCs w:val="28"/>
        </w:rPr>
        <w:t xml:space="preserve">. имел под собой как материальную, так и нематериальную основу. Составными частями последней являлись массированная обработка сознания инвесторов со стороны идеологов </w:t>
      </w:r>
      <w:r w:rsidR="00D51650">
        <w:rPr>
          <w:color w:val="000000"/>
          <w:sz w:val="28"/>
          <w:szCs w:val="28"/>
        </w:rPr>
        <w:t>«</w:t>
      </w:r>
      <w:r w:rsidR="00D51650" w:rsidRPr="00D51650">
        <w:rPr>
          <w:color w:val="000000"/>
          <w:sz w:val="28"/>
          <w:szCs w:val="28"/>
        </w:rPr>
        <w:t>н</w:t>
      </w:r>
      <w:r w:rsidRPr="00D51650">
        <w:rPr>
          <w:color w:val="000000"/>
          <w:sz w:val="28"/>
          <w:szCs w:val="28"/>
        </w:rPr>
        <w:t>овой экономики</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и масштабная фальсификация финансовой отчетности корпораций. После того, как под воздействием разнообразных факторов произошло сдувание </w:t>
      </w:r>
      <w:r w:rsidR="00D51650">
        <w:rPr>
          <w:color w:val="000000"/>
          <w:sz w:val="28"/>
          <w:szCs w:val="28"/>
        </w:rPr>
        <w:t>«</w:t>
      </w:r>
      <w:r w:rsidR="00D51650" w:rsidRPr="00D51650">
        <w:rPr>
          <w:color w:val="000000"/>
          <w:sz w:val="28"/>
          <w:szCs w:val="28"/>
        </w:rPr>
        <w:t>м</w:t>
      </w:r>
      <w:r w:rsidRPr="00D51650">
        <w:rPr>
          <w:color w:val="000000"/>
          <w:sz w:val="28"/>
          <w:szCs w:val="28"/>
        </w:rPr>
        <w:t>ыльного пузыря</w:t>
      </w:r>
      <w:r w:rsidR="00D51650">
        <w:rPr>
          <w:color w:val="000000"/>
          <w:sz w:val="28"/>
          <w:szCs w:val="28"/>
        </w:rPr>
        <w:t>»</w:t>
      </w:r>
      <w:r w:rsidR="00D51650" w:rsidRPr="00D51650">
        <w:rPr>
          <w:color w:val="000000"/>
          <w:sz w:val="28"/>
          <w:szCs w:val="28"/>
        </w:rPr>
        <w:t>,</w:t>
      </w:r>
      <w:r w:rsidRPr="00D51650">
        <w:rPr>
          <w:color w:val="000000"/>
          <w:sz w:val="28"/>
          <w:szCs w:val="28"/>
        </w:rPr>
        <w:t xml:space="preserve"> образовавшегося на фондовом рынке США в конце 90</w:t>
      </w:r>
      <w:r w:rsidR="00D51650">
        <w:rPr>
          <w:color w:val="000000"/>
          <w:sz w:val="28"/>
          <w:szCs w:val="28"/>
        </w:rPr>
        <w:t>-</w:t>
      </w:r>
      <w:r w:rsidR="00D51650" w:rsidRPr="00D51650">
        <w:rPr>
          <w:color w:val="000000"/>
          <w:sz w:val="28"/>
          <w:szCs w:val="28"/>
        </w:rPr>
        <w:t>х</w:t>
      </w:r>
      <w:r w:rsidRPr="00D51650">
        <w:rPr>
          <w:color w:val="000000"/>
          <w:sz w:val="28"/>
          <w:szCs w:val="28"/>
        </w:rPr>
        <w:t xml:space="preserve"> годов, акции высокотехнологичных компаний потеряли свыше 2/3 своей рыночной стоимости. Причем рынок акций компаний, олицетворявших </w:t>
      </w:r>
      <w:r w:rsidR="00D51650">
        <w:rPr>
          <w:color w:val="000000"/>
          <w:sz w:val="28"/>
          <w:szCs w:val="28"/>
        </w:rPr>
        <w:t>«</w:t>
      </w:r>
      <w:r w:rsidR="00D51650" w:rsidRPr="00D51650">
        <w:rPr>
          <w:color w:val="000000"/>
          <w:sz w:val="28"/>
          <w:szCs w:val="28"/>
        </w:rPr>
        <w:t>н</w:t>
      </w:r>
      <w:r w:rsidRPr="00D51650">
        <w:rPr>
          <w:color w:val="000000"/>
          <w:sz w:val="28"/>
          <w:szCs w:val="28"/>
        </w:rPr>
        <w:t>овую экономику</w:t>
      </w:r>
      <w:r w:rsidR="00D51650">
        <w:rPr>
          <w:color w:val="000000"/>
          <w:sz w:val="28"/>
          <w:szCs w:val="28"/>
        </w:rPr>
        <w:t>»</w:t>
      </w:r>
      <w:r w:rsidR="00D51650" w:rsidRPr="00D51650">
        <w:rPr>
          <w:color w:val="000000"/>
          <w:sz w:val="28"/>
          <w:szCs w:val="28"/>
        </w:rPr>
        <w:t>,</w:t>
      </w:r>
      <w:r w:rsidRPr="00D51650">
        <w:rPr>
          <w:color w:val="000000"/>
          <w:sz w:val="28"/>
          <w:szCs w:val="28"/>
        </w:rPr>
        <w:t xml:space="preserve"> не восстановился и до настоящего времени.</w:t>
      </w:r>
    </w:p>
    <w:p w:rsidR="00816C65" w:rsidRPr="00D51650" w:rsidRDefault="00816C65" w:rsidP="00D51650">
      <w:pPr>
        <w:spacing w:line="360" w:lineRule="auto"/>
        <w:ind w:firstLine="709"/>
        <w:jc w:val="both"/>
        <w:rPr>
          <w:color w:val="000000"/>
          <w:sz w:val="28"/>
          <w:szCs w:val="28"/>
        </w:rPr>
      </w:pPr>
      <w:r w:rsidRPr="00D51650">
        <w:rPr>
          <w:color w:val="000000"/>
          <w:sz w:val="28"/>
          <w:szCs w:val="28"/>
        </w:rPr>
        <w:t xml:space="preserve">Выражение, которое впоследствии стало нарицательным, а в первый и последний раз было использовано </w:t>
      </w:r>
      <w:r w:rsidR="00D51650" w:rsidRPr="00D51650">
        <w:rPr>
          <w:color w:val="000000"/>
          <w:sz w:val="28"/>
          <w:szCs w:val="28"/>
        </w:rPr>
        <w:t>А.</w:t>
      </w:r>
      <w:r w:rsidR="00D51650">
        <w:rPr>
          <w:color w:val="000000"/>
          <w:sz w:val="28"/>
          <w:szCs w:val="28"/>
        </w:rPr>
        <w:t> </w:t>
      </w:r>
      <w:r w:rsidR="00D51650" w:rsidRPr="00D51650">
        <w:rPr>
          <w:color w:val="000000"/>
          <w:sz w:val="28"/>
          <w:szCs w:val="28"/>
        </w:rPr>
        <w:t>Гринспеном</w:t>
      </w:r>
      <w:r w:rsidRPr="00D51650">
        <w:rPr>
          <w:color w:val="000000"/>
          <w:sz w:val="28"/>
          <w:szCs w:val="28"/>
        </w:rPr>
        <w:t xml:space="preserve"> 5 декабря 1996</w:t>
      </w:r>
      <w:r w:rsidR="00D51650">
        <w:rPr>
          <w:color w:val="000000"/>
          <w:sz w:val="28"/>
          <w:szCs w:val="28"/>
        </w:rPr>
        <w:t> </w:t>
      </w:r>
      <w:r w:rsidR="00D51650" w:rsidRPr="00D51650">
        <w:rPr>
          <w:color w:val="000000"/>
          <w:sz w:val="28"/>
          <w:szCs w:val="28"/>
        </w:rPr>
        <w:t>г</w:t>
      </w:r>
      <w:r w:rsidRPr="00D51650">
        <w:rPr>
          <w:color w:val="000000"/>
          <w:sz w:val="28"/>
          <w:szCs w:val="28"/>
        </w:rPr>
        <w:t xml:space="preserve">. в докладе на конференции, организованной Американским предпринимательским институтом. Результатом тиражирования в СМИ фразы </w:t>
      </w:r>
      <w:r w:rsidR="00D51650" w:rsidRPr="00D51650">
        <w:rPr>
          <w:color w:val="000000"/>
          <w:sz w:val="28"/>
          <w:szCs w:val="28"/>
        </w:rPr>
        <w:t>А.</w:t>
      </w:r>
      <w:r w:rsidR="00D51650">
        <w:rPr>
          <w:color w:val="000000"/>
          <w:sz w:val="28"/>
          <w:szCs w:val="28"/>
        </w:rPr>
        <w:t> </w:t>
      </w:r>
      <w:r w:rsidR="00D51650" w:rsidRPr="00D51650">
        <w:rPr>
          <w:color w:val="000000"/>
          <w:sz w:val="28"/>
          <w:szCs w:val="28"/>
        </w:rPr>
        <w:t>Гринспена</w:t>
      </w:r>
      <w:r w:rsidRPr="00D51650">
        <w:rPr>
          <w:color w:val="000000"/>
          <w:sz w:val="28"/>
          <w:szCs w:val="28"/>
        </w:rPr>
        <w:t xml:space="preserve"> об </w:t>
      </w:r>
      <w:r w:rsidR="00D51650">
        <w:rPr>
          <w:color w:val="000000"/>
          <w:sz w:val="28"/>
          <w:szCs w:val="28"/>
        </w:rPr>
        <w:t>«</w:t>
      </w:r>
      <w:r w:rsidR="00D51650" w:rsidRPr="00D51650">
        <w:rPr>
          <w:color w:val="000000"/>
          <w:sz w:val="28"/>
          <w:szCs w:val="28"/>
        </w:rPr>
        <w:t>и</w:t>
      </w:r>
      <w:r w:rsidRPr="00D51650">
        <w:rPr>
          <w:color w:val="000000"/>
          <w:sz w:val="28"/>
          <w:szCs w:val="28"/>
        </w:rPr>
        <w:t>ррациональном оптимизме</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стала непродолжительная коррекция курсов акций на мировом фондовом рынке. По мнению </w:t>
      </w:r>
      <w:r w:rsidR="00D51650" w:rsidRPr="00D51650">
        <w:rPr>
          <w:color w:val="000000"/>
          <w:sz w:val="28"/>
          <w:szCs w:val="28"/>
        </w:rPr>
        <w:t>А.</w:t>
      </w:r>
      <w:r w:rsidR="00D51650">
        <w:rPr>
          <w:color w:val="000000"/>
          <w:sz w:val="28"/>
          <w:szCs w:val="28"/>
        </w:rPr>
        <w:t> </w:t>
      </w:r>
      <w:r w:rsidR="00D51650" w:rsidRPr="00D51650">
        <w:rPr>
          <w:color w:val="000000"/>
          <w:sz w:val="28"/>
          <w:szCs w:val="28"/>
        </w:rPr>
        <w:t>Гринспена</w:t>
      </w:r>
      <w:r w:rsidRPr="00D51650">
        <w:rPr>
          <w:color w:val="000000"/>
          <w:sz w:val="28"/>
          <w:szCs w:val="28"/>
        </w:rPr>
        <w:t xml:space="preserve">, синдром </w:t>
      </w:r>
      <w:r w:rsidR="00D51650">
        <w:rPr>
          <w:color w:val="000000"/>
          <w:sz w:val="28"/>
          <w:szCs w:val="28"/>
        </w:rPr>
        <w:t>«</w:t>
      </w:r>
      <w:r w:rsidR="00D51650" w:rsidRPr="00D51650">
        <w:rPr>
          <w:color w:val="000000"/>
          <w:sz w:val="28"/>
          <w:szCs w:val="28"/>
        </w:rPr>
        <w:t>и</w:t>
      </w:r>
      <w:r w:rsidRPr="00D51650">
        <w:rPr>
          <w:color w:val="000000"/>
          <w:sz w:val="28"/>
          <w:szCs w:val="28"/>
        </w:rPr>
        <w:t>ррационального оптимизма</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означает особое поведение инвесторов в эпоху экономического процветания, которое приводит к формированию разнообразных </w:t>
      </w:r>
      <w:r w:rsidR="00D51650">
        <w:rPr>
          <w:color w:val="000000"/>
          <w:sz w:val="28"/>
          <w:szCs w:val="28"/>
        </w:rPr>
        <w:t>«</w:t>
      </w:r>
      <w:r w:rsidR="00D51650" w:rsidRPr="00D51650">
        <w:rPr>
          <w:color w:val="000000"/>
          <w:sz w:val="28"/>
          <w:szCs w:val="28"/>
        </w:rPr>
        <w:t>п</w:t>
      </w:r>
      <w:r w:rsidRPr="00D51650">
        <w:rPr>
          <w:color w:val="000000"/>
          <w:sz w:val="28"/>
          <w:szCs w:val="28"/>
        </w:rPr>
        <w:t>узырей</w:t>
      </w:r>
      <w:r w:rsidR="00D51650">
        <w:rPr>
          <w:color w:val="000000"/>
          <w:sz w:val="28"/>
          <w:szCs w:val="28"/>
        </w:rPr>
        <w:t>»</w:t>
      </w:r>
      <w:r w:rsidR="00D51650" w:rsidRPr="00D51650">
        <w:rPr>
          <w:color w:val="000000"/>
          <w:sz w:val="28"/>
          <w:szCs w:val="28"/>
        </w:rPr>
        <w:t>.</w:t>
      </w:r>
    </w:p>
    <w:p w:rsidR="00816C65" w:rsidRPr="00D51650" w:rsidRDefault="00816C65" w:rsidP="00D51650">
      <w:pPr>
        <w:autoSpaceDE w:val="0"/>
        <w:autoSpaceDN w:val="0"/>
        <w:adjustRightInd w:val="0"/>
        <w:spacing w:line="360" w:lineRule="auto"/>
        <w:ind w:firstLine="709"/>
        <w:jc w:val="both"/>
        <w:rPr>
          <w:color w:val="000000"/>
          <w:sz w:val="28"/>
          <w:szCs w:val="28"/>
        </w:rPr>
      </w:pPr>
      <w:r w:rsidRPr="00D51650">
        <w:rPr>
          <w:color w:val="000000"/>
          <w:sz w:val="28"/>
          <w:szCs w:val="28"/>
        </w:rPr>
        <w:t xml:space="preserve">Политика низких процентных ставок, проводимая ФРС США с целью оживления американской экономики, всплеск роста цен на рынке недвижимости и приток на него </w:t>
      </w:r>
      <w:r w:rsidR="00D51650">
        <w:rPr>
          <w:color w:val="000000"/>
          <w:sz w:val="28"/>
          <w:szCs w:val="28"/>
        </w:rPr>
        <w:t>«</w:t>
      </w:r>
      <w:r w:rsidR="00D51650" w:rsidRPr="00D51650">
        <w:rPr>
          <w:color w:val="000000"/>
          <w:sz w:val="28"/>
          <w:szCs w:val="28"/>
        </w:rPr>
        <w:t>г</w:t>
      </w:r>
      <w:r w:rsidRPr="00D51650">
        <w:rPr>
          <w:color w:val="000000"/>
          <w:sz w:val="28"/>
          <w:szCs w:val="28"/>
        </w:rPr>
        <w:t>орячих</w:t>
      </w:r>
      <w:r w:rsidR="00D51650">
        <w:rPr>
          <w:color w:val="000000"/>
          <w:sz w:val="28"/>
          <w:szCs w:val="28"/>
        </w:rPr>
        <w:t>»</w:t>
      </w:r>
      <w:r w:rsidR="00D51650" w:rsidRPr="00D51650">
        <w:rPr>
          <w:color w:val="000000"/>
          <w:sz w:val="28"/>
          <w:szCs w:val="28"/>
        </w:rPr>
        <w:t xml:space="preserve"> </w:t>
      </w:r>
      <w:r w:rsidRPr="00D51650">
        <w:rPr>
          <w:color w:val="000000"/>
          <w:sz w:val="28"/>
          <w:szCs w:val="28"/>
        </w:rPr>
        <w:t>денег с фондового рынка, а также экспансия банков в сфере ипотечного кредитования создали предпосылки для ипотечного кризиса, который стал предвестником глобальной финансовой катастрофы.</w:t>
      </w:r>
    </w:p>
    <w:p w:rsidR="00816C65" w:rsidRPr="00D51650" w:rsidRDefault="00572BC6" w:rsidP="00D51650">
      <w:pPr>
        <w:spacing w:line="360" w:lineRule="auto"/>
        <w:ind w:firstLine="709"/>
        <w:jc w:val="both"/>
        <w:rPr>
          <w:b/>
          <w:color w:val="000000"/>
          <w:sz w:val="28"/>
          <w:szCs w:val="28"/>
        </w:rPr>
      </w:pPr>
      <w:r>
        <w:rPr>
          <w:color w:val="000000"/>
          <w:sz w:val="28"/>
          <w:szCs w:val="28"/>
        </w:rPr>
        <w:br w:type="page"/>
      </w:r>
      <w:r w:rsidRPr="00D51650">
        <w:rPr>
          <w:b/>
          <w:color w:val="000000"/>
          <w:sz w:val="28"/>
          <w:szCs w:val="28"/>
        </w:rPr>
        <w:t>Список источников</w:t>
      </w:r>
    </w:p>
    <w:p w:rsidR="00816C65" w:rsidRPr="00D51650" w:rsidRDefault="00816C65" w:rsidP="00D51650">
      <w:pPr>
        <w:spacing w:line="360" w:lineRule="auto"/>
        <w:ind w:firstLine="709"/>
        <w:jc w:val="both"/>
        <w:rPr>
          <w:color w:val="000000"/>
          <w:sz w:val="28"/>
          <w:szCs w:val="28"/>
        </w:rPr>
      </w:pP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color w:val="000000"/>
          <w:sz w:val="28"/>
          <w:szCs w:val="28"/>
        </w:rPr>
        <w:t>Стиглиц Дж. Ревущие девяностые. Семена развала.</w:t>
      </w:r>
      <w:r w:rsidR="00D51650">
        <w:rPr>
          <w:color w:val="000000"/>
          <w:sz w:val="28"/>
          <w:szCs w:val="28"/>
        </w:rPr>
        <w:t xml:space="preserve"> – </w:t>
      </w:r>
      <w:r w:rsidRPr="00D51650">
        <w:rPr>
          <w:color w:val="000000"/>
          <w:sz w:val="28"/>
          <w:szCs w:val="28"/>
        </w:rPr>
        <w:t xml:space="preserve">М., </w:t>
      </w:r>
      <w:r w:rsidR="00D51650">
        <w:rPr>
          <w:color w:val="000000"/>
          <w:sz w:val="28"/>
          <w:szCs w:val="28"/>
        </w:rPr>
        <w:t>«</w:t>
      </w:r>
      <w:r w:rsidR="00D51650" w:rsidRPr="00D51650">
        <w:rPr>
          <w:color w:val="000000"/>
          <w:sz w:val="28"/>
          <w:szCs w:val="28"/>
        </w:rPr>
        <w:t>С</w:t>
      </w:r>
      <w:r w:rsidRPr="00D51650">
        <w:rPr>
          <w:color w:val="000000"/>
          <w:sz w:val="28"/>
          <w:szCs w:val="28"/>
        </w:rPr>
        <w:t>овременная экономика и право</w:t>
      </w:r>
      <w:r w:rsidR="00D51650">
        <w:rPr>
          <w:color w:val="000000"/>
          <w:sz w:val="28"/>
          <w:szCs w:val="28"/>
        </w:rPr>
        <w:t>»</w:t>
      </w:r>
      <w:r w:rsidR="00D51650" w:rsidRPr="00D51650">
        <w:rPr>
          <w:color w:val="000000"/>
          <w:sz w:val="28"/>
          <w:szCs w:val="28"/>
        </w:rPr>
        <w:t>,</w:t>
      </w:r>
      <w:r w:rsidRPr="00D51650">
        <w:rPr>
          <w:color w:val="000000"/>
          <w:sz w:val="28"/>
          <w:szCs w:val="28"/>
        </w:rPr>
        <w:t xml:space="preserve"> 2005, с.</w:t>
      </w:r>
      <w:r w:rsidR="00D51650">
        <w:rPr>
          <w:color w:val="000000"/>
          <w:sz w:val="28"/>
          <w:szCs w:val="28"/>
        </w:rPr>
        <w:t> </w:t>
      </w:r>
      <w:r w:rsidR="00D51650" w:rsidRPr="00D51650">
        <w:rPr>
          <w:color w:val="000000"/>
          <w:sz w:val="28"/>
          <w:szCs w:val="28"/>
        </w:rPr>
        <w:t>47</w:t>
      </w:r>
      <w:r w:rsidRPr="00D51650">
        <w:rPr>
          <w:color w:val="000000"/>
          <w:sz w:val="28"/>
          <w:szCs w:val="28"/>
        </w:rPr>
        <w:t>.</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color w:val="000000"/>
          <w:sz w:val="28"/>
          <w:szCs w:val="28"/>
        </w:rPr>
        <w:t xml:space="preserve">Маэстро бума. Уроки Японии. </w:t>
      </w:r>
      <w:r w:rsidR="00D51650">
        <w:rPr>
          <w:color w:val="000000"/>
          <w:sz w:val="28"/>
          <w:szCs w:val="28"/>
        </w:rPr>
        <w:t>–</w:t>
      </w:r>
      <w:r w:rsidR="00D51650" w:rsidRPr="00D51650">
        <w:rPr>
          <w:color w:val="000000"/>
          <w:sz w:val="28"/>
          <w:szCs w:val="28"/>
        </w:rPr>
        <w:t xml:space="preserve"> </w:t>
      </w:r>
      <w:r w:rsidRPr="00D51650">
        <w:rPr>
          <w:color w:val="000000"/>
          <w:sz w:val="28"/>
          <w:szCs w:val="28"/>
        </w:rPr>
        <w:t xml:space="preserve">Челябинск, </w:t>
      </w:r>
      <w:r w:rsidR="00D51650">
        <w:rPr>
          <w:color w:val="000000"/>
          <w:sz w:val="28"/>
          <w:szCs w:val="28"/>
        </w:rPr>
        <w:t>«</w:t>
      </w:r>
      <w:r w:rsidR="00D51650" w:rsidRPr="00D51650">
        <w:rPr>
          <w:color w:val="000000"/>
          <w:sz w:val="28"/>
          <w:szCs w:val="28"/>
        </w:rPr>
        <w:t>С</w:t>
      </w:r>
      <w:r w:rsidRPr="00D51650">
        <w:rPr>
          <w:color w:val="000000"/>
          <w:sz w:val="28"/>
          <w:szCs w:val="28"/>
        </w:rPr>
        <w:t>оциум</w:t>
      </w:r>
      <w:r w:rsidR="00D51650">
        <w:rPr>
          <w:color w:val="000000"/>
          <w:sz w:val="28"/>
          <w:szCs w:val="28"/>
        </w:rPr>
        <w:t>»</w:t>
      </w:r>
      <w:r w:rsidR="00D51650" w:rsidRPr="00D51650">
        <w:rPr>
          <w:color w:val="000000"/>
          <w:sz w:val="28"/>
          <w:szCs w:val="28"/>
        </w:rPr>
        <w:t>,</w:t>
      </w:r>
      <w:r w:rsidRPr="00D51650">
        <w:rPr>
          <w:color w:val="000000"/>
          <w:sz w:val="28"/>
          <w:szCs w:val="28"/>
        </w:rPr>
        <w:t xml:space="preserve"> 2005, с.</w:t>
      </w:r>
      <w:r w:rsidR="00D51650">
        <w:rPr>
          <w:color w:val="000000"/>
          <w:sz w:val="28"/>
          <w:szCs w:val="28"/>
        </w:rPr>
        <w:t> </w:t>
      </w:r>
      <w:r w:rsidR="00D51650" w:rsidRPr="00D51650">
        <w:rPr>
          <w:color w:val="000000"/>
          <w:sz w:val="28"/>
          <w:szCs w:val="28"/>
        </w:rPr>
        <w:t>199</w:t>
      </w:r>
      <w:r w:rsidRPr="00D51650">
        <w:rPr>
          <w:color w:val="000000"/>
          <w:sz w:val="28"/>
          <w:szCs w:val="28"/>
        </w:rPr>
        <w:t>.</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color w:val="000000"/>
          <w:sz w:val="28"/>
          <w:szCs w:val="28"/>
        </w:rPr>
        <w:t xml:space="preserve">Иноземцев В. Переосмысливая грядущее. Крупнейшие американские ученые о современном развитии. </w:t>
      </w:r>
      <w:r w:rsidR="00D51650">
        <w:rPr>
          <w:color w:val="000000"/>
          <w:sz w:val="28"/>
          <w:szCs w:val="28"/>
        </w:rPr>
        <w:t>– «</w:t>
      </w:r>
      <w:r w:rsidR="00D51650" w:rsidRPr="00D51650">
        <w:rPr>
          <w:color w:val="000000"/>
          <w:sz w:val="28"/>
          <w:szCs w:val="28"/>
        </w:rPr>
        <w:t>М</w:t>
      </w:r>
      <w:r w:rsidRPr="00D51650">
        <w:rPr>
          <w:color w:val="000000"/>
          <w:sz w:val="28"/>
          <w:szCs w:val="28"/>
        </w:rPr>
        <w:t>ировая экономика и международные отношения</w:t>
      </w:r>
      <w:r w:rsidR="00D51650">
        <w:rPr>
          <w:color w:val="000000"/>
          <w:sz w:val="28"/>
          <w:szCs w:val="28"/>
        </w:rPr>
        <w:t>»</w:t>
      </w:r>
      <w:r w:rsidR="00D51650" w:rsidRPr="00D51650">
        <w:rPr>
          <w:color w:val="000000"/>
          <w:sz w:val="28"/>
          <w:szCs w:val="28"/>
        </w:rPr>
        <w:t xml:space="preserve"> </w:t>
      </w:r>
      <w:r w:rsidR="00D51650">
        <w:rPr>
          <w:color w:val="000000"/>
          <w:sz w:val="28"/>
          <w:szCs w:val="28"/>
        </w:rPr>
        <w:t>№</w:t>
      </w:r>
      <w:r w:rsidR="00D51650" w:rsidRPr="00D51650">
        <w:rPr>
          <w:color w:val="000000"/>
          <w:sz w:val="28"/>
          <w:szCs w:val="28"/>
        </w:rPr>
        <w:t>1</w:t>
      </w:r>
      <w:r w:rsidRPr="00D51650">
        <w:rPr>
          <w:color w:val="000000"/>
          <w:sz w:val="28"/>
          <w:szCs w:val="28"/>
        </w:rPr>
        <w:t>1,1998</w:t>
      </w:r>
      <w:r w:rsidR="00D51650" w:rsidRPr="00D51650">
        <w:rPr>
          <w:color w:val="000000"/>
          <w:sz w:val="28"/>
          <w:szCs w:val="28"/>
        </w:rPr>
        <w:t>,</w:t>
      </w:r>
      <w:r w:rsidR="00D51650">
        <w:rPr>
          <w:color w:val="000000"/>
          <w:sz w:val="28"/>
          <w:szCs w:val="28"/>
        </w:rPr>
        <w:t xml:space="preserve"> </w:t>
      </w:r>
      <w:r w:rsidR="00D51650" w:rsidRPr="00D51650">
        <w:rPr>
          <w:color w:val="000000"/>
          <w:sz w:val="28"/>
          <w:szCs w:val="28"/>
        </w:rPr>
        <w:t>с</w:t>
      </w:r>
      <w:r w:rsidRPr="00D51650">
        <w:rPr>
          <w:color w:val="000000"/>
          <w:sz w:val="28"/>
          <w:szCs w:val="28"/>
        </w:rPr>
        <w:t>.</w:t>
      </w:r>
      <w:r w:rsidR="00D51650">
        <w:rPr>
          <w:color w:val="000000"/>
          <w:sz w:val="28"/>
          <w:szCs w:val="28"/>
        </w:rPr>
        <w:t> </w:t>
      </w:r>
      <w:r w:rsidR="00D51650" w:rsidRPr="00D51650">
        <w:rPr>
          <w:color w:val="000000"/>
          <w:sz w:val="28"/>
          <w:szCs w:val="28"/>
        </w:rPr>
        <w:t>8</w:t>
      </w:r>
      <w:r w:rsidRPr="00D51650">
        <w:rPr>
          <w:color w:val="000000"/>
          <w:sz w:val="28"/>
          <w:szCs w:val="28"/>
        </w:rPr>
        <w:t>.</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bCs/>
          <w:color w:val="000000"/>
          <w:sz w:val="28"/>
          <w:szCs w:val="28"/>
          <w:lang w:val="en-US"/>
        </w:rPr>
        <w:t>Edvinsson</w:t>
      </w:r>
      <w:r w:rsidRPr="00D51650">
        <w:rPr>
          <w:bCs/>
          <w:color w:val="000000"/>
          <w:sz w:val="28"/>
          <w:szCs w:val="28"/>
          <w:lang w:val="en-GB"/>
        </w:rPr>
        <w:t xml:space="preserve"> </w:t>
      </w:r>
      <w:r w:rsidRPr="00D51650">
        <w:rPr>
          <w:bCs/>
          <w:color w:val="000000"/>
          <w:sz w:val="28"/>
          <w:szCs w:val="28"/>
          <w:lang w:val="en-US"/>
        </w:rPr>
        <w:t>L</w:t>
      </w:r>
      <w:r w:rsidRPr="00D51650">
        <w:rPr>
          <w:bCs/>
          <w:color w:val="000000"/>
          <w:sz w:val="28"/>
          <w:szCs w:val="28"/>
          <w:lang w:val="en-GB"/>
        </w:rPr>
        <w:t xml:space="preserve">., </w:t>
      </w:r>
      <w:r w:rsidRPr="00D51650">
        <w:rPr>
          <w:bCs/>
          <w:color w:val="000000"/>
          <w:sz w:val="28"/>
          <w:szCs w:val="28"/>
          <w:lang w:val="en-US"/>
        </w:rPr>
        <w:t>Malone</w:t>
      </w:r>
      <w:r w:rsidRPr="00D51650">
        <w:rPr>
          <w:bCs/>
          <w:color w:val="000000"/>
          <w:sz w:val="28"/>
          <w:szCs w:val="28"/>
          <w:lang w:val="en-GB"/>
        </w:rPr>
        <w:t xml:space="preserve"> </w:t>
      </w:r>
      <w:r w:rsidRPr="00D51650">
        <w:rPr>
          <w:bCs/>
          <w:color w:val="000000"/>
          <w:sz w:val="28"/>
          <w:szCs w:val="28"/>
        </w:rPr>
        <w:t>М</w:t>
      </w:r>
      <w:r w:rsidRPr="00D51650">
        <w:rPr>
          <w:bCs/>
          <w:color w:val="000000"/>
          <w:sz w:val="28"/>
          <w:szCs w:val="28"/>
          <w:lang w:val="en-GB"/>
        </w:rPr>
        <w:t xml:space="preserve">. </w:t>
      </w:r>
      <w:r w:rsidRPr="00D51650">
        <w:rPr>
          <w:bCs/>
          <w:color w:val="000000"/>
          <w:sz w:val="28"/>
          <w:szCs w:val="28"/>
          <w:lang w:val="en-US"/>
        </w:rPr>
        <w:t>S</w:t>
      </w:r>
      <w:r w:rsidRPr="00D51650">
        <w:rPr>
          <w:bCs/>
          <w:color w:val="000000"/>
          <w:sz w:val="28"/>
          <w:szCs w:val="28"/>
          <w:lang w:val="en-GB"/>
        </w:rPr>
        <w:t xml:space="preserve">. </w:t>
      </w:r>
      <w:r w:rsidRPr="00D51650">
        <w:rPr>
          <w:bCs/>
          <w:color w:val="000000"/>
          <w:sz w:val="28"/>
          <w:szCs w:val="28"/>
          <w:lang w:val="en-US"/>
        </w:rPr>
        <w:t>Intellectual</w:t>
      </w:r>
      <w:r w:rsidRPr="00D51650">
        <w:rPr>
          <w:bCs/>
          <w:color w:val="000000"/>
          <w:sz w:val="28"/>
          <w:szCs w:val="28"/>
          <w:lang w:val="en-GB"/>
        </w:rPr>
        <w:t xml:space="preserve"> </w:t>
      </w:r>
      <w:r w:rsidRPr="00D51650">
        <w:rPr>
          <w:bCs/>
          <w:color w:val="000000"/>
          <w:sz w:val="28"/>
          <w:szCs w:val="28"/>
          <w:lang w:val="en-US"/>
        </w:rPr>
        <w:t>Capital</w:t>
      </w:r>
      <w:r w:rsidRPr="00D51650">
        <w:rPr>
          <w:bCs/>
          <w:color w:val="000000"/>
          <w:sz w:val="28"/>
          <w:szCs w:val="28"/>
          <w:lang w:val="en-GB"/>
        </w:rPr>
        <w:t xml:space="preserve">. </w:t>
      </w:r>
      <w:r w:rsidRPr="00D51650">
        <w:rPr>
          <w:bCs/>
          <w:color w:val="000000"/>
          <w:sz w:val="28"/>
          <w:szCs w:val="28"/>
          <w:lang w:val="en-US"/>
        </w:rPr>
        <w:t>Realizing Your Company's True Value by Finding Its Hidden Brainpower.</w:t>
      </w:r>
      <w:r w:rsidRPr="00D51650">
        <w:rPr>
          <w:bCs/>
          <w:color w:val="000000"/>
          <w:sz w:val="28"/>
          <w:szCs w:val="28"/>
          <w:lang w:val="en-GB"/>
        </w:rPr>
        <w:t xml:space="preserve"> </w:t>
      </w:r>
      <w:r w:rsidRPr="00D51650">
        <w:rPr>
          <w:bCs/>
          <w:color w:val="000000"/>
          <w:sz w:val="28"/>
          <w:szCs w:val="28"/>
        </w:rPr>
        <w:t xml:space="preserve">N. </w:t>
      </w:r>
      <w:r w:rsidRPr="00D51650">
        <w:rPr>
          <w:bCs/>
          <w:color w:val="000000"/>
          <w:sz w:val="28"/>
          <w:szCs w:val="28"/>
          <w:lang w:val="en-US"/>
        </w:rPr>
        <w:t>Y</w:t>
      </w:r>
      <w:r w:rsidRPr="00D51650">
        <w:rPr>
          <w:bCs/>
          <w:color w:val="000000"/>
          <w:sz w:val="28"/>
          <w:szCs w:val="28"/>
        </w:rPr>
        <w:t xml:space="preserve">, </w:t>
      </w:r>
      <w:r w:rsidR="00D51650">
        <w:rPr>
          <w:bCs/>
          <w:color w:val="000000"/>
          <w:sz w:val="28"/>
          <w:szCs w:val="28"/>
        </w:rPr>
        <w:t>«</w:t>
      </w:r>
      <w:r w:rsidR="00D51650" w:rsidRPr="00D51650">
        <w:rPr>
          <w:bCs/>
          <w:color w:val="000000"/>
          <w:sz w:val="28"/>
          <w:szCs w:val="28"/>
          <w:lang w:val="en-US"/>
        </w:rPr>
        <w:t>H</w:t>
      </w:r>
      <w:r w:rsidRPr="00D51650">
        <w:rPr>
          <w:bCs/>
          <w:color w:val="000000"/>
          <w:sz w:val="28"/>
          <w:szCs w:val="28"/>
          <w:lang w:val="en-US"/>
        </w:rPr>
        <w:t>arper</w:t>
      </w:r>
      <w:r w:rsidRPr="00D51650">
        <w:rPr>
          <w:bCs/>
          <w:color w:val="000000"/>
          <w:sz w:val="28"/>
          <w:szCs w:val="28"/>
        </w:rPr>
        <w:t xml:space="preserve"> </w:t>
      </w:r>
      <w:r w:rsidRPr="00D51650">
        <w:rPr>
          <w:bCs/>
          <w:color w:val="000000"/>
          <w:sz w:val="28"/>
          <w:szCs w:val="28"/>
          <w:lang w:val="en-US"/>
        </w:rPr>
        <w:t>Business</w:t>
      </w:r>
      <w:r w:rsidR="00D51650">
        <w:rPr>
          <w:bCs/>
          <w:color w:val="000000"/>
          <w:sz w:val="28"/>
          <w:szCs w:val="28"/>
        </w:rPr>
        <w:t>»</w:t>
      </w:r>
      <w:r w:rsidR="00D51650" w:rsidRPr="00D51650">
        <w:rPr>
          <w:bCs/>
          <w:color w:val="000000"/>
          <w:sz w:val="28"/>
          <w:szCs w:val="28"/>
        </w:rPr>
        <w:t>,</w:t>
      </w:r>
      <w:r w:rsidRPr="00D51650">
        <w:rPr>
          <w:bCs/>
          <w:color w:val="000000"/>
          <w:sz w:val="28"/>
          <w:szCs w:val="28"/>
        </w:rPr>
        <w:t xml:space="preserve"> 1997, </w:t>
      </w:r>
      <w:r w:rsidRPr="00D51650">
        <w:rPr>
          <w:bCs/>
          <w:color w:val="000000"/>
          <w:sz w:val="28"/>
          <w:szCs w:val="28"/>
          <w:lang w:val="en-US"/>
        </w:rPr>
        <w:t>p</w:t>
      </w:r>
      <w:r w:rsidRPr="00D51650">
        <w:rPr>
          <w:bCs/>
          <w:color w:val="000000"/>
          <w:sz w:val="28"/>
          <w:szCs w:val="28"/>
        </w:rPr>
        <w:t>. 22.</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rFonts w:eastAsia="Arial Unicode MS"/>
          <w:color w:val="000000"/>
          <w:sz w:val="28"/>
          <w:szCs w:val="28"/>
        </w:rPr>
        <w:t xml:space="preserve">Новая экономика: миф и реальность. </w:t>
      </w:r>
      <w:r w:rsidR="00D51650">
        <w:rPr>
          <w:rFonts w:eastAsia="Arial Unicode MS"/>
          <w:color w:val="000000"/>
          <w:sz w:val="28"/>
          <w:szCs w:val="28"/>
        </w:rPr>
        <w:t>«</w:t>
      </w:r>
      <w:r w:rsidR="00D51650" w:rsidRPr="00D51650">
        <w:rPr>
          <w:rFonts w:eastAsia="Arial Unicode MS"/>
          <w:color w:val="000000"/>
          <w:sz w:val="28"/>
          <w:szCs w:val="28"/>
        </w:rPr>
        <w:t>П</w:t>
      </w:r>
      <w:r w:rsidRPr="00D51650">
        <w:rPr>
          <w:rFonts w:eastAsia="Arial Unicode MS"/>
          <w:color w:val="000000"/>
          <w:sz w:val="28"/>
          <w:szCs w:val="28"/>
        </w:rPr>
        <w:t>роблемы теории и практики управления</w:t>
      </w:r>
      <w:r w:rsidR="00D51650">
        <w:rPr>
          <w:rFonts w:eastAsia="Arial Unicode MS"/>
          <w:color w:val="000000"/>
          <w:sz w:val="28"/>
          <w:szCs w:val="28"/>
        </w:rPr>
        <w:t>»</w:t>
      </w:r>
      <w:r w:rsidR="00D51650" w:rsidRPr="00D51650">
        <w:rPr>
          <w:rFonts w:eastAsia="Arial Unicode MS"/>
          <w:color w:val="000000"/>
          <w:sz w:val="28"/>
          <w:szCs w:val="28"/>
        </w:rPr>
        <w:t xml:space="preserve"> </w:t>
      </w:r>
      <w:r w:rsidR="00D51650">
        <w:rPr>
          <w:rFonts w:eastAsia="Arial Unicode MS"/>
          <w:color w:val="000000"/>
          <w:sz w:val="28"/>
          <w:szCs w:val="28"/>
        </w:rPr>
        <w:t>№</w:t>
      </w:r>
      <w:r w:rsidR="00D51650" w:rsidRPr="00D51650">
        <w:rPr>
          <w:rFonts w:eastAsia="Arial Unicode MS"/>
          <w:color w:val="000000"/>
          <w:sz w:val="28"/>
          <w:szCs w:val="28"/>
        </w:rPr>
        <w:t>6</w:t>
      </w:r>
      <w:r w:rsidRPr="00D51650">
        <w:rPr>
          <w:rFonts w:eastAsia="Arial Unicode MS"/>
          <w:color w:val="000000"/>
          <w:sz w:val="28"/>
          <w:szCs w:val="28"/>
        </w:rPr>
        <w:t>, 2001, с.</w:t>
      </w:r>
      <w:r w:rsidR="00D51650">
        <w:rPr>
          <w:rFonts w:eastAsia="Arial Unicode MS"/>
          <w:color w:val="000000"/>
          <w:sz w:val="28"/>
          <w:szCs w:val="28"/>
        </w:rPr>
        <w:t> </w:t>
      </w:r>
      <w:r w:rsidR="00D51650" w:rsidRPr="00D51650">
        <w:rPr>
          <w:rFonts w:eastAsia="Arial Unicode MS"/>
          <w:color w:val="000000"/>
          <w:sz w:val="28"/>
          <w:szCs w:val="28"/>
        </w:rPr>
        <w:t>19</w:t>
      </w:r>
      <w:r w:rsidRPr="00D51650">
        <w:rPr>
          <w:rFonts w:eastAsia="Arial Unicode MS"/>
          <w:color w:val="000000"/>
          <w:sz w:val="28"/>
          <w:szCs w:val="28"/>
        </w:rPr>
        <w:t>.</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rFonts w:eastAsia="Arial Unicode MS"/>
          <w:color w:val="000000"/>
          <w:sz w:val="28"/>
          <w:szCs w:val="28"/>
        </w:rPr>
        <w:t>Боннер У</w:t>
      </w:r>
      <w:r w:rsidR="00D51650" w:rsidRPr="00D51650">
        <w:rPr>
          <w:rFonts w:eastAsia="Arial Unicode MS"/>
          <w:color w:val="000000"/>
          <w:sz w:val="28"/>
          <w:szCs w:val="28"/>
        </w:rPr>
        <w:t>.</w:t>
      </w:r>
      <w:r w:rsidR="00D51650">
        <w:rPr>
          <w:rFonts w:eastAsia="Arial Unicode MS"/>
          <w:color w:val="000000"/>
          <w:sz w:val="28"/>
          <w:szCs w:val="28"/>
        </w:rPr>
        <w:t xml:space="preserve"> </w:t>
      </w:r>
      <w:r w:rsidR="00D51650" w:rsidRPr="00D51650">
        <w:rPr>
          <w:rFonts w:eastAsia="Arial Unicode MS"/>
          <w:color w:val="000000"/>
          <w:sz w:val="28"/>
          <w:szCs w:val="28"/>
        </w:rPr>
        <w:t>Уи</w:t>
      </w:r>
      <w:r w:rsidRPr="00D51650">
        <w:rPr>
          <w:rFonts w:eastAsia="Arial Unicode MS"/>
          <w:color w:val="000000"/>
          <w:sz w:val="28"/>
          <w:szCs w:val="28"/>
        </w:rPr>
        <w:t>ггин Э. Судный день американских финансов: мягкая депрессия XXI</w:t>
      </w:r>
      <w:r w:rsidR="00D51650">
        <w:rPr>
          <w:rFonts w:eastAsia="Arial Unicode MS"/>
          <w:color w:val="000000"/>
          <w:sz w:val="28"/>
          <w:szCs w:val="28"/>
        </w:rPr>
        <w:t> </w:t>
      </w:r>
      <w:r w:rsidR="00D51650" w:rsidRPr="00D51650">
        <w:rPr>
          <w:rFonts w:eastAsia="Arial Unicode MS"/>
          <w:color w:val="000000"/>
          <w:sz w:val="28"/>
          <w:szCs w:val="28"/>
        </w:rPr>
        <w:t>в</w:t>
      </w:r>
      <w:r w:rsidRPr="00D51650">
        <w:rPr>
          <w:rFonts w:eastAsia="Arial Unicode MS"/>
          <w:color w:val="000000"/>
          <w:sz w:val="28"/>
          <w:szCs w:val="28"/>
        </w:rPr>
        <w:t xml:space="preserve">. </w:t>
      </w:r>
      <w:r w:rsidR="00D51650">
        <w:rPr>
          <w:rFonts w:eastAsia="Arial Unicode MS"/>
          <w:color w:val="000000"/>
          <w:sz w:val="28"/>
          <w:szCs w:val="28"/>
        </w:rPr>
        <w:t xml:space="preserve">– </w:t>
      </w:r>
      <w:r w:rsidR="00D51650" w:rsidRPr="00D51650">
        <w:rPr>
          <w:rFonts w:eastAsia="Arial Unicode MS"/>
          <w:color w:val="000000"/>
          <w:sz w:val="28"/>
          <w:szCs w:val="28"/>
        </w:rPr>
        <w:t>Ч</w:t>
      </w:r>
      <w:r w:rsidRPr="00D51650">
        <w:rPr>
          <w:rFonts w:eastAsia="Arial Unicode MS"/>
          <w:color w:val="000000"/>
          <w:sz w:val="28"/>
          <w:szCs w:val="28"/>
        </w:rPr>
        <w:t xml:space="preserve">елябинск, </w:t>
      </w:r>
      <w:r w:rsidR="00D51650">
        <w:rPr>
          <w:rFonts w:eastAsia="Arial Unicode MS"/>
          <w:color w:val="000000"/>
          <w:sz w:val="28"/>
          <w:szCs w:val="28"/>
        </w:rPr>
        <w:t>«</w:t>
      </w:r>
      <w:r w:rsidR="00D51650" w:rsidRPr="00D51650">
        <w:rPr>
          <w:rFonts w:eastAsia="Arial Unicode MS"/>
          <w:color w:val="000000"/>
          <w:sz w:val="28"/>
          <w:szCs w:val="28"/>
        </w:rPr>
        <w:t>С</w:t>
      </w:r>
      <w:r w:rsidRPr="00D51650">
        <w:rPr>
          <w:rFonts w:eastAsia="Arial Unicode MS"/>
          <w:color w:val="000000"/>
          <w:sz w:val="28"/>
          <w:szCs w:val="28"/>
        </w:rPr>
        <w:t>оциум</w:t>
      </w:r>
      <w:r w:rsidR="00D51650">
        <w:rPr>
          <w:rFonts w:eastAsia="Arial Unicode MS"/>
          <w:color w:val="000000"/>
          <w:sz w:val="28"/>
          <w:szCs w:val="28"/>
        </w:rPr>
        <w:t>»</w:t>
      </w:r>
      <w:r w:rsidR="00D51650" w:rsidRPr="00D51650">
        <w:rPr>
          <w:rFonts w:eastAsia="Arial Unicode MS"/>
          <w:color w:val="000000"/>
          <w:sz w:val="28"/>
          <w:szCs w:val="28"/>
        </w:rPr>
        <w:t>,</w:t>
      </w:r>
      <w:r w:rsidRPr="00D51650">
        <w:rPr>
          <w:rFonts w:eastAsia="Arial Unicode MS"/>
          <w:color w:val="000000"/>
          <w:sz w:val="28"/>
          <w:szCs w:val="28"/>
        </w:rPr>
        <w:t xml:space="preserve"> 2005, с.</w:t>
      </w:r>
      <w:r w:rsidR="00D51650">
        <w:rPr>
          <w:rFonts w:eastAsia="Arial Unicode MS"/>
          <w:color w:val="000000"/>
          <w:sz w:val="28"/>
          <w:szCs w:val="28"/>
        </w:rPr>
        <w:t> </w:t>
      </w:r>
      <w:r w:rsidR="00D51650" w:rsidRPr="00D51650">
        <w:rPr>
          <w:rFonts w:eastAsia="Arial Unicode MS"/>
          <w:color w:val="000000"/>
          <w:sz w:val="28"/>
          <w:szCs w:val="28"/>
        </w:rPr>
        <w:t>12</w:t>
      </w:r>
      <w:r w:rsidRPr="00D51650">
        <w:rPr>
          <w:rFonts w:eastAsia="Arial Unicode MS"/>
          <w:color w:val="000000"/>
          <w:sz w:val="28"/>
          <w:szCs w:val="28"/>
        </w:rPr>
        <w:t>.</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rFonts w:eastAsia="Arial Unicode MS"/>
          <w:color w:val="000000"/>
          <w:sz w:val="28"/>
          <w:szCs w:val="28"/>
        </w:rPr>
        <w:t xml:space="preserve">Иноземцев В. Американская и европейская модели корпоративного поведения: сходство, отличия и перспективы развития. </w:t>
      </w:r>
      <w:r w:rsidR="00D51650">
        <w:rPr>
          <w:rFonts w:eastAsia="Arial Unicode MS"/>
          <w:color w:val="000000"/>
          <w:sz w:val="28"/>
          <w:szCs w:val="28"/>
        </w:rPr>
        <w:t>«</w:t>
      </w:r>
      <w:r w:rsidR="00D51650" w:rsidRPr="00D51650">
        <w:rPr>
          <w:rFonts w:eastAsia="Arial Unicode MS"/>
          <w:color w:val="000000"/>
          <w:sz w:val="28"/>
          <w:szCs w:val="28"/>
        </w:rPr>
        <w:t>П</w:t>
      </w:r>
      <w:r w:rsidRPr="00D51650">
        <w:rPr>
          <w:rFonts w:eastAsia="Arial Unicode MS"/>
          <w:color w:val="000000"/>
          <w:sz w:val="28"/>
          <w:szCs w:val="28"/>
        </w:rPr>
        <w:t>роблемы теории и практики управления</w:t>
      </w:r>
      <w:r w:rsidR="00D51650">
        <w:rPr>
          <w:rFonts w:eastAsia="Arial Unicode MS"/>
          <w:color w:val="000000"/>
          <w:sz w:val="28"/>
          <w:szCs w:val="28"/>
        </w:rPr>
        <w:t>»</w:t>
      </w:r>
      <w:r w:rsidR="00D51650" w:rsidRPr="00D51650">
        <w:rPr>
          <w:rFonts w:eastAsia="Arial Unicode MS"/>
          <w:color w:val="000000"/>
          <w:sz w:val="28"/>
          <w:szCs w:val="28"/>
        </w:rPr>
        <w:t xml:space="preserve"> </w:t>
      </w:r>
      <w:r w:rsidR="00D51650">
        <w:rPr>
          <w:rFonts w:eastAsia="Arial Unicode MS"/>
          <w:color w:val="000000"/>
          <w:sz w:val="28"/>
          <w:szCs w:val="28"/>
        </w:rPr>
        <w:t>№</w:t>
      </w:r>
      <w:r w:rsidR="00D51650" w:rsidRPr="00D51650">
        <w:rPr>
          <w:rFonts w:eastAsia="Arial Unicode MS"/>
          <w:color w:val="000000"/>
          <w:sz w:val="28"/>
          <w:szCs w:val="28"/>
        </w:rPr>
        <w:t>6</w:t>
      </w:r>
      <w:r w:rsidRPr="00D51650">
        <w:rPr>
          <w:rFonts w:eastAsia="Arial Unicode MS"/>
          <w:color w:val="000000"/>
          <w:sz w:val="28"/>
          <w:szCs w:val="28"/>
        </w:rPr>
        <w:t>, 2002, с.</w:t>
      </w:r>
      <w:r w:rsidR="00D51650">
        <w:rPr>
          <w:rFonts w:eastAsia="Arial Unicode MS"/>
          <w:color w:val="000000"/>
          <w:sz w:val="28"/>
          <w:szCs w:val="28"/>
        </w:rPr>
        <w:t> </w:t>
      </w:r>
      <w:r w:rsidR="00D51650" w:rsidRPr="00D51650">
        <w:rPr>
          <w:rFonts w:eastAsia="Arial Unicode MS"/>
          <w:color w:val="000000"/>
          <w:sz w:val="28"/>
          <w:szCs w:val="28"/>
        </w:rPr>
        <w:t>18</w:t>
      </w:r>
      <w:r w:rsidRPr="00D51650">
        <w:rPr>
          <w:rFonts w:eastAsia="Arial Unicode MS"/>
          <w:color w:val="000000"/>
          <w:sz w:val="28"/>
          <w:szCs w:val="28"/>
        </w:rPr>
        <w:t>.</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bCs/>
          <w:color w:val="000000"/>
          <w:sz w:val="28"/>
          <w:szCs w:val="28"/>
        </w:rPr>
        <w:t xml:space="preserve">Гринспен А. Эпоха потрясений: Проблемы и перспективы мировой финансовой системы. </w:t>
      </w:r>
      <w:r w:rsidR="00D51650">
        <w:rPr>
          <w:bCs/>
          <w:color w:val="000000"/>
          <w:sz w:val="28"/>
          <w:szCs w:val="28"/>
        </w:rPr>
        <w:t>–</w:t>
      </w:r>
      <w:r w:rsidR="00D51650" w:rsidRPr="00D51650">
        <w:rPr>
          <w:bCs/>
          <w:color w:val="000000"/>
          <w:sz w:val="28"/>
          <w:szCs w:val="28"/>
        </w:rPr>
        <w:t xml:space="preserve"> </w:t>
      </w:r>
      <w:r w:rsidRPr="00D51650">
        <w:rPr>
          <w:bCs/>
          <w:color w:val="000000"/>
          <w:sz w:val="28"/>
          <w:szCs w:val="28"/>
        </w:rPr>
        <w:t xml:space="preserve">М., </w:t>
      </w:r>
      <w:r w:rsidR="00D51650">
        <w:rPr>
          <w:bCs/>
          <w:color w:val="000000"/>
          <w:sz w:val="28"/>
          <w:szCs w:val="28"/>
        </w:rPr>
        <w:t>«</w:t>
      </w:r>
      <w:r w:rsidR="00D51650" w:rsidRPr="00D51650">
        <w:rPr>
          <w:bCs/>
          <w:color w:val="000000"/>
          <w:sz w:val="28"/>
          <w:szCs w:val="28"/>
        </w:rPr>
        <w:t>А</w:t>
      </w:r>
      <w:r w:rsidRPr="00D51650">
        <w:rPr>
          <w:bCs/>
          <w:color w:val="000000"/>
          <w:sz w:val="28"/>
          <w:szCs w:val="28"/>
        </w:rPr>
        <w:t>льпина Бизнес Букс</w:t>
      </w:r>
      <w:r w:rsidR="00D51650">
        <w:rPr>
          <w:bCs/>
          <w:color w:val="000000"/>
          <w:sz w:val="28"/>
          <w:szCs w:val="28"/>
        </w:rPr>
        <w:t>»</w:t>
      </w:r>
      <w:r w:rsidR="00D51650" w:rsidRPr="00D51650">
        <w:rPr>
          <w:bCs/>
          <w:color w:val="000000"/>
          <w:sz w:val="28"/>
          <w:szCs w:val="28"/>
        </w:rPr>
        <w:t>,</w:t>
      </w:r>
      <w:r w:rsidRPr="00D51650">
        <w:rPr>
          <w:bCs/>
          <w:color w:val="000000"/>
          <w:sz w:val="28"/>
          <w:szCs w:val="28"/>
        </w:rPr>
        <w:t xml:space="preserve"> 2008, с.</w:t>
      </w:r>
      <w:r w:rsidR="00D51650">
        <w:rPr>
          <w:bCs/>
          <w:color w:val="000000"/>
          <w:sz w:val="28"/>
          <w:szCs w:val="28"/>
        </w:rPr>
        <w:t> </w:t>
      </w:r>
      <w:r w:rsidR="00D51650" w:rsidRPr="00D51650">
        <w:rPr>
          <w:bCs/>
          <w:color w:val="000000"/>
          <w:sz w:val="28"/>
          <w:szCs w:val="28"/>
        </w:rPr>
        <w:t>186</w:t>
      </w:r>
      <w:r w:rsidRPr="00D51650">
        <w:rPr>
          <w:bCs/>
          <w:color w:val="000000"/>
          <w:sz w:val="28"/>
          <w:szCs w:val="28"/>
        </w:rPr>
        <w:t>.</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bCs/>
          <w:color w:val="000000"/>
          <w:sz w:val="28"/>
          <w:szCs w:val="28"/>
        </w:rPr>
        <w:t xml:space="preserve">Ситников И. Новая экономика </w:t>
      </w:r>
      <w:r w:rsidR="00D51650">
        <w:rPr>
          <w:bCs/>
          <w:color w:val="000000"/>
          <w:sz w:val="28"/>
          <w:szCs w:val="28"/>
        </w:rPr>
        <w:t>–</w:t>
      </w:r>
      <w:r w:rsidR="00D51650" w:rsidRPr="00D51650">
        <w:rPr>
          <w:bCs/>
          <w:color w:val="000000"/>
          <w:sz w:val="28"/>
          <w:szCs w:val="28"/>
        </w:rPr>
        <w:t xml:space="preserve"> </w:t>
      </w:r>
      <w:r w:rsidRPr="00D51650">
        <w:rPr>
          <w:bCs/>
          <w:color w:val="000000"/>
          <w:sz w:val="28"/>
          <w:szCs w:val="28"/>
        </w:rPr>
        <w:t xml:space="preserve">новый индекс. Взгляд на </w:t>
      </w:r>
      <w:r w:rsidRPr="00D51650">
        <w:rPr>
          <w:bCs/>
          <w:color w:val="000000"/>
          <w:sz w:val="28"/>
          <w:szCs w:val="28"/>
          <w:lang w:val="en-US"/>
        </w:rPr>
        <w:t>Dow</w:t>
      </w:r>
      <w:r w:rsidRPr="00D51650">
        <w:rPr>
          <w:bCs/>
          <w:color w:val="000000"/>
          <w:sz w:val="28"/>
          <w:szCs w:val="28"/>
        </w:rPr>
        <w:t xml:space="preserve"> </w:t>
      </w:r>
      <w:r w:rsidRPr="00D51650">
        <w:rPr>
          <w:bCs/>
          <w:color w:val="000000"/>
          <w:sz w:val="28"/>
          <w:szCs w:val="28"/>
          <w:lang w:val="en-US"/>
        </w:rPr>
        <w:t>Jones</w:t>
      </w:r>
      <w:r w:rsidRPr="00D51650">
        <w:rPr>
          <w:bCs/>
          <w:color w:val="000000"/>
          <w:sz w:val="28"/>
          <w:szCs w:val="28"/>
        </w:rPr>
        <w:t xml:space="preserve">. </w:t>
      </w:r>
      <w:r w:rsidR="00D51650">
        <w:rPr>
          <w:bCs/>
          <w:color w:val="000000"/>
          <w:sz w:val="28"/>
          <w:szCs w:val="28"/>
        </w:rPr>
        <w:t>«</w:t>
      </w:r>
      <w:r w:rsidR="00D51650" w:rsidRPr="00D51650">
        <w:rPr>
          <w:bCs/>
          <w:color w:val="000000"/>
          <w:sz w:val="28"/>
          <w:szCs w:val="28"/>
        </w:rPr>
        <w:t>Р</w:t>
      </w:r>
      <w:r w:rsidRPr="00D51650">
        <w:rPr>
          <w:bCs/>
          <w:color w:val="000000"/>
          <w:sz w:val="28"/>
          <w:szCs w:val="28"/>
        </w:rPr>
        <w:t>ынок ценных бумаг</w:t>
      </w:r>
      <w:r w:rsidR="00D51650">
        <w:rPr>
          <w:bCs/>
          <w:color w:val="000000"/>
          <w:sz w:val="28"/>
          <w:szCs w:val="28"/>
        </w:rPr>
        <w:t>»</w:t>
      </w:r>
      <w:r w:rsidR="00D51650" w:rsidRPr="00D51650">
        <w:rPr>
          <w:bCs/>
          <w:color w:val="000000"/>
          <w:sz w:val="28"/>
          <w:szCs w:val="28"/>
        </w:rPr>
        <w:t xml:space="preserve"> </w:t>
      </w:r>
      <w:r w:rsidR="00D51650">
        <w:rPr>
          <w:bCs/>
          <w:color w:val="000000"/>
          <w:sz w:val="28"/>
          <w:szCs w:val="28"/>
        </w:rPr>
        <w:t>№</w:t>
      </w:r>
      <w:r w:rsidR="00D51650" w:rsidRPr="00D51650">
        <w:rPr>
          <w:bCs/>
          <w:color w:val="000000"/>
          <w:sz w:val="28"/>
          <w:szCs w:val="28"/>
        </w:rPr>
        <w:t>2</w:t>
      </w:r>
      <w:r w:rsidRPr="00D51650">
        <w:rPr>
          <w:bCs/>
          <w:color w:val="000000"/>
          <w:sz w:val="28"/>
          <w:szCs w:val="28"/>
        </w:rPr>
        <w:t>2,1999, с.</w:t>
      </w:r>
      <w:r w:rsidR="00D51650">
        <w:rPr>
          <w:bCs/>
          <w:color w:val="000000"/>
          <w:sz w:val="28"/>
          <w:szCs w:val="28"/>
        </w:rPr>
        <w:t> </w:t>
      </w:r>
      <w:r w:rsidR="00D51650" w:rsidRPr="00D51650">
        <w:rPr>
          <w:bCs/>
          <w:color w:val="000000"/>
          <w:sz w:val="28"/>
          <w:szCs w:val="28"/>
        </w:rPr>
        <w:t>4</w:t>
      </w:r>
      <w:r w:rsidRPr="00D51650">
        <w:rPr>
          <w:bCs/>
          <w:color w:val="000000"/>
          <w:sz w:val="28"/>
          <w:szCs w:val="28"/>
        </w:rPr>
        <w:t>.</w:t>
      </w:r>
    </w:p>
    <w:p w:rsidR="00816C65" w:rsidRPr="00D51650" w:rsidRDefault="00D51650"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bCs/>
          <w:color w:val="000000"/>
          <w:sz w:val="28"/>
          <w:szCs w:val="28"/>
        </w:rPr>
        <w:t>Вайсбанд</w:t>
      </w:r>
      <w:r>
        <w:rPr>
          <w:bCs/>
          <w:color w:val="000000"/>
          <w:sz w:val="28"/>
          <w:szCs w:val="28"/>
        </w:rPr>
        <w:t> </w:t>
      </w:r>
      <w:r w:rsidRPr="00D51650">
        <w:rPr>
          <w:bCs/>
          <w:color w:val="000000"/>
          <w:sz w:val="28"/>
          <w:szCs w:val="28"/>
        </w:rPr>
        <w:t>Д.</w:t>
      </w:r>
      <w:r w:rsidR="00816C65" w:rsidRPr="00D51650">
        <w:rPr>
          <w:bCs/>
          <w:color w:val="000000"/>
          <w:sz w:val="28"/>
          <w:szCs w:val="28"/>
        </w:rPr>
        <w:t xml:space="preserve"> </w:t>
      </w:r>
      <w:r w:rsidR="00816C65" w:rsidRPr="00D51650">
        <w:rPr>
          <w:bCs/>
          <w:color w:val="000000"/>
          <w:sz w:val="28"/>
          <w:szCs w:val="28"/>
          <w:lang w:val="en-US"/>
        </w:rPr>
        <w:t>DJ</w:t>
      </w:r>
      <w:r w:rsidR="00816C65" w:rsidRPr="00D51650">
        <w:rPr>
          <w:bCs/>
          <w:color w:val="000000"/>
          <w:sz w:val="28"/>
          <w:szCs w:val="28"/>
        </w:rPr>
        <w:t xml:space="preserve"> меняет лошадей. </w:t>
      </w:r>
      <w:r>
        <w:rPr>
          <w:bCs/>
          <w:color w:val="000000"/>
          <w:sz w:val="28"/>
          <w:szCs w:val="28"/>
        </w:rPr>
        <w:t>«</w:t>
      </w:r>
      <w:r w:rsidRPr="00D51650">
        <w:rPr>
          <w:bCs/>
          <w:color w:val="000000"/>
          <w:sz w:val="28"/>
          <w:szCs w:val="28"/>
        </w:rPr>
        <w:t>Бизнес</w:t>
      </w:r>
      <w:r>
        <w:rPr>
          <w:bCs/>
          <w:color w:val="000000"/>
          <w:sz w:val="28"/>
          <w:szCs w:val="28"/>
        </w:rPr>
        <w:t>»№</w:t>
      </w:r>
      <w:r w:rsidRPr="00D51650">
        <w:rPr>
          <w:bCs/>
          <w:color w:val="000000"/>
          <w:sz w:val="28"/>
          <w:szCs w:val="28"/>
        </w:rPr>
        <w:t>4</w:t>
      </w:r>
      <w:r w:rsidR="00816C65" w:rsidRPr="00D51650">
        <w:rPr>
          <w:bCs/>
          <w:color w:val="000000"/>
          <w:sz w:val="28"/>
          <w:szCs w:val="28"/>
        </w:rPr>
        <w:t>4, 1999, с.</w:t>
      </w:r>
      <w:r>
        <w:rPr>
          <w:bCs/>
          <w:color w:val="000000"/>
          <w:sz w:val="28"/>
          <w:szCs w:val="28"/>
        </w:rPr>
        <w:t> </w:t>
      </w:r>
      <w:r w:rsidRPr="00D51650">
        <w:rPr>
          <w:bCs/>
          <w:color w:val="000000"/>
          <w:sz w:val="28"/>
          <w:szCs w:val="28"/>
        </w:rPr>
        <w:t>19</w:t>
      </w:r>
      <w:r w:rsidR="00816C65" w:rsidRPr="00D51650">
        <w:rPr>
          <w:bCs/>
          <w:color w:val="000000"/>
          <w:sz w:val="28"/>
          <w:szCs w:val="28"/>
        </w:rPr>
        <w:t>.</w:t>
      </w:r>
    </w:p>
    <w:p w:rsidR="00816C65" w:rsidRPr="00D51650" w:rsidRDefault="00D51650"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bCs/>
          <w:color w:val="000000"/>
          <w:sz w:val="28"/>
          <w:szCs w:val="28"/>
        </w:rPr>
        <w:t>Васильев</w:t>
      </w:r>
      <w:r>
        <w:rPr>
          <w:bCs/>
          <w:color w:val="000000"/>
          <w:sz w:val="28"/>
          <w:szCs w:val="28"/>
        </w:rPr>
        <w:t> </w:t>
      </w:r>
      <w:r w:rsidRPr="00D51650">
        <w:rPr>
          <w:bCs/>
          <w:color w:val="000000"/>
          <w:sz w:val="28"/>
          <w:szCs w:val="28"/>
        </w:rPr>
        <w:t>В.</w:t>
      </w:r>
      <w:r w:rsidR="00816C65" w:rsidRPr="00D51650">
        <w:rPr>
          <w:bCs/>
          <w:color w:val="000000"/>
          <w:sz w:val="28"/>
          <w:szCs w:val="28"/>
        </w:rPr>
        <w:t xml:space="preserve"> С, </w:t>
      </w:r>
      <w:r w:rsidRPr="00D51650">
        <w:rPr>
          <w:bCs/>
          <w:color w:val="000000"/>
          <w:sz w:val="28"/>
          <w:szCs w:val="28"/>
        </w:rPr>
        <w:t>Роговский</w:t>
      </w:r>
      <w:r>
        <w:rPr>
          <w:bCs/>
          <w:color w:val="000000"/>
          <w:sz w:val="28"/>
          <w:szCs w:val="28"/>
        </w:rPr>
        <w:t> </w:t>
      </w:r>
      <w:r w:rsidRPr="00D51650">
        <w:rPr>
          <w:bCs/>
          <w:color w:val="000000"/>
          <w:sz w:val="28"/>
          <w:szCs w:val="28"/>
        </w:rPr>
        <w:t>Е.А.</w:t>
      </w:r>
      <w:r>
        <w:rPr>
          <w:bCs/>
          <w:color w:val="000000"/>
          <w:sz w:val="28"/>
          <w:szCs w:val="28"/>
        </w:rPr>
        <w:t> </w:t>
      </w:r>
      <w:r w:rsidRPr="00D51650">
        <w:rPr>
          <w:bCs/>
          <w:color w:val="000000"/>
          <w:sz w:val="28"/>
          <w:szCs w:val="28"/>
        </w:rPr>
        <w:t>Грядущая</w:t>
      </w:r>
      <w:r w:rsidR="00816C65" w:rsidRPr="00D51650">
        <w:rPr>
          <w:bCs/>
          <w:color w:val="000000"/>
          <w:sz w:val="28"/>
          <w:szCs w:val="28"/>
        </w:rPr>
        <w:t xml:space="preserve"> финансовая турбулентность. </w:t>
      </w:r>
      <w:r>
        <w:rPr>
          <w:bCs/>
          <w:color w:val="000000"/>
          <w:sz w:val="28"/>
          <w:szCs w:val="28"/>
        </w:rPr>
        <w:t>«</w:t>
      </w:r>
      <w:r w:rsidRPr="00D51650">
        <w:rPr>
          <w:bCs/>
          <w:color w:val="000000"/>
          <w:sz w:val="28"/>
          <w:szCs w:val="28"/>
        </w:rPr>
        <w:t>С</w:t>
      </w:r>
      <w:r w:rsidR="00816C65" w:rsidRPr="00D51650">
        <w:rPr>
          <w:bCs/>
          <w:color w:val="000000"/>
          <w:sz w:val="28"/>
          <w:szCs w:val="28"/>
        </w:rPr>
        <w:t xml:space="preserve">ША </w:t>
      </w:r>
      <w:r>
        <w:rPr>
          <w:bCs/>
          <w:color w:val="000000"/>
          <w:sz w:val="28"/>
          <w:szCs w:val="28"/>
        </w:rPr>
        <w:t>–</w:t>
      </w:r>
      <w:r w:rsidRPr="00D51650">
        <w:rPr>
          <w:bCs/>
          <w:color w:val="000000"/>
          <w:sz w:val="28"/>
          <w:szCs w:val="28"/>
        </w:rPr>
        <w:t xml:space="preserve"> </w:t>
      </w:r>
      <w:r w:rsidR="00816C65" w:rsidRPr="00D51650">
        <w:rPr>
          <w:bCs/>
          <w:color w:val="000000"/>
          <w:sz w:val="28"/>
          <w:szCs w:val="28"/>
        </w:rPr>
        <w:t>Канада: экономика, политика, культура</w:t>
      </w:r>
      <w:r>
        <w:rPr>
          <w:bCs/>
          <w:color w:val="000000"/>
          <w:sz w:val="28"/>
          <w:szCs w:val="28"/>
        </w:rPr>
        <w:t>»</w:t>
      </w:r>
      <w:r w:rsidRPr="00D51650">
        <w:rPr>
          <w:bCs/>
          <w:color w:val="000000"/>
          <w:sz w:val="28"/>
          <w:szCs w:val="28"/>
        </w:rPr>
        <w:t xml:space="preserve"> </w:t>
      </w:r>
      <w:r>
        <w:rPr>
          <w:bCs/>
          <w:color w:val="000000"/>
          <w:sz w:val="28"/>
          <w:szCs w:val="28"/>
        </w:rPr>
        <w:t>№</w:t>
      </w:r>
      <w:r w:rsidRPr="00D51650">
        <w:rPr>
          <w:bCs/>
          <w:color w:val="000000"/>
          <w:sz w:val="28"/>
          <w:szCs w:val="28"/>
        </w:rPr>
        <w:t>3</w:t>
      </w:r>
      <w:r w:rsidR="00816C65" w:rsidRPr="00D51650">
        <w:rPr>
          <w:bCs/>
          <w:color w:val="000000"/>
          <w:sz w:val="28"/>
          <w:szCs w:val="28"/>
        </w:rPr>
        <w:t>, 2008, с.</w:t>
      </w:r>
      <w:r>
        <w:rPr>
          <w:bCs/>
          <w:color w:val="000000"/>
          <w:sz w:val="28"/>
          <w:szCs w:val="28"/>
        </w:rPr>
        <w:t> </w:t>
      </w:r>
      <w:r w:rsidRPr="00D51650">
        <w:rPr>
          <w:bCs/>
          <w:color w:val="000000"/>
          <w:sz w:val="28"/>
          <w:szCs w:val="28"/>
        </w:rPr>
        <w:t>4</w:t>
      </w:r>
      <w:r w:rsidR="00816C65" w:rsidRPr="00D51650">
        <w:rPr>
          <w:bCs/>
          <w:color w:val="000000"/>
          <w:sz w:val="28"/>
          <w:szCs w:val="28"/>
        </w:rPr>
        <w:t>.</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bCs/>
          <w:color w:val="000000"/>
          <w:sz w:val="28"/>
          <w:szCs w:val="28"/>
        </w:rPr>
        <w:t xml:space="preserve">Рубцов Б. Современные фондовые рынки. Учебное пособие для вузов. </w:t>
      </w:r>
      <w:r w:rsidR="00D51650">
        <w:rPr>
          <w:bCs/>
          <w:color w:val="000000"/>
          <w:sz w:val="28"/>
          <w:szCs w:val="28"/>
        </w:rPr>
        <w:t>–</w:t>
      </w:r>
      <w:r w:rsidR="00D51650" w:rsidRPr="00D51650">
        <w:rPr>
          <w:bCs/>
          <w:color w:val="000000"/>
          <w:sz w:val="28"/>
          <w:szCs w:val="28"/>
        </w:rPr>
        <w:t xml:space="preserve"> </w:t>
      </w:r>
      <w:r w:rsidRPr="00D51650">
        <w:rPr>
          <w:bCs/>
          <w:color w:val="000000"/>
          <w:sz w:val="28"/>
          <w:szCs w:val="28"/>
        </w:rPr>
        <w:t xml:space="preserve">М., </w:t>
      </w:r>
      <w:r w:rsidR="00D51650">
        <w:rPr>
          <w:bCs/>
          <w:color w:val="000000"/>
          <w:sz w:val="28"/>
          <w:szCs w:val="28"/>
        </w:rPr>
        <w:t>«</w:t>
      </w:r>
      <w:r w:rsidR="00D51650" w:rsidRPr="00D51650">
        <w:rPr>
          <w:bCs/>
          <w:color w:val="000000"/>
          <w:sz w:val="28"/>
          <w:szCs w:val="28"/>
        </w:rPr>
        <w:t>А</w:t>
      </w:r>
      <w:r w:rsidRPr="00D51650">
        <w:rPr>
          <w:bCs/>
          <w:color w:val="000000"/>
          <w:sz w:val="28"/>
          <w:szCs w:val="28"/>
        </w:rPr>
        <w:t>льпина Бизнес Букс</w:t>
      </w:r>
      <w:r w:rsidR="00D51650">
        <w:rPr>
          <w:bCs/>
          <w:color w:val="000000"/>
          <w:sz w:val="28"/>
          <w:szCs w:val="28"/>
        </w:rPr>
        <w:t>»</w:t>
      </w:r>
      <w:r w:rsidR="00D51650" w:rsidRPr="00D51650">
        <w:rPr>
          <w:bCs/>
          <w:color w:val="000000"/>
          <w:sz w:val="28"/>
          <w:szCs w:val="28"/>
        </w:rPr>
        <w:t>,</w:t>
      </w:r>
      <w:r w:rsidRPr="00D51650">
        <w:rPr>
          <w:bCs/>
          <w:color w:val="000000"/>
          <w:sz w:val="28"/>
          <w:szCs w:val="28"/>
        </w:rPr>
        <w:t xml:space="preserve"> 2007, с.</w:t>
      </w:r>
      <w:r w:rsidR="00D51650">
        <w:rPr>
          <w:bCs/>
          <w:color w:val="000000"/>
          <w:sz w:val="28"/>
          <w:szCs w:val="28"/>
        </w:rPr>
        <w:t> </w:t>
      </w:r>
      <w:r w:rsidR="00D51650" w:rsidRPr="00D51650">
        <w:rPr>
          <w:bCs/>
          <w:color w:val="000000"/>
          <w:sz w:val="28"/>
          <w:szCs w:val="28"/>
        </w:rPr>
        <w:t>788</w:t>
      </w:r>
      <w:r w:rsidRPr="00D51650">
        <w:rPr>
          <w:bCs/>
          <w:color w:val="000000"/>
          <w:sz w:val="28"/>
          <w:szCs w:val="28"/>
        </w:rPr>
        <w:t>.</w:t>
      </w:r>
    </w:p>
    <w:p w:rsid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bCs/>
          <w:color w:val="000000"/>
          <w:sz w:val="28"/>
          <w:szCs w:val="28"/>
        </w:rPr>
        <w:t>Ульянов В. Анализ влияния кризиса в странах Юго-Восточной Азии на мировой фондовый рынок.</w:t>
      </w:r>
      <w:r w:rsidRPr="00D51650">
        <w:rPr>
          <w:bCs/>
          <w:color w:val="000000"/>
          <w:sz w:val="28"/>
          <w:szCs w:val="28"/>
          <w:lang w:val="uk-UA"/>
        </w:rPr>
        <w:t xml:space="preserve"> </w:t>
      </w:r>
      <w:r w:rsidR="00D51650">
        <w:rPr>
          <w:bCs/>
          <w:color w:val="000000"/>
          <w:sz w:val="28"/>
          <w:szCs w:val="28"/>
          <w:lang w:val="uk-UA"/>
        </w:rPr>
        <w:t>«</w:t>
      </w:r>
      <w:r w:rsidR="00D51650" w:rsidRPr="00D51650">
        <w:rPr>
          <w:bCs/>
          <w:color w:val="000000"/>
          <w:sz w:val="28"/>
          <w:szCs w:val="28"/>
          <w:lang w:val="uk-UA"/>
        </w:rPr>
        <w:t>Н</w:t>
      </w:r>
      <w:r w:rsidRPr="00D51650">
        <w:rPr>
          <w:bCs/>
          <w:color w:val="000000"/>
          <w:sz w:val="28"/>
          <w:szCs w:val="28"/>
          <w:lang w:val="uk-UA"/>
        </w:rPr>
        <w:t>аукові праці</w:t>
      </w:r>
      <w:r w:rsidRPr="00D51650">
        <w:rPr>
          <w:bCs/>
          <w:color w:val="000000"/>
          <w:sz w:val="28"/>
          <w:szCs w:val="28"/>
        </w:rPr>
        <w:t xml:space="preserve"> ДФ УДУЕФ</w:t>
      </w:r>
      <w:r w:rsidR="00D51650">
        <w:rPr>
          <w:bCs/>
          <w:color w:val="000000"/>
          <w:sz w:val="28"/>
          <w:szCs w:val="28"/>
        </w:rPr>
        <w:t>»</w:t>
      </w:r>
      <w:r w:rsidR="00D51650" w:rsidRPr="00D51650">
        <w:rPr>
          <w:bCs/>
          <w:color w:val="000000"/>
          <w:sz w:val="28"/>
          <w:szCs w:val="28"/>
        </w:rPr>
        <w:t xml:space="preserve"> </w:t>
      </w:r>
      <w:r w:rsidRPr="00D51650">
        <w:rPr>
          <w:bCs/>
          <w:color w:val="000000"/>
          <w:sz w:val="28"/>
          <w:szCs w:val="28"/>
        </w:rPr>
        <w:t>Выпуск 1</w:t>
      </w:r>
      <w:r w:rsidR="00D51650">
        <w:rPr>
          <w:bCs/>
          <w:color w:val="000000"/>
          <w:sz w:val="28"/>
          <w:szCs w:val="28"/>
        </w:rPr>
        <w:t>–</w:t>
      </w:r>
      <w:r w:rsidR="00D51650" w:rsidRPr="00D51650">
        <w:rPr>
          <w:bCs/>
          <w:color w:val="000000"/>
          <w:sz w:val="28"/>
          <w:szCs w:val="28"/>
        </w:rPr>
        <w:t>2</w:t>
      </w:r>
      <w:r w:rsidRPr="00D51650">
        <w:rPr>
          <w:bCs/>
          <w:color w:val="000000"/>
          <w:sz w:val="28"/>
          <w:szCs w:val="28"/>
        </w:rPr>
        <w:t>, 2006, с.</w:t>
      </w:r>
      <w:r w:rsidR="00D51650">
        <w:rPr>
          <w:bCs/>
          <w:color w:val="000000"/>
          <w:sz w:val="28"/>
          <w:szCs w:val="28"/>
        </w:rPr>
        <w:t> </w:t>
      </w:r>
      <w:r w:rsidR="00D51650" w:rsidRPr="00D51650">
        <w:rPr>
          <w:bCs/>
          <w:color w:val="000000"/>
          <w:sz w:val="28"/>
          <w:szCs w:val="28"/>
        </w:rPr>
        <w:t>136</w:t>
      </w:r>
      <w:r w:rsidRPr="00D51650">
        <w:rPr>
          <w:bCs/>
          <w:color w:val="000000"/>
          <w:sz w:val="28"/>
          <w:szCs w:val="28"/>
        </w:rPr>
        <w:t>.</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lang w:val="en-GB"/>
        </w:rPr>
      </w:pPr>
      <w:r w:rsidRPr="00D51650">
        <w:rPr>
          <w:bCs/>
          <w:color w:val="000000"/>
          <w:sz w:val="28"/>
          <w:szCs w:val="28"/>
          <w:lang w:val="en-US"/>
        </w:rPr>
        <w:t xml:space="preserve">Brenner R. The Boom and the Bubble. </w:t>
      </w:r>
      <w:r w:rsidR="00D51650" w:rsidRPr="00D51650">
        <w:rPr>
          <w:bCs/>
          <w:color w:val="000000"/>
          <w:sz w:val="28"/>
          <w:szCs w:val="28"/>
          <w:lang w:val="en-US"/>
        </w:rPr>
        <w:t>The</w:t>
      </w:r>
      <w:r w:rsidR="00D51650">
        <w:rPr>
          <w:bCs/>
          <w:color w:val="000000"/>
          <w:sz w:val="28"/>
          <w:szCs w:val="28"/>
          <w:lang w:val="en-US"/>
        </w:rPr>
        <w:t> </w:t>
      </w:r>
      <w:r w:rsidR="00D51650" w:rsidRPr="00D51650">
        <w:rPr>
          <w:bCs/>
          <w:color w:val="000000"/>
          <w:sz w:val="28"/>
          <w:szCs w:val="28"/>
          <w:lang w:val="en-US"/>
        </w:rPr>
        <w:t>U.S.</w:t>
      </w:r>
      <w:r w:rsidRPr="00D51650">
        <w:rPr>
          <w:bCs/>
          <w:color w:val="000000"/>
          <w:sz w:val="28"/>
          <w:szCs w:val="28"/>
          <w:lang w:val="en-US"/>
        </w:rPr>
        <w:t xml:space="preserve"> in the W</w:t>
      </w:r>
      <w:r w:rsidRPr="00D51650">
        <w:rPr>
          <w:bCs/>
          <w:color w:val="000000"/>
          <w:sz w:val="28"/>
          <w:szCs w:val="28"/>
        </w:rPr>
        <w:t>о</w:t>
      </w:r>
      <w:r w:rsidRPr="00D51650">
        <w:rPr>
          <w:bCs/>
          <w:color w:val="000000"/>
          <w:sz w:val="28"/>
          <w:szCs w:val="28"/>
          <w:lang w:val="en-US"/>
        </w:rPr>
        <w:t>rld Economy. London</w:t>
      </w:r>
      <w:r w:rsidRPr="00D51650">
        <w:rPr>
          <w:bCs/>
          <w:color w:val="000000"/>
          <w:sz w:val="28"/>
          <w:szCs w:val="28"/>
        </w:rPr>
        <w:t xml:space="preserve"> </w:t>
      </w:r>
      <w:r w:rsidR="00D51650">
        <w:rPr>
          <w:bCs/>
          <w:color w:val="000000"/>
          <w:sz w:val="28"/>
          <w:szCs w:val="28"/>
        </w:rPr>
        <w:t>–</w:t>
      </w:r>
      <w:r w:rsidR="00D51650" w:rsidRPr="00D51650">
        <w:rPr>
          <w:bCs/>
          <w:color w:val="000000"/>
          <w:sz w:val="28"/>
          <w:szCs w:val="28"/>
        </w:rPr>
        <w:t xml:space="preserve"> </w:t>
      </w:r>
      <w:r w:rsidRPr="00D51650">
        <w:rPr>
          <w:bCs/>
          <w:color w:val="000000"/>
          <w:sz w:val="28"/>
          <w:szCs w:val="28"/>
          <w:lang w:val="en-US"/>
        </w:rPr>
        <w:t>New</w:t>
      </w:r>
      <w:r w:rsidRPr="00D51650">
        <w:rPr>
          <w:bCs/>
          <w:color w:val="000000"/>
          <w:sz w:val="28"/>
          <w:szCs w:val="28"/>
        </w:rPr>
        <w:t xml:space="preserve"> </w:t>
      </w:r>
      <w:r w:rsidRPr="00D51650">
        <w:rPr>
          <w:bCs/>
          <w:color w:val="000000"/>
          <w:sz w:val="28"/>
          <w:szCs w:val="28"/>
          <w:lang w:val="en-US"/>
        </w:rPr>
        <w:t>York</w:t>
      </w:r>
      <w:r w:rsidRPr="00D51650">
        <w:rPr>
          <w:bCs/>
          <w:color w:val="000000"/>
          <w:sz w:val="28"/>
          <w:szCs w:val="28"/>
        </w:rPr>
        <w:t xml:space="preserve">, </w:t>
      </w:r>
      <w:r w:rsidR="00D51650">
        <w:rPr>
          <w:bCs/>
          <w:color w:val="000000"/>
          <w:sz w:val="28"/>
          <w:szCs w:val="28"/>
        </w:rPr>
        <w:t>«</w:t>
      </w:r>
      <w:r w:rsidR="00D51650" w:rsidRPr="00D51650">
        <w:rPr>
          <w:bCs/>
          <w:color w:val="000000"/>
          <w:sz w:val="28"/>
          <w:szCs w:val="28"/>
          <w:lang w:val="en-US"/>
        </w:rPr>
        <w:t>V</w:t>
      </w:r>
      <w:r w:rsidRPr="00D51650">
        <w:rPr>
          <w:bCs/>
          <w:color w:val="000000"/>
          <w:sz w:val="28"/>
          <w:szCs w:val="28"/>
          <w:lang w:val="en-US"/>
        </w:rPr>
        <w:t>erso</w:t>
      </w:r>
      <w:r w:rsidR="00D51650">
        <w:rPr>
          <w:bCs/>
          <w:color w:val="000000"/>
          <w:sz w:val="28"/>
          <w:szCs w:val="28"/>
        </w:rPr>
        <w:t>»</w:t>
      </w:r>
      <w:r w:rsidR="00D51650" w:rsidRPr="00D51650">
        <w:rPr>
          <w:bCs/>
          <w:color w:val="000000"/>
          <w:sz w:val="28"/>
          <w:szCs w:val="28"/>
        </w:rPr>
        <w:t>,</w:t>
      </w:r>
      <w:r w:rsidRPr="00D51650">
        <w:rPr>
          <w:bCs/>
          <w:color w:val="000000"/>
          <w:sz w:val="28"/>
          <w:szCs w:val="28"/>
        </w:rPr>
        <w:t xml:space="preserve"> 2002, </w:t>
      </w:r>
      <w:r w:rsidRPr="00D51650">
        <w:rPr>
          <w:bCs/>
          <w:color w:val="000000"/>
          <w:sz w:val="28"/>
          <w:szCs w:val="28"/>
          <w:lang w:val="en-US"/>
        </w:rPr>
        <w:t>p</w:t>
      </w:r>
      <w:r w:rsidRPr="00D51650">
        <w:rPr>
          <w:bCs/>
          <w:color w:val="000000"/>
          <w:sz w:val="28"/>
          <w:szCs w:val="28"/>
        </w:rPr>
        <w:t>. 248.</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bCs/>
          <w:color w:val="000000"/>
          <w:sz w:val="28"/>
          <w:szCs w:val="28"/>
        </w:rPr>
        <w:t>Данные Мировой федерации бирж (</w:t>
      </w:r>
      <w:hyperlink r:id="rId7" w:history="1">
        <w:r w:rsidRPr="00D51650">
          <w:rPr>
            <w:bCs/>
            <w:color w:val="000000"/>
            <w:sz w:val="28"/>
            <w:szCs w:val="28"/>
            <w:lang w:val="en-US"/>
          </w:rPr>
          <w:t>http</w:t>
        </w:r>
        <w:r w:rsidRPr="00D51650">
          <w:rPr>
            <w:bCs/>
            <w:color w:val="000000"/>
            <w:sz w:val="28"/>
            <w:szCs w:val="28"/>
          </w:rPr>
          <w:t>://</w:t>
        </w:r>
        <w:r w:rsidRPr="00D51650">
          <w:rPr>
            <w:bCs/>
            <w:color w:val="000000"/>
            <w:sz w:val="28"/>
            <w:szCs w:val="28"/>
            <w:lang w:val="en-US"/>
          </w:rPr>
          <w:t>www</w:t>
        </w:r>
        <w:r w:rsidRPr="00D51650">
          <w:rPr>
            <w:bCs/>
            <w:color w:val="000000"/>
            <w:sz w:val="28"/>
            <w:szCs w:val="28"/>
          </w:rPr>
          <w:t>.</w:t>
        </w:r>
        <w:r w:rsidRPr="00D51650">
          <w:rPr>
            <w:bCs/>
            <w:color w:val="000000"/>
            <w:sz w:val="28"/>
            <w:szCs w:val="28"/>
            <w:lang w:val="en-US"/>
          </w:rPr>
          <w:t>world</w:t>
        </w:r>
        <w:r w:rsidRPr="00D51650">
          <w:rPr>
            <w:bCs/>
            <w:color w:val="000000"/>
            <w:sz w:val="28"/>
            <w:szCs w:val="28"/>
          </w:rPr>
          <w:t>-</w:t>
        </w:r>
        <w:r w:rsidRPr="00D51650">
          <w:rPr>
            <w:bCs/>
            <w:color w:val="000000"/>
            <w:sz w:val="28"/>
            <w:szCs w:val="28"/>
            <w:lang w:val="en-US"/>
          </w:rPr>
          <w:t>exchanges</w:t>
        </w:r>
        <w:r w:rsidRPr="00D51650">
          <w:rPr>
            <w:bCs/>
            <w:color w:val="000000"/>
            <w:sz w:val="28"/>
            <w:szCs w:val="28"/>
          </w:rPr>
          <w:t>.</w:t>
        </w:r>
        <w:r w:rsidRPr="00D51650">
          <w:rPr>
            <w:bCs/>
            <w:color w:val="000000"/>
            <w:sz w:val="28"/>
            <w:szCs w:val="28"/>
            <w:lang w:val="en-US"/>
          </w:rPr>
          <w:t>org</w:t>
        </w:r>
      </w:hyperlink>
      <w:r w:rsidRPr="00D51650">
        <w:rPr>
          <w:bCs/>
          <w:color w:val="000000"/>
          <w:sz w:val="28"/>
          <w:szCs w:val="28"/>
        </w:rPr>
        <w:t>) и МВФ (</w:t>
      </w:r>
      <w:hyperlink r:id="rId8" w:history="1">
        <w:r w:rsidRPr="00D51650">
          <w:rPr>
            <w:bCs/>
            <w:color w:val="000000"/>
            <w:sz w:val="28"/>
            <w:szCs w:val="28"/>
            <w:lang w:val="en-US"/>
          </w:rPr>
          <w:t>http</w:t>
        </w:r>
        <w:r w:rsidRPr="00D51650">
          <w:rPr>
            <w:bCs/>
            <w:color w:val="000000"/>
            <w:sz w:val="28"/>
            <w:szCs w:val="28"/>
          </w:rPr>
          <w:t>://</w:t>
        </w:r>
        <w:r w:rsidRPr="00D51650">
          <w:rPr>
            <w:bCs/>
            <w:color w:val="000000"/>
            <w:sz w:val="28"/>
            <w:szCs w:val="28"/>
            <w:lang w:val="en-US"/>
          </w:rPr>
          <w:t>www</w:t>
        </w:r>
        <w:r w:rsidRPr="00D51650">
          <w:rPr>
            <w:bCs/>
            <w:color w:val="000000"/>
            <w:sz w:val="28"/>
            <w:szCs w:val="28"/>
          </w:rPr>
          <w:t>.</w:t>
        </w:r>
        <w:r w:rsidRPr="00D51650">
          <w:rPr>
            <w:bCs/>
            <w:color w:val="000000"/>
            <w:sz w:val="28"/>
            <w:szCs w:val="28"/>
            <w:lang w:val="en-US"/>
          </w:rPr>
          <w:t>imf</w:t>
        </w:r>
        <w:r w:rsidRPr="00D51650">
          <w:rPr>
            <w:bCs/>
            <w:color w:val="000000"/>
            <w:sz w:val="28"/>
            <w:szCs w:val="28"/>
          </w:rPr>
          <w:t>.</w:t>
        </w:r>
        <w:r w:rsidRPr="00D51650">
          <w:rPr>
            <w:bCs/>
            <w:color w:val="000000"/>
            <w:sz w:val="28"/>
            <w:szCs w:val="28"/>
            <w:lang w:val="en-US"/>
          </w:rPr>
          <w:t>org</w:t>
        </w:r>
      </w:hyperlink>
      <w:r w:rsidRPr="00D51650">
        <w:rPr>
          <w:bCs/>
          <w:color w:val="000000"/>
          <w:sz w:val="28"/>
          <w:szCs w:val="28"/>
        </w:rPr>
        <w:t>).</w:t>
      </w:r>
    </w:p>
    <w:p w:rsidR="00816C65" w:rsidRPr="00D51650" w:rsidRDefault="00D51650"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rPr>
      </w:pPr>
      <w:r w:rsidRPr="00D51650">
        <w:rPr>
          <w:bCs/>
          <w:color w:val="000000"/>
          <w:sz w:val="28"/>
          <w:szCs w:val="28"/>
        </w:rPr>
        <w:t>Рубцов</w:t>
      </w:r>
      <w:r>
        <w:rPr>
          <w:bCs/>
          <w:color w:val="000000"/>
          <w:sz w:val="28"/>
          <w:szCs w:val="28"/>
        </w:rPr>
        <w:t> </w:t>
      </w:r>
      <w:r w:rsidRPr="00D51650">
        <w:rPr>
          <w:bCs/>
          <w:color w:val="000000"/>
          <w:sz w:val="28"/>
          <w:szCs w:val="28"/>
        </w:rPr>
        <w:t>Б.Б.</w:t>
      </w:r>
      <w:r>
        <w:rPr>
          <w:bCs/>
          <w:color w:val="000000"/>
          <w:sz w:val="28"/>
          <w:szCs w:val="28"/>
        </w:rPr>
        <w:t> </w:t>
      </w:r>
      <w:r w:rsidRPr="00D51650">
        <w:rPr>
          <w:bCs/>
          <w:color w:val="000000"/>
          <w:sz w:val="28"/>
          <w:szCs w:val="28"/>
        </w:rPr>
        <w:t>Мировые</w:t>
      </w:r>
      <w:r w:rsidR="00816C65" w:rsidRPr="00D51650">
        <w:rPr>
          <w:bCs/>
          <w:color w:val="000000"/>
          <w:sz w:val="28"/>
          <w:szCs w:val="28"/>
        </w:rPr>
        <w:t xml:space="preserve"> рынки ценных бумаг.</w:t>
      </w:r>
      <w:r>
        <w:rPr>
          <w:bCs/>
          <w:color w:val="000000"/>
          <w:sz w:val="28"/>
          <w:szCs w:val="28"/>
        </w:rPr>
        <w:t> –</w:t>
      </w:r>
      <w:r w:rsidRPr="00D51650">
        <w:rPr>
          <w:bCs/>
          <w:color w:val="000000"/>
          <w:sz w:val="28"/>
          <w:szCs w:val="28"/>
        </w:rPr>
        <w:t xml:space="preserve"> </w:t>
      </w:r>
      <w:r w:rsidR="00816C65" w:rsidRPr="00D51650">
        <w:rPr>
          <w:bCs/>
          <w:color w:val="000000"/>
          <w:sz w:val="28"/>
          <w:szCs w:val="28"/>
        </w:rPr>
        <w:t xml:space="preserve">М., </w:t>
      </w:r>
      <w:r w:rsidRPr="00D51650">
        <w:rPr>
          <w:bCs/>
          <w:color w:val="000000"/>
          <w:sz w:val="28"/>
          <w:szCs w:val="28"/>
        </w:rPr>
        <w:t>«Э</w:t>
      </w:r>
      <w:r w:rsidR="00816C65" w:rsidRPr="00D51650">
        <w:rPr>
          <w:bCs/>
          <w:color w:val="000000"/>
          <w:sz w:val="28"/>
          <w:szCs w:val="28"/>
        </w:rPr>
        <w:t>кзамен</w:t>
      </w:r>
      <w:r w:rsidRPr="00D51650">
        <w:rPr>
          <w:bCs/>
          <w:color w:val="000000"/>
          <w:sz w:val="28"/>
          <w:szCs w:val="28"/>
        </w:rPr>
        <w:t>»,</w:t>
      </w:r>
      <w:r w:rsidR="00816C65" w:rsidRPr="00D51650">
        <w:rPr>
          <w:bCs/>
          <w:color w:val="000000"/>
          <w:sz w:val="28"/>
          <w:szCs w:val="28"/>
        </w:rPr>
        <w:t xml:space="preserve"> 2002, с.</w:t>
      </w:r>
      <w:r>
        <w:rPr>
          <w:bCs/>
          <w:color w:val="000000"/>
          <w:sz w:val="28"/>
          <w:szCs w:val="28"/>
          <w:lang w:val="en-GB"/>
        </w:rPr>
        <w:t> </w:t>
      </w:r>
      <w:r w:rsidRPr="00D51650">
        <w:rPr>
          <w:bCs/>
          <w:color w:val="000000"/>
          <w:sz w:val="28"/>
          <w:szCs w:val="28"/>
        </w:rPr>
        <w:t>29</w:t>
      </w:r>
      <w:r w:rsidR="00816C65" w:rsidRPr="00D51650">
        <w:rPr>
          <w:bCs/>
          <w:color w:val="000000"/>
          <w:sz w:val="28"/>
          <w:szCs w:val="28"/>
        </w:rPr>
        <w:t>.</w:t>
      </w:r>
    </w:p>
    <w:p w:rsidR="00816C65" w:rsidRPr="00D51650" w:rsidRDefault="00816C65" w:rsidP="00572BC6">
      <w:pPr>
        <w:pStyle w:val="a8"/>
        <w:numPr>
          <w:ilvl w:val="0"/>
          <w:numId w:val="1"/>
        </w:numPr>
        <w:tabs>
          <w:tab w:val="left" w:pos="360"/>
        </w:tabs>
        <w:autoSpaceDE w:val="0"/>
        <w:autoSpaceDN w:val="0"/>
        <w:adjustRightInd w:val="0"/>
        <w:spacing w:line="360" w:lineRule="auto"/>
        <w:ind w:left="0" w:firstLine="0"/>
        <w:jc w:val="both"/>
        <w:rPr>
          <w:color w:val="000000"/>
          <w:sz w:val="28"/>
          <w:szCs w:val="28"/>
          <w:lang w:val="en-GB"/>
        </w:rPr>
      </w:pPr>
      <w:r w:rsidRPr="00D51650">
        <w:rPr>
          <w:color w:val="000000"/>
          <w:sz w:val="28"/>
          <w:szCs w:val="28"/>
          <w:lang w:val="en-US"/>
        </w:rPr>
        <w:t>Patel S.</w:t>
      </w:r>
      <w:r w:rsidR="00D51650" w:rsidRPr="00D51650">
        <w:rPr>
          <w:color w:val="000000"/>
          <w:sz w:val="28"/>
          <w:szCs w:val="28"/>
          <w:lang w:val="en-US"/>
        </w:rPr>
        <w:t>,</w:t>
      </w:r>
      <w:r w:rsidR="00D51650">
        <w:rPr>
          <w:color w:val="000000"/>
          <w:sz w:val="28"/>
          <w:szCs w:val="28"/>
          <w:lang w:val="en-US"/>
        </w:rPr>
        <w:t xml:space="preserve"> </w:t>
      </w:r>
      <w:r w:rsidR="00D51650" w:rsidRPr="00D51650">
        <w:rPr>
          <w:color w:val="000000"/>
          <w:sz w:val="28"/>
          <w:szCs w:val="28"/>
          <w:lang w:val="en-US"/>
        </w:rPr>
        <w:t>S</w:t>
      </w:r>
      <w:r w:rsidRPr="00D51650">
        <w:rPr>
          <w:color w:val="000000"/>
          <w:sz w:val="28"/>
          <w:szCs w:val="28"/>
          <w:lang w:val="en-US"/>
        </w:rPr>
        <w:t>arkarA. Stock Market Crises in Developed and Emerging Markets. The</w:t>
      </w:r>
      <w:r w:rsidRPr="00D51650">
        <w:rPr>
          <w:color w:val="000000"/>
          <w:sz w:val="28"/>
          <w:szCs w:val="28"/>
        </w:rPr>
        <w:t xml:space="preserve"> </w:t>
      </w:r>
      <w:r w:rsidRPr="00D51650">
        <w:rPr>
          <w:color w:val="000000"/>
          <w:sz w:val="28"/>
          <w:szCs w:val="28"/>
          <w:lang w:val="en-US"/>
        </w:rPr>
        <w:t>Federal</w:t>
      </w:r>
      <w:r w:rsidRPr="00D51650">
        <w:rPr>
          <w:color w:val="000000"/>
          <w:sz w:val="28"/>
          <w:szCs w:val="28"/>
        </w:rPr>
        <w:t xml:space="preserve"> </w:t>
      </w:r>
      <w:r w:rsidRPr="00D51650">
        <w:rPr>
          <w:color w:val="000000"/>
          <w:sz w:val="28"/>
          <w:szCs w:val="28"/>
          <w:lang w:val="en-US"/>
        </w:rPr>
        <w:t>Reserve</w:t>
      </w:r>
      <w:r w:rsidRPr="00D51650">
        <w:rPr>
          <w:color w:val="000000"/>
          <w:sz w:val="28"/>
          <w:szCs w:val="28"/>
        </w:rPr>
        <w:t xml:space="preserve"> </w:t>
      </w:r>
      <w:r w:rsidRPr="00D51650">
        <w:rPr>
          <w:color w:val="000000"/>
          <w:sz w:val="28"/>
          <w:szCs w:val="28"/>
          <w:lang w:val="en-US"/>
        </w:rPr>
        <w:t>Bank</w:t>
      </w:r>
      <w:r w:rsidRPr="00D51650">
        <w:rPr>
          <w:color w:val="000000"/>
          <w:sz w:val="28"/>
          <w:szCs w:val="28"/>
        </w:rPr>
        <w:t xml:space="preserve"> </w:t>
      </w:r>
      <w:r w:rsidRPr="00D51650">
        <w:rPr>
          <w:color w:val="000000"/>
          <w:sz w:val="28"/>
          <w:szCs w:val="28"/>
          <w:lang w:val="en-US"/>
        </w:rPr>
        <w:t>of</w:t>
      </w:r>
      <w:r w:rsidRPr="00D51650">
        <w:rPr>
          <w:color w:val="000000"/>
          <w:sz w:val="28"/>
          <w:szCs w:val="28"/>
        </w:rPr>
        <w:t xml:space="preserve"> </w:t>
      </w:r>
      <w:r w:rsidRPr="00D51650">
        <w:rPr>
          <w:color w:val="000000"/>
          <w:sz w:val="28"/>
          <w:szCs w:val="28"/>
          <w:lang w:val="en-US"/>
        </w:rPr>
        <w:t>New</w:t>
      </w:r>
      <w:r w:rsidRPr="00D51650">
        <w:rPr>
          <w:color w:val="000000"/>
          <w:sz w:val="28"/>
          <w:szCs w:val="28"/>
        </w:rPr>
        <w:t xml:space="preserve"> </w:t>
      </w:r>
      <w:r w:rsidRPr="00D51650">
        <w:rPr>
          <w:color w:val="000000"/>
          <w:sz w:val="28"/>
          <w:szCs w:val="28"/>
          <w:lang w:val="en-US"/>
        </w:rPr>
        <w:t>York</w:t>
      </w:r>
      <w:r w:rsidRPr="00D51650">
        <w:rPr>
          <w:color w:val="000000"/>
          <w:sz w:val="28"/>
          <w:szCs w:val="28"/>
        </w:rPr>
        <w:t xml:space="preserve">, </w:t>
      </w:r>
      <w:r w:rsidRPr="00D51650">
        <w:rPr>
          <w:color w:val="000000"/>
          <w:sz w:val="28"/>
          <w:szCs w:val="28"/>
          <w:lang w:val="en-US"/>
        </w:rPr>
        <w:t>April</w:t>
      </w:r>
      <w:r w:rsidRPr="00D51650">
        <w:rPr>
          <w:color w:val="000000"/>
          <w:sz w:val="28"/>
          <w:szCs w:val="28"/>
        </w:rPr>
        <w:t xml:space="preserve"> 1998, 20 </w:t>
      </w:r>
      <w:r w:rsidRPr="00D51650">
        <w:rPr>
          <w:color w:val="000000"/>
          <w:sz w:val="28"/>
          <w:szCs w:val="28"/>
          <w:lang w:val="en-US"/>
        </w:rPr>
        <w:t>p</w:t>
      </w:r>
      <w:r w:rsidRPr="00D51650">
        <w:rPr>
          <w:color w:val="000000"/>
          <w:sz w:val="28"/>
          <w:szCs w:val="28"/>
        </w:rPr>
        <w:t>.</w:t>
      </w:r>
      <w:bookmarkStart w:id="0" w:name="_GoBack"/>
      <w:bookmarkEnd w:id="0"/>
    </w:p>
    <w:sectPr w:rsidR="00816C65" w:rsidRPr="00D51650" w:rsidSect="00D51650">
      <w:headerReference w:type="default" r:id="rId9"/>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16B" w:rsidRDefault="0047316B" w:rsidP="00E01122">
      <w:r>
        <w:separator/>
      </w:r>
    </w:p>
  </w:endnote>
  <w:endnote w:type="continuationSeparator" w:id="0">
    <w:p w:rsidR="0047316B" w:rsidRDefault="0047316B" w:rsidP="00E0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16B" w:rsidRDefault="0047316B" w:rsidP="00E01122">
      <w:r>
        <w:separator/>
      </w:r>
    </w:p>
  </w:footnote>
  <w:footnote w:type="continuationSeparator" w:id="0">
    <w:p w:rsidR="0047316B" w:rsidRDefault="0047316B" w:rsidP="00E01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C65" w:rsidRDefault="00816C65">
    <w:pPr>
      <w:pStyle w:val="a4"/>
      <w:jc w:val="right"/>
    </w:pPr>
    <w:r>
      <w:fldChar w:fldCharType="begin"/>
    </w:r>
    <w:r>
      <w:instrText xml:space="preserve"> PAGE   \* MERGEFORMAT </w:instrText>
    </w:r>
    <w:r>
      <w:fldChar w:fldCharType="separate"/>
    </w:r>
    <w:r w:rsidR="00406F0F">
      <w:rPr>
        <w:noProof/>
      </w:rPr>
      <w:t>3</w:t>
    </w:r>
    <w:r>
      <w:fldChar w:fldCharType="end"/>
    </w:r>
  </w:p>
  <w:p w:rsidR="00816C65" w:rsidRDefault="00816C6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214FE"/>
    <w:multiLevelType w:val="hybridMultilevel"/>
    <w:tmpl w:val="CDA4C7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AFF"/>
    <w:rsid w:val="00047348"/>
    <w:rsid w:val="0009087A"/>
    <w:rsid w:val="000C4BD4"/>
    <w:rsid w:val="003A312D"/>
    <w:rsid w:val="003D50E2"/>
    <w:rsid w:val="003E3736"/>
    <w:rsid w:val="00406F0F"/>
    <w:rsid w:val="0047316B"/>
    <w:rsid w:val="00572BC6"/>
    <w:rsid w:val="00574B47"/>
    <w:rsid w:val="005F3D2C"/>
    <w:rsid w:val="00600D66"/>
    <w:rsid w:val="00606BF0"/>
    <w:rsid w:val="007C7F95"/>
    <w:rsid w:val="00816C65"/>
    <w:rsid w:val="008A30B3"/>
    <w:rsid w:val="008E38A9"/>
    <w:rsid w:val="009C6EE9"/>
    <w:rsid w:val="00A51921"/>
    <w:rsid w:val="00AD5BE3"/>
    <w:rsid w:val="00AE011D"/>
    <w:rsid w:val="00BE1EFC"/>
    <w:rsid w:val="00C65AFF"/>
    <w:rsid w:val="00D15C3F"/>
    <w:rsid w:val="00D51650"/>
    <w:rsid w:val="00E01122"/>
    <w:rsid w:val="00E33FBA"/>
    <w:rsid w:val="00E865E1"/>
    <w:rsid w:val="00FD2523"/>
    <w:rsid w:val="00FE2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41C894-53BC-4883-A68F-324A4B13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7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FD2523"/>
    <w:pPr>
      <w:widowControl w:val="0"/>
      <w:autoSpaceDE w:val="0"/>
      <w:autoSpaceDN w:val="0"/>
      <w:adjustRightInd w:val="0"/>
    </w:pPr>
    <w:rPr>
      <w:rFonts w:ascii="Arial" w:hAnsi="Arial" w:cs="Arial"/>
    </w:rPr>
  </w:style>
  <w:style w:type="character" w:customStyle="1" w:styleId="FontStyle15">
    <w:name w:val="Font Style15"/>
    <w:uiPriority w:val="99"/>
    <w:rsid w:val="00FD2523"/>
    <w:rPr>
      <w:rFonts w:ascii="Microsoft Sans Serif" w:hAnsi="Microsoft Sans Serif" w:cs="Microsoft Sans Serif"/>
      <w:sz w:val="12"/>
      <w:szCs w:val="12"/>
    </w:rPr>
  </w:style>
  <w:style w:type="paragraph" w:customStyle="1" w:styleId="Style4">
    <w:name w:val="Style4"/>
    <w:basedOn w:val="a"/>
    <w:uiPriority w:val="99"/>
    <w:rsid w:val="00FD2523"/>
    <w:pPr>
      <w:widowControl w:val="0"/>
      <w:autoSpaceDE w:val="0"/>
      <w:autoSpaceDN w:val="0"/>
      <w:adjustRightInd w:val="0"/>
    </w:pPr>
    <w:rPr>
      <w:rFonts w:ascii="Arial" w:hAnsi="Arial" w:cs="Arial"/>
    </w:rPr>
  </w:style>
  <w:style w:type="character" w:customStyle="1" w:styleId="FontStyle16">
    <w:name w:val="Font Style16"/>
    <w:uiPriority w:val="99"/>
    <w:rsid w:val="00FD2523"/>
    <w:rPr>
      <w:rFonts w:ascii="Bookman Old Style" w:hAnsi="Bookman Old Style" w:cs="Bookman Old Style"/>
      <w:b/>
      <w:bCs/>
      <w:sz w:val="8"/>
      <w:szCs w:val="8"/>
    </w:rPr>
  </w:style>
  <w:style w:type="paragraph" w:customStyle="1" w:styleId="Style6">
    <w:name w:val="Style6"/>
    <w:basedOn w:val="a"/>
    <w:uiPriority w:val="99"/>
    <w:rsid w:val="00FD2523"/>
    <w:pPr>
      <w:widowControl w:val="0"/>
      <w:autoSpaceDE w:val="0"/>
      <w:autoSpaceDN w:val="0"/>
      <w:adjustRightInd w:val="0"/>
      <w:spacing w:line="202" w:lineRule="exact"/>
      <w:jc w:val="center"/>
    </w:pPr>
    <w:rPr>
      <w:rFonts w:ascii="Arial" w:hAnsi="Arial" w:cs="Arial"/>
    </w:rPr>
  </w:style>
  <w:style w:type="paragraph" w:customStyle="1" w:styleId="Style11">
    <w:name w:val="Style11"/>
    <w:basedOn w:val="a"/>
    <w:uiPriority w:val="99"/>
    <w:rsid w:val="00FD2523"/>
    <w:pPr>
      <w:widowControl w:val="0"/>
      <w:autoSpaceDE w:val="0"/>
      <w:autoSpaceDN w:val="0"/>
      <w:adjustRightInd w:val="0"/>
    </w:pPr>
    <w:rPr>
      <w:rFonts w:ascii="Arial" w:hAnsi="Arial" w:cs="Arial"/>
    </w:rPr>
  </w:style>
  <w:style w:type="character" w:customStyle="1" w:styleId="FontStyle17">
    <w:name w:val="Font Style17"/>
    <w:uiPriority w:val="99"/>
    <w:rsid w:val="00FD2523"/>
    <w:rPr>
      <w:rFonts w:ascii="Times New Roman" w:hAnsi="Times New Roman" w:cs="Times New Roman"/>
      <w:b/>
      <w:bCs/>
      <w:sz w:val="14"/>
      <w:szCs w:val="14"/>
    </w:rPr>
  </w:style>
  <w:style w:type="character" w:customStyle="1" w:styleId="FontStyle19">
    <w:name w:val="Font Style19"/>
    <w:uiPriority w:val="99"/>
    <w:rsid w:val="00FD2523"/>
    <w:rPr>
      <w:rFonts w:ascii="Times New Roman" w:hAnsi="Times New Roman" w:cs="Times New Roman"/>
      <w:b/>
      <w:bCs/>
      <w:sz w:val="16"/>
      <w:szCs w:val="16"/>
    </w:rPr>
  </w:style>
  <w:style w:type="character" w:customStyle="1" w:styleId="FontStyle20">
    <w:name w:val="Font Style20"/>
    <w:uiPriority w:val="99"/>
    <w:rsid w:val="00FD2523"/>
    <w:rPr>
      <w:rFonts w:ascii="Times New Roman" w:hAnsi="Times New Roman" w:cs="Times New Roman"/>
      <w:sz w:val="16"/>
      <w:szCs w:val="16"/>
    </w:rPr>
  </w:style>
  <w:style w:type="character" w:styleId="a3">
    <w:name w:val="Hyperlink"/>
    <w:uiPriority w:val="99"/>
    <w:rsid w:val="00FD2523"/>
    <w:rPr>
      <w:rFonts w:cs="Times New Roman"/>
      <w:color w:val="000080"/>
      <w:u w:val="single"/>
    </w:rPr>
  </w:style>
  <w:style w:type="paragraph" w:styleId="a4">
    <w:name w:val="header"/>
    <w:basedOn w:val="a"/>
    <w:link w:val="a5"/>
    <w:uiPriority w:val="99"/>
    <w:rsid w:val="00E01122"/>
    <w:pPr>
      <w:tabs>
        <w:tab w:val="center" w:pos="4677"/>
        <w:tab w:val="right" w:pos="9355"/>
      </w:tabs>
    </w:pPr>
  </w:style>
  <w:style w:type="paragraph" w:styleId="a6">
    <w:name w:val="footer"/>
    <w:basedOn w:val="a"/>
    <w:link w:val="a7"/>
    <w:uiPriority w:val="99"/>
    <w:rsid w:val="00E01122"/>
    <w:pPr>
      <w:tabs>
        <w:tab w:val="center" w:pos="4677"/>
        <w:tab w:val="right" w:pos="9355"/>
      </w:tabs>
    </w:pPr>
  </w:style>
  <w:style w:type="character" w:customStyle="1" w:styleId="a5">
    <w:name w:val="Верхний колонтитул Знак"/>
    <w:link w:val="a4"/>
    <w:uiPriority w:val="99"/>
    <w:locked/>
    <w:rsid w:val="00E01122"/>
    <w:rPr>
      <w:rFonts w:cs="Times New Roman"/>
      <w:sz w:val="24"/>
      <w:szCs w:val="24"/>
    </w:rPr>
  </w:style>
  <w:style w:type="paragraph" w:styleId="a8">
    <w:name w:val="List Paragraph"/>
    <w:basedOn w:val="a"/>
    <w:uiPriority w:val="99"/>
    <w:qFormat/>
    <w:rsid w:val="00BE1EFC"/>
    <w:pPr>
      <w:ind w:left="720"/>
      <w:contextualSpacing/>
    </w:pPr>
  </w:style>
  <w:style w:type="character" w:customStyle="1" w:styleId="a7">
    <w:name w:val="Нижний колонтитул Знак"/>
    <w:link w:val="a6"/>
    <w:uiPriority w:val="99"/>
    <w:locked/>
    <w:rsid w:val="00E01122"/>
    <w:rPr>
      <w:rFonts w:cs="Times New Roman"/>
      <w:sz w:val="24"/>
      <w:szCs w:val="24"/>
    </w:rPr>
  </w:style>
  <w:style w:type="table" w:styleId="1">
    <w:name w:val="Table Grid 1"/>
    <w:basedOn w:val="a1"/>
    <w:uiPriority w:val="99"/>
    <w:rsid w:val="00D5165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f.org" TargetMode="External"/><Relationship Id="rId3" Type="http://schemas.openxmlformats.org/officeDocument/2006/relationships/settings" Target="settings.xml"/><Relationship Id="rId7" Type="http://schemas.openxmlformats.org/officeDocument/2006/relationships/hyperlink" Target="http://www.world-exchang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3706</Words>
  <Characters>21128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OK</Company>
  <LinksUpToDate>false</LinksUpToDate>
  <CharactersWithSpaces>24785</CharactersWithSpaces>
  <SharedDoc>false</SharedDoc>
  <HLinks>
    <vt:vector size="12" baseType="variant">
      <vt:variant>
        <vt:i4>2883681</vt:i4>
      </vt:variant>
      <vt:variant>
        <vt:i4>3</vt:i4>
      </vt:variant>
      <vt:variant>
        <vt:i4>0</vt:i4>
      </vt:variant>
      <vt:variant>
        <vt:i4>5</vt:i4>
      </vt:variant>
      <vt:variant>
        <vt:lpwstr>http://www.imf.org/</vt:lpwstr>
      </vt:variant>
      <vt:variant>
        <vt:lpwstr/>
      </vt:variant>
      <vt:variant>
        <vt:i4>3211321</vt:i4>
      </vt:variant>
      <vt:variant>
        <vt:i4>0</vt:i4>
      </vt:variant>
      <vt:variant>
        <vt:i4>0</vt:i4>
      </vt:variant>
      <vt:variant>
        <vt:i4>5</vt:i4>
      </vt:variant>
      <vt:variant>
        <vt:lpwstr>http://www.world-exchanges.org/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Botanic</dc:creator>
  <cp:keywords/>
  <dc:description/>
  <cp:lastModifiedBy>admin</cp:lastModifiedBy>
  <cp:revision>2</cp:revision>
  <dcterms:created xsi:type="dcterms:W3CDTF">2014-04-06T15:54:00Z</dcterms:created>
  <dcterms:modified xsi:type="dcterms:W3CDTF">2014-04-06T15:54:00Z</dcterms:modified>
</cp:coreProperties>
</file>