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C3" w:rsidRDefault="009037C3" w:rsidP="000D3D2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3BC8" w:rsidRPr="00E542EE" w:rsidRDefault="00D03BC8" w:rsidP="000D3D2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42EE">
        <w:rPr>
          <w:rFonts w:ascii="Times New Roman" w:hAnsi="Times New Roman"/>
          <w:b/>
          <w:bCs/>
          <w:sz w:val="28"/>
          <w:szCs w:val="28"/>
          <w:lang w:eastAsia="ru-RU"/>
        </w:rPr>
        <w:t>Кейс № 6</w:t>
      </w:r>
      <w:r w:rsidRPr="00E542EE">
        <w:rPr>
          <w:rFonts w:ascii="Times New Roman" w:hAnsi="Times New Roman"/>
          <w:b/>
          <w:bCs/>
          <w:sz w:val="28"/>
          <w:szCs w:val="28"/>
          <w:lang w:eastAsia="ru-RU"/>
        </w:rPr>
        <w:br/>
        <w:t>Прямые иностранные инвестиции в нефтяную промышленность Венесуэлы</w:t>
      </w:r>
    </w:p>
    <w:p w:rsidR="00D03BC8" w:rsidRPr="00E542EE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42EE">
        <w:rPr>
          <w:rFonts w:ascii="Times New Roman" w:hAnsi="Times New Roman"/>
          <w:b/>
          <w:sz w:val="28"/>
          <w:szCs w:val="28"/>
        </w:rPr>
        <w:t xml:space="preserve">1 вопрос: </w:t>
      </w:r>
      <w:r>
        <w:rPr>
          <w:rFonts w:ascii="Times New Roman" w:hAnsi="Times New Roman"/>
          <w:b/>
          <w:sz w:val="28"/>
          <w:szCs w:val="28"/>
        </w:rPr>
        <w:t>Ц</w:t>
      </w:r>
      <w:r w:rsidRPr="00E542EE">
        <w:rPr>
          <w:rFonts w:ascii="Times New Roman" w:hAnsi="Times New Roman"/>
          <w:b/>
          <w:sz w:val="28"/>
          <w:szCs w:val="28"/>
        </w:rPr>
        <w:t xml:space="preserve">ели и подходы правительства Венесуэлы к привлечению иностранных инвестиций в сферу нефтедобычи и нефтепереработки в разные периоды. 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 xml:space="preserve">Для этого выделим основные этапы политики Венесуэлы к привлечению иностранных инвестиций. 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</w:t>
      </w:r>
      <w:r w:rsidRPr="0013587D">
        <w:rPr>
          <w:rFonts w:ascii="Times New Roman" w:hAnsi="Times New Roman"/>
          <w:sz w:val="28"/>
          <w:szCs w:val="28"/>
        </w:rPr>
        <w:t xml:space="preserve"> </w:t>
      </w:r>
    </w:p>
    <w:p w:rsidR="00D03BC8" w:rsidRPr="0013587D" w:rsidRDefault="00D03BC8" w:rsidP="000D3D22">
      <w:pPr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</w:rPr>
        <w:t>20-60-е гг. ХХ века – рост нефтяной индустрии. Н</w:t>
      </w:r>
      <w:r w:rsidRPr="0013587D">
        <w:rPr>
          <w:rFonts w:ascii="Times New Roman" w:hAnsi="Times New Roman"/>
          <w:sz w:val="28"/>
          <w:szCs w:val="28"/>
          <w:lang w:eastAsia="ru-RU"/>
        </w:rPr>
        <w:t>ефтяные месторождения разрабатывались на основе </w:t>
      </w:r>
      <w:hyperlink r:id="rId7" w:tooltip="Концессия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концессий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, среди владельцев которых сначала преобладали компании </w:t>
      </w:r>
      <w:hyperlink r:id="rId8" w:tooltip="Великобритания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Великобритании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, а с конца </w:t>
      </w:r>
      <w:hyperlink r:id="rId9" w:tooltip="1920-е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1920-х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 — корпорации </w:t>
      </w:r>
      <w:hyperlink r:id="rId10" w:tooltip="США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США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. Согласно условиям концессий, их владельцам принадлежало добытое сырье, и они же устанавливали на него цены. Государство же получало крайне низкую концессионную пошлину, плату за недра (</w:t>
      </w:r>
      <w:hyperlink r:id="rId11" w:tooltip="Роялти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роялти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 xml:space="preserve">), пропорциональную объему производства, и налог на прибыль. </w:t>
      </w:r>
    </w:p>
    <w:p w:rsidR="00D03BC8" w:rsidRPr="0013587D" w:rsidRDefault="00D03BC8" w:rsidP="000D3D22">
      <w:pPr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 xml:space="preserve"> Целью ведения такой политики стало </w:t>
      </w:r>
      <w:r w:rsidRPr="0013587D">
        <w:rPr>
          <w:rFonts w:ascii="Times New Roman" w:hAnsi="Times New Roman"/>
          <w:sz w:val="28"/>
          <w:szCs w:val="28"/>
        </w:rPr>
        <w:t xml:space="preserve">привлечение иностранных инвестиций для развития нефтяной промышленности, открытие новых месторождений путем заключения концессионных договоров.  </w:t>
      </w:r>
    </w:p>
    <w:p w:rsidR="00D03BC8" w:rsidRPr="0013587D" w:rsidRDefault="00D03BC8" w:rsidP="000D3D22">
      <w:pPr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этап</w:t>
      </w:r>
    </w:p>
    <w:p w:rsidR="00D03BC8" w:rsidRPr="0013587D" w:rsidRDefault="00D03BC8" w:rsidP="000D3D2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>Нач. 60-х – 76гг. Активное наступление на позиции международных нефтяных монополий в стране.</w:t>
      </w:r>
    </w:p>
    <w:p w:rsidR="00D03BC8" w:rsidRPr="0013587D" w:rsidRDefault="00D03BC8" w:rsidP="000D3D2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>Из-за большого влияния нефтяных международных монополий на экономику страны в  </w:t>
      </w:r>
      <w:hyperlink r:id="rId12" w:tooltip="1959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1959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 правительство Венесуэлы повысило налог на прибыль нефтяных компаний с 26% до 45%, а к началу </w:t>
      </w:r>
      <w:hyperlink r:id="rId13" w:tooltip="1970-е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1970-х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 — до 50% и выше. Стал меняться и порядок определения цен на нефть, после того как в 1960 была образована </w:t>
      </w:r>
      <w:hyperlink r:id="rId14" w:tooltip="ОПЕК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ОПЕК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 xml:space="preserve">, одним из создателей которой стала Венесуэла. Таким образом, Венесуэла пыталась отойти от американизации  и получит самостоятельность управления своей нефтяной промышленности. </w:t>
      </w:r>
    </w:p>
    <w:p w:rsidR="00D03BC8" w:rsidRPr="0013587D" w:rsidRDefault="00D03BC8" w:rsidP="000D3D2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 этап</w:t>
      </w:r>
    </w:p>
    <w:p w:rsidR="00D03BC8" w:rsidRPr="0013587D" w:rsidRDefault="00D03BC8" w:rsidP="000D3D2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 xml:space="preserve">1975-76 – 90-е гг. – национализация нефтяной промышленности. </w:t>
      </w:r>
    </w:p>
    <w:p w:rsidR="00D03BC8" w:rsidRPr="0013587D" w:rsidRDefault="00D03BC8" w:rsidP="000D3D2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 xml:space="preserve">Нефтяная промышленность была национализирована в Венесуэле в течение 1975-76 гг., была создана PdVSA (Petroleos de Venezuela, S.A.). </w:t>
      </w:r>
    </w:p>
    <w:p w:rsidR="00D03BC8" w:rsidRPr="0013587D" w:rsidRDefault="00D03BC8" w:rsidP="000D3D22">
      <w:pPr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>Государственная нефтяная компания </w:t>
      </w:r>
      <w:hyperlink r:id="rId15" w:tooltip="Petroleos de Venezuela (страница отсутствует)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Petroleos de Venezuela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 SA (PDVSA) работала крайне неэффективно, расходуя значительные средства на дорогостоящие и амбициозные проекты, жалование высокопоставленным работникам. Несмотря на высокие цены на нефть, вырос внешний долг.</w:t>
      </w:r>
      <w:r w:rsidRPr="0013587D">
        <w:rPr>
          <w:rFonts w:ascii="Times New Roman" w:hAnsi="Times New Roman"/>
          <w:sz w:val="28"/>
          <w:szCs w:val="28"/>
        </w:rPr>
        <w:t xml:space="preserve"> Государственная нефтяная монополия страны, Petroleos de Venezuela SA (PDVSA) не смогла разработать новые нефтяные месторождения  с целью замены обедневших существующих резервов и к середине 80-х добыча нефти в стране начала падать. Также отсутствие квалифицированных управленцев способствовало провалу национализации. 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>4 этап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>1991-99 гг. – доступ частных иностранных компаний к нефтяной промышленности.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>Цель</w:t>
      </w:r>
      <w:r w:rsidRPr="0013587D">
        <w:rPr>
          <w:rFonts w:ascii="Times New Roman" w:hAnsi="Times New Roman"/>
          <w:sz w:val="28"/>
          <w:szCs w:val="28"/>
          <w:u w:val="single"/>
        </w:rPr>
        <w:t>:</w:t>
      </w:r>
      <w:r w:rsidRPr="0013587D">
        <w:rPr>
          <w:rFonts w:ascii="Times New Roman" w:hAnsi="Times New Roman"/>
          <w:sz w:val="28"/>
          <w:szCs w:val="28"/>
        </w:rPr>
        <w:t xml:space="preserve"> возобновление привлечения инвестиций из-за неэффективной деятельности государственной монополии и роста внешнего долга путем организации тендеров среди международных нефтяных компаний и дальнейшее создание совместных предприятий. </w:t>
      </w:r>
    </w:p>
    <w:p w:rsidR="00D03BC8" w:rsidRPr="0013587D" w:rsidRDefault="00D03BC8" w:rsidP="000D3D2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</w:rPr>
        <w:t>Столкнувшись с перспективой уменьшения доходов от экспорта, в 1991 году Венесуэла изменила свою политику и открыла доступ иностранных инвесторов к нефтяной промышленности. Однако б</w:t>
      </w:r>
      <w:r w:rsidRPr="0013587D">
        <w:rPr>
          <w:rFonts w:ascii="Times New Roman" w:hAnsi="Times New Roman"/>
          <w:sz w:val="28"/>
          <w:szCs w:val="28"/>
          <w:lang w:eastAsia="ru-RU"/>
        </w:rPr>
        <w:t>олее 50% добытой нефти экспортируется. Это свидетельствует о сохранении ориентации нефтяного сектора Венесуэлы преимущественно на внешние рынки.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>Первый договор по прямым иностранными инвестициям был в 1992 году с British Petroleum (BP). BP согласилась инвестировать 60 миллионов долларов к 1995 году для разработки нефтяного месторождения с ограниченными запасами, на которое она будет иметь право в течение следующих 20 лет.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 xml:space="preserve">К 1997 году более чем 40 проектов по развитию шли полным ходом в Венесуэле, вовлекая иностранные нефтяные компании в сотрудничество с PDVSA. Почти все основные нефтяные компании мира ведут какую-либо деятельность в стране. 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>5 этап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>1999 г. – наст. время.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87D">
        <w:rPr>
          <w:rFonts w:ascii="Times New Roman" w:hAnsi="Times New Roman"/>
          <w:sz w:val="28"/>
          <w:szCs w:val="28"/>
        </w:rPr>
        <w:t xml:space="preserve">Цель: ограничение деятельности иностранных компаний на территории Венесуэлы путем отмены закона о приватизации, увеличения налогообложения и увеличения роялти. </w:t>
      </w:r>
    </w:p>
    <w:p w:rsidR="00D03BC8" w:rsidRPr="0013587D" w:rsidRDefault="00D03BC8" w:rsidP="000D3D2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>С приходом к власти </w:t>
      </w:r>
      <w:hyperlink r:id="rId16" w:tooltip="Уго Чавес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Уго Чавеса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 (</w:t>
      </w:r>
      <w:hyperlink r:id="rId17" w:tooltip="1999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1999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>) был принят закон, предполагающий усиление роли государства и увеличение налогообложения в нефтяной сфере (</w:t>
      </w:r>
      <w:hyperlink r:id="rId18" w:tooltip="2002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2002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 xml:space="preserve">). Доля государства в нефтеразведке и нефтедобыче была установлена на уровне не ниже 51%. Значительно увеличена и плата за недра — роялти. </w:t>
      </w:r>
    </w:p>
    <w:p w:rsidR="00D03BC8" w:rsidRPr="0013587D" w:rsidRDefault="00D03BC8" w:rsidP="000D3D22">
      <w:pPr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7D">
        <w:rPr>
          <w:rFonts w:ascii="Times New Roman" w:hAnsi="Times New Roman"/>
          <w:sz w:val="28"/>
          <w:szCs w:val="28"/>
          <w:lang w:eastAsia="ru-RU"/>
        </w:rPr>
        <w:t>В начале января 2007 Уго Чавес объявил о намерении Венесуэлы получить контрольный пакет акций добывающих и нефтеперерабатывающих предприятий «</w:t>
      </w:r>
      <w:hyperlink r:id="rId19" w:tooltip="ExxonMobil" w:history="1">
        <w:r w:rsidRPr="0013587D">
          <w:rPr>
            <w:rFonts w:ascii="Times New Roman" w:hAnsi="Times New Roman"/>
            <w:sz w:val="28"/>
            <w:szCs w:val="28"/>
            <w:lang w:eastAsia="ru-RU"/>
          </w:rPr>
          <w:t>ExxonMobil</w:t>
        </w:r>
      </w:hyperlink>
      <w:r w:rsidRPr="0013587D">
        <w:rPr>
          <w:rFonts w:ascii="Times New Roman" w:hAnsi="Times New Roman"/>
          <w:sz w:val="28"/>
          <w:szCs w:val="28"/>
          <w:lang w:eastAsia="ru-RU"/>
        </w:rPr>
        <w:t xml:space="preserve">», Shevron, Total, ConocoPhillips, Statoil, BP. 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3BC8" w:rsidRDefault="00D03BC8" w:rsidP="000D3D22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D3D22">
        <w:rPr>
          <w:rFonts w:ascii="Times New Roman" w:hAnsi="Times New Roman"/>
          <w:b/>
          <w:sz w:val="28"/>
          <w:szCs w:val="28"/>
        </w:rPr>
        <w:t xml:space="preserve">2 вопрос: Обоснуйте  возможность применения опыта Венесуэлы применительно к России.          </w:t>
      </w:r>
    </w:p>
    <w:p w:rsidR="00D03BC8" w:rsidRDefault="00D03BC8" w:rsidP="000D1A46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ответа на данный вопрос необходимо определить, в каких формах существует привлечение иностранных инвестиций в России. Их две: совместные предприятия и Соглашения о разделе продукции. 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>Совместные предприятия в нефтяной промышленности России стали создаваться с 1989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A46">
        <w:rPr>
          <w:rFonts w:ascii="Times New Roman" w:hAnsi="Times New Roman"/>
          <w:sz w:val="28"/>
          <w:szCs w:val="28"/>
        </w:rPr>
        <w:t>В настоящее время в отечественной нефтяной промышленности работают 42 нефтедобывающие компании, обладающие лицензиями на разведку и разработку месторождений.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>Существует около 20 предприятий, которые оказывают технические и производственны</w:t>
      </w:r>
      <w:r>
        <w:rPr>
          <w:rFonts w:ascii="Times New Roman" w:hAnsi="Times New Roman"/>
          <w:sz w:val="28"/>
          <w:szCs w:val="28"/>
        </w:rPr>
        <w:t>е услуги или совмещают разведку</w:t>
      </w:r>
      <w:r w:rsidRPr="000D1A46">
        <w:rPr>
          <w:rFonts w:ascii="Times New Roman" w:hAnsi="Times New Roman"/>
          <w:sz w:val="28"/>
          <w:szCs w:val="28"/>
        </w:rPr>
        <w:t>/добычу нефти с работами сервисного или экологического характера. Они относятся к группе так называемых "привлеченных предприятий".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>Иностранными соучредителями СП являются свыше 60 компаний из 17 стран мира, которые представлены, как широко известными нефтяными фирмами "Коноко", "Оксидентал", "Бритиш Газ", "Тотал", так и средними и мелкими иностранными фирмами. Более трети инвесторов приходится на США и Канаду, несколько компаний из Англии и Германии, а также Франции, Бельгии и из других стран.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 xml:space="preserve">Распределение долей учредителей в уставном фонде, как правило, колеблется в пределах 50 - 80% в пользу российской стороны. Доля СП с мажоритарным (т.е. более 50%) и паритетным (т.е. 50%/50%) участием превышает 95%. 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 xml:space="preserve">В России отношения, возникающие в рамках соглашений о разделе продукции, регулируются федеральным законом № 225-ФЗ от 30 декабря 1995 «О соглашениях о разделе продукции». 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>В 2006 в России в рамках СРП разрабатываются три проекта: Харьягинское нефтяное месторождение (оператор — Total), «Сахалин-1» (оператор — ExxonMobil) и «Сахалин-2» (оператор — Sakhalin Energy). Общая сумма дохода, полученного российским государством от трёх данных проектов, составила к началу 2006 около $686 млн.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Концессии.  </w:t>
      </w:r>
      <w:r w:rsidRPr="000D1A46">
        <w:rPr>
          <w:rFonts w:ascii="Times New Roman" w:hAnsi="Times New Roman"/>
          <w:sz w:val="28"/>
          <w:szCs w:val="28"/>
        </w:rPr>
        <w:t xml:space="preserve">Данные взаимоотношения государства и частного бизнеса регулируются ФЗ № 115 от 21.07.2005г.  и только в рамках контракта ВОТ (строительство-управление-передача).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A46">
        <w:rPr>
          <w:rFonts w:ascii="Times New Roman" w:hAnsi="Times New Roman"/>
          <w:sz w:val="28"/>
          <w:szCs w:val="28"/>
        </w:rPr>
        <w:t xml:space="preserve">Концессии в нефтяном секторе России только начинают развиваться. Ни одного концессионного договора на современном этапе не было реализовано. </w:t>
      </w:r>
    </w:p>
    <w:p w:rsidR="00D03BC8" w:rsidRPr="000D1A46" w:rsidRDefault="00D03BC8" w:rsidP="000D1A46">
      <w:pPr>
        <w:tabs>
          <w:tab w:val="left" w:pos="0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Приватизация нефтяных компаний. </w:t>
      </w:r>
      <w:r w:rsidRPr="000D1A46">
        <w:rPr>
          <w:rFonts w:ascii="Times New Roman" w:hAnsi="Times New Roman"/>
          <w:sz w:val="28"/>
          <w:szCs w:val="28"/>
        </w:rPr>
        <w:t xml:space="preserve">Российское правительство инициировало приватизацию нефтяной промышленности посредством проведения закона «О недрах» (1992 г.) и принятия новой конституции (1993).  Итог, в 90-х гг. было приватизировано 80% государственных компаний ТЭК. </w:t>
      </w:r>
    </w:p>
    <w:p w:rsidR="00D03BC8" w:rsidRPr="000D1A46" w:rsidRDefault="00D03BC8" w:rsidP="000D1A46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приватизацией и национализацией </w:t>
      </w:r>
      <w:r w:rsidRPr="000D1A46">
        <w:rPr>
          <w:rFonts w:ascii="Times New Roman" w:hAnsi="Times New Roman"/>
          <w:sz w:val="28"/>
          <w:szCs w:val="28"/>
        </w:rPr>
        <w:t>н</w:t>
      </w:r>
      <w:r w:rsidRPr="000D1A46">
        <w:rPr>
          <w:rFonts w:ascii="Times New Roman" w:hAnsi="Times New Roman"/>
          <w:bCs/>
          <w:sz w:val="28"/>
          <w:szCs w:val="28"/>
        </w:rPr>
        <w:t>а сегодняшний день в России можно выделить три типа крупных нефтекомпаний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03BC8" w:rsidRPr="000D1A46" w:rsidRDefault="00D03BC8" w:rsidP="000D1A46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>Первые являются составной частью и во многом основой финансово-промышленных групп. К их числу можно отнести ЮКОС, ТНК, СИДАНКО, «Сибнефть».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A46">
        <w:rPr>
          <w:rFonts w:ascii="Times New Roman" w:hAnsi="Times New Roman"/>
          <w:sz w:val="28"/>
          <w:szCs w:val="28"/>
        </w:rPr>
        <w:t xml:space="preserve">Их стратегия ориентируется на финансовый результат. </w:t>
      </w:r>
    </w:p>
    <w:p w:rsidR="00D03BC8" w:rsidRPr="000D1A46" w:rsidRDefault="00D03BC8" w:rsidP="000D1A46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 xml:space="preserve">Ко второму типу относятся компании, возглавляемые менеджерами, выращенными и воспитанными нефтегазовой отраслью. Прежде всего, это ЛУКОЙЛ и «Сургутнефтегаз». В своей деятельности эти корпорации ориентируются на отраслевые приоритеты: повышение эффективности добычи нефти и использования скважин, ресурсосбережение, социальную защищенность работников. </w:t>
      </w:r>
    </w:p>
    <w:p w:rsidR="00D03BC8" w:rsidRPr="000D1A46" w:rsidRDefault="00D03BC8" w:rsidP="000D1A46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A46">
        <w:rPr>
          <w:rFonts w:ascii="Times New Roman" w:hAnsi="Times New Roman"/>
          <w:sz w:val="28"/>
          <w:szCs w:val="28"/>
        </w:rPr>
        <w:t xml:space="preserve">Наконец, третья группа компаний включает в себя те, в управлении которыми важную роль по-прежнему играет государство в лице центральных (на 100% принадлежащая государству «Роснефть») или региональных («Татнефть» и «Башнефть») органов власти. </w:t>
      </w:r>
    </w:p>
    <w:p w:rsidR="00D03BC8" w:rsidRPr="000D3D22" w:rsidRDefault="00D03BC8" w:rsidP="000D1A46">
      <w:pPr>
        <w:tabs>
          <w:tab w:val="left" w:pos="709"/>
        </w:tabs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3BC8" w:rsidRPr="000D3D22" w:rsidRDefault="00D03BC8" w:rsidP="000D3D22">
      <w:pPr>
        <w:spacing w:before="96" w:after="12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3D22">
        <w:rPr>
          <w:rFonts w:ascii="Times New Roman" w:hAnsi="Times New Roman"/>
          <w:b/>
          <w:sz w:val="28"/>
          <w:szCs w:val="28"/>
        </w:rPr>
        <w:t xml:space="preserve">  </w:t>
      </w:r>
    </w:p>
    <w:p w:rsidR="00D03BC8" w:rsidRPr="0013587D" w:rsidRDefault="00D03BC8" w:rsidP="000D3D2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03BC8" w:rsidRPr="0013587D" w:rsidSect="00E542EE">
      <w:footerReference w:type="default" r:id="rId2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C8" w:rsidRDefault="00D03BC8" w:rsidP="000D3D22">
      <w:pPr>
        <w:spacing w:after="0" w:line="240" w:lineRule="auto"/>
      </w:pPr>
      <w:r>
        <w:separator/>
      </w:r>
    </w:p>
  </w:endnote>
  <w:endnote w:type="continuationSeparator" w:id="0">
    <w:p w:rsidR="00D03BC8" w:rsidRDefault="00D03BC8" w:rsidP="000D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C8" w:rsidRDefault="00D03BC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37C3">
      <w:rPr>
        <w:noProof/>
      </w:rPr>
      <w:t>1</w:t>
    </w:r>
    <w:r>
      <w:fldChar w:fldCharType="end"/>
    </w:r>
  </w:p>
  <w:p w:rsidR="00D03BC8" w:rsidRDefault="00D03B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C8" w:rsidRDefault="00D03BC8" w:rsidP="000D3D22">
      <w:pPr>
        <w:spacing w:after="0" w:line="240" w:lineRule="auto"/>
      </w:pPr>
      <w:r>
        <w:separator/>
      </w:r>
    </w:p>
  </w:footnote>
  <w:footnote w:type="continuationSeparator" w:id="0">
    <w:p w:rsidR="00D03BC8" w:rsidRDefault="00D03BC8" w:rsidP="000D3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DEE"/>
    <w:multiLevelType w:val="hybridMultilevel"/>
    <w:tmpl w:val="DD50D346"/>
    <w:lvl w:ilvl="0" w:tplc="B754C85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7033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D0F3E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6CEF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024D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9600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2A396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F450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CD1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E3662BD"/>
    <w:multiLevelType w:val="hybridMultilevel"/>
    <w:tmpl w:val="83C458A2"/>
    <w:lvl w:ilvl="0" w:tplc="C8D4F3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DEE9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0A53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A1F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7A63F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E23F5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E4B7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C625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7A15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ECE0638"/>
    <w:multiLevelType w:val="hybridMultilevel"/>
    <w:tmpl w:val="91247424"/>
    <w:lvl w:ilvl="0" w:tplc="28A0C6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301D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4A42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F69B2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F80A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C4FE3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5CC7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3A00C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ACC6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50E4F77"/>
    <w:multiLevelType w:val="hybridMultilevel"/>
    <w:tmpl w:val="8E60A10E"/>
    <w:lvl w:ilvl="0" w:tplc="281058A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F08C4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74F32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A66B2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94BF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A66A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C4521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9CB7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E43A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80D4023"/>
    <w:multiLevelType w:val="hybridMultilevel"/>
    <w:tmpl w:val="98A09B94"/>
    <w:lvl w:ilvl="0" w:tplc="225A3D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EA6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907F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84A3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545F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3638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609B5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E250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A01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D733287"/>
    <w:multiLevelType w:val="hybridMultilevel"/>
    <w:tmpl w:val="269A42A8"/>
    <w:lvl w:ilvl="0" w:tplc="AE78D74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18CE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4057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82D36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D8DF3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BEFD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1E56C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F09A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F2FD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4121DD4"/>
    <w:multiLevelType w:val="hybridMultilevel"/>
    <w:tmpl w:val="FC0AD752"/>
    <w:lvl w:ilvl="0" w:tplc="F1E0B6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44BE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6EE7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D609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60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6446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063C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FEF5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DAE7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48F7700"/>
    <w:multiLevelType w:val="hybridMultilevel"/>
    <w:tmpl w:val="143E1674"/>
    <w:lvl w:ilvl="0" w:tplc="D02489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00E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6C14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7AC5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3CD2C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6227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ECB2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A89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76CB2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50C16D9"/>
    <w:multiLevelType w:val="hybridMultilevel"/>
    <w:tmpl w:val="526437C2"/>
    <w:lvl w:ilvl="0" w:tplc="6D7224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2E9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C2BE1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C27C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5ACF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42E82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9EEB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260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5CFB3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57D5593"/>
    <w:multiLevelType w:val="hybridMultilevel"/>
    <w:tmpl w:val="43486ECA"/>
    <w:lvl w:ilvl="0" w:tplc="BBA4F1F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5470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761E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1C49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122A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AC3AF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F0F16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4AA9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1CB7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D8C1C3B"/>
    <w:multiLevelType w:val="hybridMultilevel"/>
    <w:tmpl w:val="98821998"/>
    <w:lvl w:ilvl="0" w:tplc="32286D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9611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6FD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2EB3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26CE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B045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483AF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9CC1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1431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8D61560"/>
    <w:multiLevelType w:val="hybridMultilevel"/>
    <w:tmpl w:val="642ECCAE"/>
    <w:lvl w:ilvl="0" w:tplc="D0304D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E053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30A84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CCA48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3E4A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B67A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7CDE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5A58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E0F4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C8D30CE"/>
    <w:multiLevelType w:val="hybridMultilevel"/>
    <w:tmpl w:val="2FB8FDBC"/>
    <w:lvl w:ilvl="0" w:tplc="C732741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271F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12BC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5AA3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9A90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749C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27F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1A7E7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C83E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648"/>
    <w:rsid w:val="000C3BD5"/>
    <w:rsid w:val="000D1A46"/>
    <w:rsid w:val="000D3D22"/>
    <w:rsid w:val="0013587D"/>
    <w:rsid w:val="001611F8"/>
    <w:rsid w:val="00260C0C"/>
    <w:rsid w:val="00302CA4"/>
    <w:rsid w:val="00381A4E"/>
    <w:rsid w:val="003E310D"/>
    <w:rsid w:val="004522BC"/>
    <w:rsid w:val="0045399D"/>
    <w:rsid w:val="004B525C"/>
    <w:rsid w:val="00585648"/>
    <w:rsid w:val="0065778A"/>
    <w:rsid w:val="00680747"/>
    <w:rsid w:val="00704174"/>
    <w:rsid w:val="008A779B"/>
    <w:rsid w:val="009037C3"/>
    <w:rsid w:val="00964D06"/>
    <w:rsid w:val="009F0E20"/>
    <w:rsid w:val="00AE24BF"/>
    <w:rsid w:val="00B41CA5"/>
    <w:rsid w:val="00BD66CE"/>
    <w:rsid w:val="00C03555"/>
    <w:rsid w:val="00CD3897"/>
    <w:rsid w:val="00D03BC8"/>
    <w:rsid w:val="00D73C52"/>
    <w:rsid w:val="00DC3086"/>
    <w:rsid w:val="00E542EE"/>
    <w:rsid w:val="00F1543B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92393-D229-4908-9505-07426AF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4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D66C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semiHidden/>
    <w:rsid w:val="000D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0D3D22"/>
    <w:rPr>
      <w:rFonts w:cs="Times New Roman"/>
    </w:rPr>
  </w:style>
  <w:style w:type="paragraph" w:styleId="a6">
    <w:name w:val="footer"/>
    <w:basedOn w:val="a"/>
    <w:link w:val="a7"/>
    <w:rsid w:val="000D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locked/>
    <w:rsid w:val="000D3D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B%D0%B8%D0%BA%D0%BE%D0%B1%D1%80%D0%B8%D1%82%D0%B0%D0%BD%D0%B8%D1%8F" TargetMode="External"/><Relationship Id="rId13" Type="http://schemas.openxmlformats.org/officeDocument/2006/relationships/hyperlink" Target="http://ru.wikipedia.org/wiki/1970-%D0%B5" TargetMode="External"/><Relationship Id="rId18" Type="http://schemas.openxmlformats.org/officeDocument/2006/relationships/hyperlink" Target="http://ru.wikipedia.org/wiki/20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%D0%9A%D0%BE%D0%BD%D1%86%D0%B5%D1%81%D1%81%D0%B8%D1%8F" TargetMode="External"/><Relationship Id="rId12" Type="http://schemas.openxmlformats.org/officeDocument/2006/relationships/hyperlink" Target="http://ru.wikipedia.org/wiki/1959" TargetMode="External"/><Relationship Id="rId17" Type="http://schemas.openxmlformats.org/officeDocument/2006/relationships/hyperlink" Target="http://ru.wikipedia.org/wiki/1999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3%D0%B3%D0%BE_%D0%A7%D0%B0%D0%B2%D0%B5%D1%8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0%D0%BE%D1%8F%D0%BB%D1%82%D0%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/index.php?title=Petroleos_de_Venezuela&amp;action=edit&amp;redlink=1" TargetMode="External"/><Relationship Id="rId10" Type="http://schemas.openxmlformats.org/officeDocument/2006/relationships/hyperlink" Target="http://ru.wikipedia.org/wiki/%D0%A1%D0%A8%D0%90" TargetMode="External"/><Relationship Id="rId19" Type="http://schemas.openxmlformats.org/officeDocument/2006/relationships/hyperlink" Target="http://ru.wikipedia.org/wiki/ExxonMob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1920-%D0%B5" TargetMode="External"/><Relationship Id="rId14" Type="http://schemas.openxmlformats.org/officeDocument/2006/relationships/hyperlink" Target="http://ru.wikipedia.org/wiki/%D0%9E%D0%9F%D0%95%D0%9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Кейс № 6</vt:lpstr>
    </vt:vector>
  </TitlesOfParts>
  <Company/>
  <LinksUpToDate>false</LinksUpToDate>
  <CharactersWithSpaces>8643</CharactersWithSpaces>
  <SharedDoc>false</SharedDoc>
  <HLinks>
    <vt:vector size="78" baseType="variant">
      <vt:variant>
        <vt:i4>8192054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http://ru.wikipedia.org/wiki/ExxonMobil</vt:lpwstr>
      </vt:variant>
      <vt:variant>
        <vt:lpwstr/>
      </vt:variant>
      <vt:variant>
        <vt:i4>655390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http://ru.wikipedia.org/wiki/2002</vt:lpwstr>
      </vt:variant>
      <vt:variant>
        <vt:lpwstr/>
      </vt:variant>
      <vt:variant>
        <vt:i4>23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http://ru.wikipedia.org/wiki/1999</vt:lpwstr>
      </vt:variant>
      <vt:variant>
        <vt:lpwstr/>
      </vt:variant>
      <vt:variant>
        <vt:i4>5439525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http://ru.wikipedia.org/wiki/%D0%A3%D0%B3%D0%BE_%D0%A7%D0%B0%D0%B2%D0%B5%D1%81</vt:lpwstr>
      </vt:variant>
      <vt:variant>
        <vt:lpwstr/>
      </vt:variant>
      <vt:variant>
        <vt:i4>5701655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http://ru.wikipedia.org/w/index.php?title=Petroleos_de_Venezuela&amp;action=edit&amp;redlink=1</vt:lpwstr>
      </vt:variant>
      <vt:variant>
        <vt:lpwstr/>
      </vt:variant>
      <vt:variant>
        <vt:i4>524312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http://ru.wikipedia.org/wiki/%D0%9E%D0%9F%D0%95%D0%9A</vt:lpwstr>
      </vt:variant>
      <vt:variant>
        <vt:lpwstr/>
      </vt:variant>
      <vt:variant>
        <vt:i4>5701712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http://ru.wikipedia.org/wiki/1970-%D0%B5</vt:lpwstr>
      </vt:variant>
      <vt:variant>
        <vt:lpwstr/>
      </vt:variant>
      <vt:variant>
        <vt:i4>786455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http://ru.wikipedia.org/wiki/1959</vt:lpwstr>
      </vt:variant>
      <vt:variant>
        <vt:lpwstr/>
      </vt:variant>
      <vt:variant>
        <vt:i4>720973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http://ru.wikipedia.org/wiki/%D0%A0%D0%BE%D1%8F%D0%BB%D1%82%D0%B8</vt:lpwstr>
      </vt:variant>
      <vt:variant>
        <vt:lpwstr/>
      </vt:variant>
      <vt:variant>
        <vt:i4>2359398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5374032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http://ru.wikipedia.org/wiki/1920-%D0%B5</vt:lpwstr>
      </vt:variant>
      <vt:variant>
        <vt:lpwstr/>
      </vt:variant>
      <vt:variant>
        <vt:i4>524304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http://ru.wikipedia.org/wiki/%D0%9A%D0%BE%D0%BD%D1%86%D0%B5%D1%81%D1%81%D0%B8%D1%8F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Кейс № 6</dc:title>
  <dc:subject/>
  <dc:creator>геворкова</dc:creator>
  <cp:keywords/>
  <dc:description/>
  <cp:lastModifiedBy>admin</cp:lastModifiedBy>
  <cp:revision>2</cp:revision>
  <dcterms:created xsi:type="dcterms:W3CDTF">2014-04-12T11:31:00Z</dcterms:created>
  <dcterms:modified xsi:type="dcterms:W3CDTF">2014-04-12T11:31:00Z</dcterms:modified>
</cp:coreProperties>
</file>