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63" w:rsidRDefault="00DB5D66" w:rsidP="00D125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B5D66" w:rsidRDefault="00DB5D66" w:rsidP="00D125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563" w:rsidRDefault="00DB5D66" w:rsidP="00D125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DB5D66" w:rsidRPr="00DB5D66" w:rsidRDefault="00D12563">
      <w:pPr>
        <w:pStyle w:val="11"/>
        <w:rPr>
          <w:noProof w:val="0"/>
          <w:lang w:val="ru-RU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266390702" w:history="1">
        <w:r w:rsidR="00DB5D66" w:rsidRPr="00DB5D66">
          <w:rPr>
            <w:noProof w:val="0"/>
            <w:lang w:val="ru-RU"/>
          </w:rPr>
          <w:t>Глава 1. Понятие и особенности производства по пересмотру решений арбитражных судов</w:t>
        </w:r>
        <w:r w:rsidR="00DB5D66" w:rsidRPr="00DB5D66">
          <w:rPr>
            <w:noProof w:val="0"/>
            <w:webHidden/>
            <w:lang w:val="ru-RU"/>
          </w:rPr>
          <w:tab/>
        </w:r>
        <w:r w:rsidR="00DB5D66" w:rsidRPr="00DB5D66">
          <w:rPr>
            <w:noProof w:val="0"/>
            <w:webHidden/>
            <w:lang w:val="ru-RU"/>
          </w:rPr>
          <w:fldChar w:fldCharType="begin"/>
        </w:r>
        <w:r w:rsidR="00DB5D66" w:rsidRPr="00DB5D66">
          <w:rPr>
            <w:noProof w:val="0"/>
            <w:webHidden/>
            <w:lang w:val="ru-RU"/>
          </w:rPr>
          <w:instrText xml:space="preserve"> PAGEREF _Toc266390702 \h </w:instrText>
        </w:r>
        <w:r w:rsidR="00DB5D66" w:rsidRPr="00DB5D66">
          <w:rPr>
            <w:noProof w:val="0"/>
            <w:webHidden/>
            <w:lang w:val="ru-RU"/>
          </w:rPr>
        </w:r>
        <w:r w:rsidR="00DB5D66" w:rsidRPr="00DB5D66">
          <w:rPr>
            <w:noProof w:val="0"/>
            <w:webHidden/>
            <w:lang w:val="ru-RU"/>
          </w:rPr>
          <w:fldChar w:fldCharType="separate"/>
        </w:r>
        <w:r w:rsidR="00DB5D66" w:rsidRPr="00DB5D66">
          <w:rPr>
            <w:noProof w:val="0"/>
            <w:webHidden/>
            <w:lang w:val="ru-RU"/>
          </w:rPr>
          <w:t>5</w:t>
        </w:r>
        <w:r w:rsidR="00DB5D66" w:rsidRPr="00DB5D66">
          <w:rPr>
            <w:noProof w:val="0"/>
            <w:webHidden/>
            <w:lang w:val="ru-RU"/>
          </w:rPr>
          <w:fldChar w:fldCharType="end"/>
        </w:r>
      </w:hyperlink>
    </w:p>
    <w:p w:rsidR="00DB5D66" w:rsidRPr="00DB5D66" w:rsidRDefault="006C72AA">
      <w:pPr>
        <w:pStyle w:val="11"/>
        <w:rPr>
          <w:noProof w:val="0"/>
          <w:lang w:val="ru-RU"/>
        </w:rPr>
      </w:pPr>
      <w:hyperlink w:anchor="_Toc266390703" w:history="1">
        <w:r w:rsidR="00DB5D66" w:rsidRPr="00DB5D66">
          <w:rPr>
            <w:noProof w:val="0"/>
            <w:lang w:val="ru-RU"/>
          </w:rPr>
          <w:t>Глава 2. Пересмотр судебных актов, не вступивших в законную силу</w:t>
        </w:r>
        <w:r w:rsidR="00DB5D66" w:rsidRPr="00DB5D66">
          <w:rPr>
            <w:noProof w:val="0"/>
            <w:webHidden/>
            <w:lang w:val="ru-RU"/>
          </w:rPr>
          <w:tab/>
        </w:r>
        <w:r w:rsidR="00DB5D66" w:rsidRPr="00DB5D66">
          <w:rPr>
            <w:noProof w:val="0"/>
            <w:webHidden/>
            <w:lang w:val="ru-RU"/>
          </w:rPr>
          <w:fldChar w:fldCharType="begin"/>
        </w:r>
        <w:r w:rsidR="00DB5D66" w:rsidRPr="00DB5D66">
          <w:rPr>
            <w:noProof w:val="0"/>
            <w:webHidden/>
            <w:lang w:val="ru-RU"/>
          </w:rPr>
          <w:instrText xml:space="preserve"> PAGEREF _Toc266390703 \h </w:instrText>
        </w:r>
        <w:r w:rsidR="00DB5D66" w:rsidRPr="00DB5D66">
          <w:rPr>
            <w:noProof w:val="0"/>
            <w:webHidden/>
            <w:lang w:val="ru-RU"/>
          </w:rPr>
        </w:r>
        <w:r w:rsidR="00DB5D66" w:rsidRPr="00DB5D66">
          <w:rPr>
            <w:noProof w:val="0"/>
            <w:webHidden/>
            <w:lang w:val="ru-RU"/>
          </w:rPr>
          <w:fldChar w:fldCharType="separate"/>
        </w:r>
        <w:r w:rsidR="00DB5D66" w:rsidRPr="00DB5D66">
          <w:rPr>
            <w:noProof w:val="0"/>
            <w:webHidden/>
            <w:lang w:val="ru-RU"/>
          </w:rPr>
          <w:t>20</w:t>
        </w:r>
        <w:r w:rsidR="00DB5D66" w:rsidRPr="00DB5D66">
          <w:rPr>
            <w:noProof w:val="0"/>
            <w:webHidden/>
            <w:lang w:val="ru-RU"/>
          </w:rPr>
          <w:fldChar w:fldCharType="end"/>
        </w:r>
      </w:hyperlink>
    </w:p>
    <w:p w:rsidR="00DB5D66" w:rsidRDefault="006C72AA">
      <w:pPr>
        <w:pStyle w:val="21"/>
        <w:tabs>
          <w:tab w:val="right" w:pos="9345"/>
        </w:tabs>
        <w:rPr>
          <w:sz w:val="28"/>
          <w:szCs w:val="28"/>
        </w:rPr>
      </w:pPr>
      <w:hyperlink w:anchor="_Toc266390704" w:history="1">
        <w:r w:rsidR="00DB5D66" w:rsidRPr="00DB5D66">
          <w:rPr>
            <w:sz w:val="28"/>
            <w:szCs w:val="28"/>
          </w:rPr>
          <w:t>§ 1. Производство в арбитражном суде апелляционной инстанции</w:t>
        </w:r>
        <w:r w:rsidR="00DB5D66" w:rsidRPr="00DB5D66">
          <w:rPr>
            <w:webHidden/>
            <w:sz w:val="28"/>
            <w:szCs w:val="28"/>
          </w:rPr>
          <w:tab/>
        </w:r>
        <w:r w:rsidR="00DB5D66" w:rsidRPr="00DB5D66">
          <w:rPr>
            <w:webHidden/>
            <w:sz w:val="28"/>
            <w:szCs w:val="28"/>
          </w:rPr>
          <w:fldChar w:fldCharType="begin"/>
        </w:r>
        <w:r w:rsidR="00DB5D66" w:rsidRPr="00DB5D66">
          <w:rPr>
            <w:webHidden/>
            <w:sz w:val="28"/>
            <w:szCs w:val="28"/>
          </w:rPr>
          <w:instrText xml:space="preserve"> PAGEREF _Toc266390704 \h </w:instrText>
        </w:r>
        <w:r w:rsidR="00DB5D66" w:rsidRPr="00DB5D66">
          <w:rPr>
            <w:webHidden/>
            <w:sz w:val="28"/>
            <w:szCs w:val="28"/>
          </w:rPr>
        </w:r>
        <w:r w:rsidR="00DB5D66" w:rsidRPr="00DB5D66">
          <w:rPr>
            <w:webHidden/>
            <w:sz w:val="28"/>
            <w:szCs w:val="28"/>
          </w:rPr>
          <w:fldChar w:fldCharType="separate"/>
        </w:r>
        <w:r w:rsidR="00DB5D66" w:rsidRPr="00DB5D66">
          <w:rPr>
            <w:webHidden/>
            <w:sz w:val="28"/>
            <w:szCs w:val="28"/>
          </w:rPr>
          <w:t>20</w:t>
        </w:r>
        <w:r w:rsidR="00DB5D66" w:rsidRPr="00DB5D66">
          <w:rPr>
            <w:webHidden/>
            <w:sz w:val="28"/>
            <w:szCs w:val="28"/>
          </w:rPr>
          <w:fldChar w:fldCharType="end"/>
        </w:r>
      </w:hyperlink>
    </w:p>
    <w:p w:rsidR="00DB5D66" w:rsidRPr="00DB5D66" w:rsidRDefault="00DB5D66" w:rsidP="00DB5D66"/>
    <w:p w:rsidR="00DB5D66" w:rsidRPr="00DB5D66" w:rsidRDefault="006C72AA">
      <w:pPr>
        <w:pStyle w:val="11"/>
        <w:rPr>
          <w:noProof w:val="0"/>
          <w:lang w:val="ru-RU"/>
        </w:rPr>
      </w:pPr>
      <w:hyperlink w:anchor="_Toc266390705" w:history="1">
        <w:r w:rsidR="00DB5D66" w:rsidRPr="00DB5D66">
          <w:rPr>
            <w:noProof w:val="0"/>
            <w:lang w:val="ru-RU"/>
          </w:rPr>
          <w:t>Глава 3. Пересмотр судебных актов, вступивших в законную силу</w:t>
        </w:r>
        <w:r w:rsidR="00DB5D66" w:rsidRPr="00DB5D66">
          <w:rPr>
            <w:noProof w:val="0"/>
            <w:webHidden/>
            <w:lang w:val="ru-RU"/>
          </w:rPr>
          <w:tab/>
        </w:r>
        <w:r w:rsidR="00DB5D66" w:rsidRPr="00DB5D66">
          <w:rPr>
            <w:noProof w:val="0"/>
            <w:webHidden/>
            <w:lang w:val="ru-RU"/>
          </w:rPr>
          <w:fldChar w:fldCharType="begin"/>
        </w:r>
        <w:r w:rsidR="00DB5D66" w:rsidRPr="00DB5D66">
          <w:rPr>
            <w:noProof w:val="0"/>
            <w:webHidden/>
            <w:lang w:val="ru-RU"/>
          </w:rPr>
          <w:instrText xml:space="preserve"> PAGEREF _Toc266390705 \h </w:instrText>
        </w:r>
        <w:r w:rsidR="00DB5D66" w:rsidRPr="00DB5D66">
          <w:rPr>
            <w:noProof w:val="0"/>
            <w:webHidden/>
            <w:lang w:val="ru-RU"/>
          </w:rPr>
        </w:r>
        <w:r w:rsidR="00DB5D66" w:rsidRPr="00DB5D66">
          <w:rPr>
            <w:noProof w:val="0"/>
            <w:webHidden/>
            <w:lang w:val="ru-RU"/>
          </w:rPr>
          <w:fldChar w:fldCharType="separate"/>
        </w:r>
        <w:r w:rsidR="00DB5D66" w:rsidRPr="00DB5D66">
          <w:rPr>
            <w:noProof w:val="0"/>
            <w:webHidden/>
            <w:lang w:val="ru-RU"/>
          </w:rPr>
          <w:t>32</w:t>
        </w:r>
        <w:r w:rsidR="00DB5D66" w:rsidRPr="00DB5D66">
          <w:rPr>
            <w:noProof w:val="0"/>
            <w:webHidden/>
            <w:lang w:val="ru-RU"/>
          </w:rPr>
          <w:fldChar w:fldCharType="end"/>
        </w:r>
      </w:hyperlink>
    </w:p>
    <w:p w:rsidR="00DB5D66" w:rsidRPr="00DB5D66" w:rsidRDefault="006C72AA">
      <w:pPr>
        <w:pStyle w:val="21"/>
        <w:tabs>
          <w:tab w:val="right" w:pos="9345"/>
        </w:tabs>
        <w:rPr>
          <w:sz w:val="28"/>
          <w:szCs w:val="28"/>
        </w:rPr>
      </w:pPr>
      <w:hyperlink w:anchor="_Toc266390706" w:history="1">
        <w:r w:rsidR="00DB5D66" w:rsidRPr="00DB5D66">
          <w:rPr>
            <w:sz w:val="28"/>
            <w:szCs w:val="28"/>
          </w:rPr>
          <w:t>§ 1. Производство в арбитражном суде кассационной инстанции</w:t>
        </w:r>
        <w:r w:rsidR="00DB5D66" w:rsidRPr="00DB5D66">
          <w:rPr>
            <w:webHidden/>
            <w:sz w:val="28"/>
            <w:szCs w:val="28"/>
          </w:rPr>
          <w:tab/>
        </w:r>
        <w:r w:rsidR="00DB5D66" w:rsidRPr="00DB5D66">
          <w:rPr>
            <w:webHidden/>
            <w:sz w:val="28"/>
            <w:szCs w:val="28"/>
          </w:rPr>
          <w:fldChar w:fldCharType="begin"/>
        </w:r>
        <w:r w:rsidR="00DB5D66" w:rsidRPr="00DB5D66">
          <w:rPr>
            <w:webHidden/>
            <w:sz w:val="28"/>
            <w:szCs w:val="28"/>
          </w:rPr>
          <w:instrText xml:space="preserve"> PAGEREF _Toc266390706 \h </w:instrText>
        </w:r>
        <w:r w:rsidR="00DB5D66" w:rsidRPr="00DB5D66">
          <w:rPr>
            <w:webHidden/>
            <w:sz w:val="28"/>
            <w:szCs w:val="28"/>
          </w:rPr>
        </w:r>
        <w:r w:rsidR="00DB5D66" w:rsidRPr="00DB5D66">
          <w:rPr>
            <w:webHidden/>
            <w:sz w:val="28"/>
            <w:szCs w:val="28"/>
          </w:rPr>
          <w:fldChar w:fldCharType="separate"/>
        </w:r>
        <w:r w:rsidR="00DB5D66" w:rsidRPr="00DB5D66">
          <w:rPr>
            <w:webHidden/>
            <w:sz w:val="28"/>
            <w:szCs w:val="28"/>
          </w:rPr>
          <w:t>32</w:t>
        </w:r>
        <w:r w:rsidR="00DB5D66" w:rsidRPr="00DB5D66">
          <w:rPr>
            <w:webHidden/>
            <w:sz w:val="28"/>
            <w:szCs w:val="28"/>
          </w:rPr>
          <w:fldChar w:fldCharType="end"/>
        </w:r>
      </w:hyperlink>
    </w:p>
    <w:p w:rsidR="00DB5D66" w:rsidRPr="00DB5D66" w:rsidRDefault="006C72AA">
      <w:pPr>
        <w:pStyle w:val="21"/>
        <w:tabs>
          <w:tab w:val="right" w:pos="9345"/>
        </w:tabs>
        <w:rPr>
          <w:sz w:val="28"/>
          <w:szCs w:val="28"/>
        </w:rPr>
      </w:pPr>
      <w:hyperlink w:anchor="_Toc266390707" w:history="1">
        <w:r w:rsidR="00DB5D66" w:rsidRPr="00DB5D66">
          <w:rPr>
            <w:sz w:val="28"/>
            <w:szCs w:val="28"/>
          </w:rPr>
          <w:t>§ 2. Пересмотр судебных актов в порядке надзора</w:t>
        </w:r>
        <w:r w:rsidR="00DB5D66" w:rsidRPr="00DB5D66">
          <w:rPr>
            <w:webHidden/>
            <w:sz w:val="28"/>
            <w:szCs w:val="28"/>
          </w:rPr>
          <w:tab/>
        </w:r>
        <w:r w:rsidR="00DB5D66" w:rsidRPr="00DB5D66">
          <w:rPr>
            <w:webHidden/>
            <w:sz w:val="28"/>
            <w:szCs w:val="28"/>
          </w:rPr>
          <w:fldChar w:fldCharType="begin"/>
        </w:r>
        <w:r w:rsidR="00DB5D66" w:rsidRPr="00DB5D66">
          <w:rPr>
            <w:webHidden/>
            <w:sz w:val="28"/>
            <w:szCs w:val="28"/>
          </w:rPr>
          <w:instrText xml:space="preserve"> PAGEREF _Toc266390707 \h </w:instrText>
        </w:r>
        <w:r w:rsidR="00DB5D66" w:rsidRPr="00DB5D66">
          <w:rPr>
            <w:webHidden/>
            <w:sz w:val="28"/>
            <w:szCs w:val="28"/>
          </w:rPr>
        </w:r>
        <w:r w:rsidR="00DB5D66" w:rsidRPr="00DB5D66">
          <w:rPr>
            <w:webHidden/>
            <w:sz w:val="28"/>
            <w:szCs w:val="28"/>
          </w:rPr>
          <w:fldChar w:fldCharType="separate"/>
        </w:r>
        <w:r w:rsidR="00DB5D66" w:rsidRPr="00DB5D66">
          <w:rPr>
            <w:webHidden/>
            <w:sz w:val="28"/>
            <w:szCs w:val="28"/>
          </w:rPr>
          <w:t>45</w:t>
        </w:r>
        <w:r w:rsidR="00DB5D66" w:rsidRPr="00DB5D66">
          <w:rPr>
            <w:webHidden/>
            <w:sz w:val="28"/>
            <w:szCs w:val="28"/>
          </w:rPr>
          <w:fldChar w:fldCharType="end"/>
        </w:r>
      </w:hyperlink>
    </w:p>
    <w:p w:rsidR="00DB5D66" w:rsidRDefault="006C72AA">
      <w:pPr>
        <w:pStyle w:val="21"/>
        <w:tabs>
          <w:tab w:val="right" w:pos="9345"/>
        </w:tabs>
        <w:rPr>
          <w:sz w:val="28"/>
          <w:szCs w:val="28"/>
        </w:rPr>
      </w:pPr>
      <w:hyperlink w:anchor="_Toc266390708" w:history="1">
        <w:r w:rsidR="00DB5D66" w:rsidRPr="00DB5D66">
          <w:rPr>
            <w:sz w:val="28"/>
            <w:szCs w:val="28"/>
          </w:rPr>
          <w:t>§ 3. Пересмотр судебных актов по вновь открывшимся обстоятельствам</w:t>
        </w:r>
        <w:r w:rsidR="00DB5D66" w:rsidRPr="00DB5D66">
          <w:rPr>
            <w:webHidden/>
            <w:sz w:val="28"/>
            <w:szCs w:val="28"/>
          </w:rPr>
          <w:tab/>
        </w:r>
        <w:r w:rsidR="00DB5D66" w:rsidRPr="00DB5D66">
          <w:rPr>
            <w:webHidden/>
            <w:sz w:val="28"/>
            <w:szCs w:val="28"/>
          </w:rPr>
          <w:fldChar w:fldCharType="begin"/>
        </w:r>
        <w:r w:rsidR="00DB5D66" w:rsidRPr="00DB5D66">
          <w:rPr>
            <w:webHidden/>
            <w:sz w:val="28"/>
            <w:szCs w:val="28"/>
          </w:rPr>
          <w:instrText xml:space="preserve"> PAGEREF _Toc266390708 \h </w:instrText>
        </w:r>
        <w:r w:rsidR="00DB5D66" w:rsidRPr="00DB5D66">
          <w:rPr>
            <w:webHidden/>
            <w:sz w:val="28"/>
            <w:szCs w:val="28"/>
          </w:rPr>
        </w:r>
        <w:r w:rsidR="00DB5D66" w:rsidRPr="00DB5D66">
          <w:rPr>
            <w:webHidden/>
            <w:sz w:val="28"/>
            <w:szCs w:val="28"/>
          </w:rPr>
          <w:fldChar w:fldCharType="separate"/>
        </w:r>
        <w:r w:rsidR="00DB5D66" w:rsidRPr="00DB5D66">
          <w:rPr>
            <w:webHidden/>
            <w:sz w:val="28"/>
            <w:szCs w:val="28"/>
          </w:rPr>
          <w:t>55</w:t>
        </w:r>
        <w:r w:rsidR="00DB5D66" w:rsidRPr="00DB5D66">
          <w:rPr>
            <w:webHidden/>
            <w:sz w:val="28"/>
            <w:szCs w:val="28"/>
          </w:rPr>
          <w:fldChar w:fldCharType="end"/>
        </w:r>
      </w:hyperlink>
    </w:p>
    <w:p w:rsidR="00DB5D66" w:rsidRPr="00DB5D66" w:rsidRDefault="00DB5D66" w:rsidP="00DB5D66"/>
    <w:p w:rsidR="00DB5D66" w:rsidRPr="00DB5D66" w:rsidRDefault="006C72AA">
      <w:pPr>
        <w:pStyle w:val="11"/>
        <w:rPr>
          <w:noProof w:val="0"/>
          <w:lang w:val="ru-RU"/>
        </w:rPr>
      </w:pPr>
      <w:hyperlink w:anchor="_Toc266390709" w:history="1">
        <w:r w:rsidR="00DB5D66" w:rsidRPr="00DB5D66">
          <w:rPr>
            <w:noProof w:val="0"/>
            <w:lang w:val="ru-RU"/>
          </w:rPr>
          <w:t>ЗАКЛЮЧЕНИЕ</w:t>
        </w:r>
        <w:r w:rsidR="00DB5D66" w:rsidRPr="00DB5D66">
          <w:rPr>
            <w:noProof w:val="0"/>
            <w:webHidden/>
            <w:lang w:val="ru-RU"/>
          </w:rPr>
          <w:tab/>
        </w:r>
        <w:r w:rsidR="00DB5D66" w:rsidRPr="00DB5D66">
          <w:rPr>
            <w:noProof w:val="0"/>
            <w:webHidden/>
            <w:lang w:val="ru-RU"/>
          </w:rPr>
          <w:fldChar w:fldCharType="begin"/>
        </w:r>
        <w:r w:rsidR="00DB5D66" w:rsidRPr="00DB5D66">
          <w:rPr>
            <w:noProof w:val="0"/>
            <w:webHidden/>
            <w:lang w:val="ru-RU"/>
          </w:rPr>
          <w:instrText xml:space="preserve"> PAGEREF _Toc266390709 \h </w:instrText>
        </w:r>
        <w:r w:rsidR="00DB5D66" w:rsidRPr="00DB5D66">
          <w:rPr>
            <w:noProof w:val="0"/>
            <w:webHidden/>
            <w:lang w:val="ru-RU"/>
          </w:rPr>
        </w:r>
        <w:r w:rsidR="00DB5D66" w:rsidRPr="00DB5D66">
          <w:rPr>
            <w:noProof w:val="0"/>
            <w:webHidden/>
            <w:lang w:val="ru-RU"/>
          </w:rPr>
          <w:fldChar w:fldCharType="separate"/>
        </w:r>
        <w:r w:rsidR="00DB5D66" w:rsidRPr="00DB5D66">
          <w:rPr>
            <w:noProof w:val="0"/>
            <w:webHidden/>
            <w:lang w:val="ru-RU"/>
          </w:rPr>
          <w:t>63</w:t>
        </w:r>
        <w:r w:rsidR="00DB5D66" w:rsidRPr="00DB5D66">
          <w:rPr>
            <w:noProof w:val="0"/>
            <w:webHidden/>
            <w:lang w:val="ru-RU"/>
          </w:rPr>
          <w:fldChar w:fldCharType="end"/>
        </w:r>
      </w:hyperlink>
    </w:p>
    <w:p w:rsidR="00DB5D66" w:rsidRDefault="006C72AA">
      <w:pPr>
        <w:pStyle w:val="11"/>
        <w:rPr>
          <w:sz w:val="24"/>
          <w:szCs w:val="24"/>
          <w:lang w:val="ru-RU"/>
        </w:rPr>
      </w:pPr>
      <w:hyperlink w:anchor="_Toc266390710" w:history="1">
        <w:r w:rsidR="00DB5D66" w:rsidRPr="00DB5D66">
          <w:rPr>
            <w:noProof w:val="0"/>
            <w:lang w:val="ru-RU"/>
          </w:rPr>
          <w:t>СПИСОК ИСПОЛЬЗОВАННОЙ ЛИТЕРАТУРЫ</w:t>
        </w:r>
        <w:r w:rsidR="00DB5D66" w:rsidRPr="00DB5D66">
          <w:rPr>
            <w:noProof w:val="0"/>
            <w:webHidden/>
            <w:lang w:val="ru-RU"/>
          </w:rPr>
          <w:tab/>
        </w:r>
        <w:r w:rsidR="00DB5D66" w:rsidRPr="00DB5D66">
          <w:rPr>
            <w:noProof w:val="0"/>
            <w:webHidden/>
            <w:lang w:val="ru-RU"/>
          </w:rPr>
          <w:fldChar w:fldCharType="begin"/>
        </w:r>
        <w:r w:rsidR="00DB5D66" w:rsidRPr="00DB5D66">
          <w:rPr>
            <w:noProof w:val="0"/>
            <w:webHidden/>
            <w:lang w:val="ru-RU"/>
          </w:rPr>
          <w:instrText xml:space="preserve"> PAGEREF _Toc266390710 \h </w:instrText>
        </w:r>
        <w:r w:rsidR="00DB5D66" w:rsidRPr="00DB5D66">
          <w:rPr>
            <w:noProof w:val="0"/>
            <w:webHidden/>
            <w:lang w:val="ru-RU"/>
          </w:rPr>
        </w:r>
        <w:r w:rsidR="00DB5D66" w:rsidRPr="00DB5D66">
          <w:rPr>
            <w:noProof w:val="0"/>
            <w:webHidden/>
            <w:lang w:val="ru-RU"/>
          </w:rPr>
          <w:fldChar w:fldCharType="separate"/>
        </w:r>
        <w:r w:rsidR="00DB5D66" w:rsidRPr="00DB5D66">
          <w:rPr>
            <w:noProof w:val="0"/>
            <w:webHidden/>
            <w:lang w:val="ru-RU"/>
          </w:rPr>
          <w:t>66</w:t>
        </w:r>
        <w:r w:rsidR="00DB5D66" w:rsidRPr="00DB5D66">
          <w:rPr>
            <w:noProof w:val="0"/>
            <w:webHidden/>
            <w:lang w:val="ru-RU"/>
          </w:rPr>
          <w:fldChar w:fldCharType="end"/>
        </w:r>
      </w:hyperlink>
    </w:p>
    <w:p w:rsidR="00D12563" w:rsidRPr="00DB5D66" w:rsidRDefault="00D12563" w:rsidP="00D1256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fldChar w:fldCharType="end"/>
      </w:r>
    </w:p>
    <w:p w:rsidR="00D12563" w:rsidRPr="00DB5D66" w:rsidRDefault="00D12563" w:rsidP="00D12563">
      <w:pPr>
        <w:jc w:val="left"/>
        <w:rPr>
          <w:rFonts w:ascii="Times New Roman" w:hAnsi="Times New Roman" w:cs="Times New Roman"/>
          <w:b/>
          <w:noProof/>
          <w:sz w:val="28"/>
          <w:szCs w:val="20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br w:type="page"/>
      </w:r>
      <w:r w:rsidRPr="00DB5D66">
        <w:rPr>
          <w:rFonts w:ascii="Times New Roman" w:hAnsi="Times New Roman" w:cs="Times New Roman"/>
          <w:b/>
        </w:rPr>
        <w:t>ВВЕДЕНИЕ</w:t>
      </w:r>
    </w:p>
    <w:p w:rsidR="00D12563" w:rsidRDefault="00D12563" w:rsidP="00D1256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</w:rPr>
      </w:pPr>
    </w:p>
    <w:p w:rsidR="00D12563" w:rsidRDefault="00D12563" w:rsidP="00D1256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 из достижений в развитии современного общества – признание значения и значимости судебной защиты нарушенных или оспоренных прав. Для реализации современного, цивилизованного способа защиты прав должен существовать современный и эффективный механизм. </w:t>
      </w:r>
    </w:p>
    <w:p w:rsidR="00D12563" w:rsidRDefault="00D12563" w:rsidP="00D12563">
      <w:pPr>
        <w:pStyle w:val="ConsPlusNormal"/>
        <w:widowControl/>
        <w:spacing w:line="36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права на судебную защиту имеет, несомненно, практическое значение и не теряет своей актуальности и по настоящий день. Несмотря на конституционное закрепление права каждого на судебную защиту его нарушенных прав и охраняемых законом интересов (статья 46 Конституции Российской Федерации</w:t>
      </w:r>
      <w:r>
        <w:rPr>
          <w:rStyle w:val="a7"/>
        </w:rPr>
        <w:footnoteReference w:id="1"/>
      </w:r>
      <w:r>
        <w:rPr>
          <w:rFonts w:ascii="Times New Roman" w:hAnsi="Times New Roman" w:cs="Times New Roman"/>
        </w:rPr>
        <w:t>), в реальности существуют ограничения этого правомочия.</w:t>
      </w:r>
    </w:p>
    <w:p w:rsidR="00D12563" w:rsidRDefault="00D12563" w:rsidP="00D12563">
      <w:pPr>
        <w:pStyle w:val="ConsPlusNormal"/>
        <w:widowControl/>
        <w:spacing w:line="36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 тем право на судебную защиту предполагает и конкретные гарантии, которые позволяли бы реализовать его в полном объеме и обеспечить эффективное восстановление в правах посредством правосудия, отвечающего требованиям справедливости. Отсутствие же возможности пересмотреть ошибочный судебный акт умаляет и ограничивает право каждого на судебную защиту. Право на судебную защиту предполагает охрану прав и законных интересов гражданина не только от произвола законодательной и исполнительной власти, но и от ошибочных решений суда. При этом эффективной гарантией такой защиты является и сама возможность пересмотра дела вышестоящим судом, которая в тех или иных формах (с учетом особенностей каждого вида судопроизводства) должна быть обеспечена государством.</w:t>
      </w:r>
    </w:p>
    <w:p w:rsidR="00D12563" w:rsidRDefault="00D12563" w:rsidP="00D125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объектом </w:t>
      </w:r>
      <w:r>
        <w:rPr>
          <w:rFonts w:ascii="Times New Roman" w:hAnsi="Times New Roman" w:cs="Times New Roman"/>
          <w:sz w:val="28"/>
          <w:szCs w:val="28"/>
        </w:rPr>
        <w:t>исследования дипломной работы являются общественные отношения, возникающие в процессе пересмотра судебных постановлений в арбитражном процессе.</w:t>
      </w:r>
    </w:p>
    <w:p w:rsidR="00D12563" w:rsidRDefault="00D12563" w:rsidP="00D125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>дипломной работы выступают правовые нормы, регулирующие стадии пересмотра судебных постановлений в апелляционном, кассационном, надзорном порядке и по вновь открывшимся обстоятельствам.</w:t>
      </w:r>
    </w:p>
    <w:p w:rsidR="00D12563" w:rsidRDefault="00D12563" w:rsidP="00D1256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«Судебная система должна быть основным правовым механизмом защиты прав граждан. Важным атрибутом правового государства является независимый, свободный от политической и идеологической предубежденности суд, выступающий гарантом законности и справедливости... Право на справедливое судебное разбирательство включает в себя право на доступ к суду, на бесплатную правовую помощь, право требовать полного и неуклонного исполнения решений суда... Право обжаловать решения и определения суда является гарантией защиты от незаконных и необоснованных действий самой судебной системы, а также от судебных ошибок»</w:t>
      </w:r>
      <w:r>
        <w:rPr>
          <w:rStyle w:val="a7"/>
        </w:rPr>
        <w:footnoteReference w:id="2"/>
      </w:r>
      <w:r>
        <w:rPr>
          <w:rFonts w:ascii="Times New Roman" w:hAnsi="Times New Roman" w:cs="Times New Roman"/>
        </w:rPr>
        <w:t>.</w:t>
      </w:r>
    </w:p>
    <w:p w:rsidR="00D12563" w:rsidRDefault="00D12563" w:rsidP="00D12563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механизме судебной защиты, таким образом, в качестве неотъемлемого компонента присутствует устранение судебных ошибок. Способом устранения судебных ошибок является предусмотренные гражданским процессуальным законодательством производства по пересмотру судебных решений и определений.</w:t>
      </w:r>
    </w:p>
    <w:p w:rsidR="00D12563" w:rsidRDefault="00D12563" w:rsidP="00D125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</w:t>
      </w:r>
      <w:r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дипломной работы является исследование комплекса основных правовых проблем, связанных с пересмотром судебных постановлений по гражданским делам в арбитражном процессе.</w:t>
      </w:r>
    </w:p>
    <w:p w:rsidR="00D12563" w:rsidRDefault="00D12563" w:rsidP="00D125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поставлены следующие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2563" w:rsidRDefault="00D12563" w:rsidP="00D12563">
      <w:pPr>
        <w:numPr>
          <w:ilvl w:val="0"/>
          <w:numId w:val="1"/>
        </w:numPr>
        <w:tabs>
          <w:tab w:val="num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понятие и виды производств по пересмотру судебных решений и определений в арбитражном процессе;</w:t>
      </w:r>
    </w:p>
    <w:p w:rsidR="00D12563" w:rsidRDefault="00D12563" w:rsidP="00D12563">
      <w:pPr>
        <w:numPr>
          <w:ilvl w:val="0"/>
          <w:numId w:val="1"/>
        </w:numPr>
        <w:tabs>
          <w:tab w:val="num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общие и отличительные признаки отдельных видов пересмотра решений арбитражных судов;</w:t>
      </w:r>
    </w:p>
    <w:p w:rsidR="00D12563" w:rsidRDefault="00D12563" w:rsidP="00D12563">
      <w:pPr>
        <w:numPr>
          <w:ilvl w:val="0"/>
          <w:numId w:val="1"/>
        </w:numPr>
        <w:tabs>
          <w:tab w:val="num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материалы судебно-арбитражной практики;</w:t>
      </w:r>
    </w:p>
    <w:p w:rsidR="00D12563" w:rsidRDefault="00D12563" w:rsidP="00D12563">
      <w:pPr>
        <w:numPr>
          <w:ilvl w:val="0"/>
          <w:numId w:val="1"/>
        </w:numPr>
        <w:tabs>
          <w:tab w:val="num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 предложения по усовершенствованию современного законодательства.</w:t>
      </w:r>
    </w:p>
    <w:p w:rsidR="00D12563" w:rsidRDefault="00D12563" w:rsidP="00D125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анализ современной юридической литературы, проблема пересмотра судебных постановлений была предметом внимания известных российских ученых, среди которых следует назвать имена: и др.</w:t>
      </w:r>
    </w:p>
    <w:p w:rsidR="00D12563" w:rsidRDefault="00D12563" w:rsidP="00D12563">
      <w:pPr>
        <w:pStyle w:val="30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Дипломное исследование основывается на базовых методах научного познания: историческом, формально-юридическом, сравнительно-правовом, методах анализа и синтеза.</w:t>
      </w:r>
    </w:p>
    <w:p w:rsidR="00D12563" w:rsidRDefault="00D12563" w:rsidP="00D12563">
      <w:pPr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Теоретическую основу исследования составили работы по философии, общей теории и истории права, гражданскому праву, гражданскому и арбитражному процессу и др. Методическая сторона исследования представлена изучением и анализом законодательных источников России, философско-правовыми взглядами выдающихся ученых. Нормативную базу исследования составили Конституция РФ и действующее процессуальное законодательство РФ.</w:t>
      </w:r>
    </w:p>
    <w:p w:rsidR="00D12563" w:rsidRDefault="00D12563" w:rsidP="00D12563">
      <w:pPr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дипломной работе раскрыты вопросы отдельных видов пересмотра судебных постановлений в арбитражном процессе, такие как апелляционное, кассационное, надзорное и по вновь отрывшимся обстоятельствам. В процессе исследования выделяются общие и отличительные признаки данных стадий, анализируются пробелы действующего законодательства и проблемы его применения. Теоретические положения арбитражного процесса на протяжении работы иллюстрируются примерами практики.</w:t>
      </w:r>
    </w:p>
    <w:p w:rsidR="00D12563" w:rsidRDefault="00D12563" w:rsidP="00D12563">
      <w:pPr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 введения, двух глав, заключения, списка использованной литературы и приложений.</w:t>
      </w:r>
    </w:p>
    <w:p w:rsidR="00D12563" w:rsidRDefault="00D12563" w:rsidP="00D1256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2563" w:rsidRDefault="00D12563" w:rsidP="00D12563">
      <w:pPr>
        <w:pStyle w:val="1"/>
        <w:spacing w:line="360" w:lineRule="auto"/>
        <w:rPr>
          <w:rFonts w:cs="Times New Roman"/>
        </w:rPr>
      </w:pPr>
      <w:bookmarkStart w:id="0" w:name="_Toc266390710"/>
      <w:r>
        <w:rPr>
          <w:rFonts w:cs="Times New Roman"/>
        </w:rPr>
        <w:t>СПИСОК ИСПОЛЬЗОВАННОЙ ЛИТЕРАТУРЫ</w:t>
      </w:r>
      <w:bookmarkEnd w:id="0"/>
    </w:p>
    <w:p w:rsidR="00D12563" w:rsidRDefault="00D12563" w:rsidP="00D125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563" w:rsidRDefault="00D12563" w:rsidP="00D1256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Официальные документы и нормативные акты</w:t>
      </w:r>
    </w:p>
    <w:p w:rsidR="00D12563" w:rsidRDefault="00D12563" w:rsidP="00D12563">
      <w:pPr>
        <w:pStyle w:val="a6"/>
        <w:numPr>
          <w:ilvl w:val="0"/>
          <w:numId w:val="20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 w:cs="Times New Roman"/>
            <w:sz w:val="28"/>
            <w:szCs w:val="28"/>
          </w:rPr>
          <w:t>1993 г</w:t>
        </w:r>
      </w:smartTag>
      <w:r>
        <w:rPr>
          <w:rFonts w:ascii="Times New Roman" w:hAnsi="Times New Roman" w:cs="Times New Roman"/>
          <w:sz w:val="28"/>
          <w:szCs w:val="28"/>
        </w:rPr>
        <w:t>. (посл. изм от 30.12.2008 г.) // Собрание законодательства РФ. – 2009. – №4. – Ст. 445.</w:t>
      </w:r>
    </w:p>
    <w:p w:rsidR="00D12563" w:rsidRDefault="00D12563" w:rsidP="00D12563">
      <w:pPr>
        <w:pStyle w:val="12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Всеобщая декларация прав человека (Принята 10.12.1948 г. Генеральной Ассамблеей ООН) // Российская газета. – 1995. – 5 апреля.</w:t>
      </w:r>
    </w:p>
    <w:p w:rsidR="00D12563" w:rsidRDefault="00D12563" w:rsidP="00D12563">
      <w:pPr>
        <w:pStyle w:val="a6"/>
        <w:numPr>
          <w:ilvl w:val="0"/>
          <w:numId w:val="20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Конвенции о защите прав человека и основных свобод (заключена в г. Риме 04.11.1950 г.) // Собрание законодательства РФ. – 2001. – №2. – Ст. 163.</w:t>
      </w:r>
    </w:p>
    <w:p w:rsidR="00D12563" w:rsidRDefault="00D12563" w:rsidP="00D12563">
      <w:pPr>
        <w:pStyle w:val="12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 от 16.12.1966 г. // Бюллетень Верховного Суда РФ. – 1994. – №12.</w:t>
      </w:r>
    </w:p>
    <w:p w:rsidR="00D12563" w:rsidRDefault="00D12563" w:rsidP="00D12563">
      <w:pPr>
        <w:pStyle w:val="12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конституционный закон от 28.04.1995 г. №1-ФКЗ «Об арбитражных судах в Российской Федерации» (ред. от 28.04.2008 г.) // Собрание законодательства РФ. – 1995. – №18. – Ст. 1589.</w:t>
      </w:r>
    </w:p>
    <w:p w:rsidR="00D12563" w:rsidRDefault="00D12563" w:rsidP="00D12563">
      <w:pPr>
        <w:pStyle w:val="a6"/>
        <w:numPr>
          <w:ilvl w:val="0"/>
          <w:numId w:val="20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от 04.12.2007 г. № 330-ФЗ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 О внесении изменений в Гражданский процессуальный кодекс РФ» // Собрание законодательства РФ. – 2007. – №50. – Ст. 6243.</w:t>
      </w:r>
    </w:p>
    <w:p w:rsidR="00D12563" w:rsidRDefault="00D12563" w:rsidP="00D12563">
      <w:pPr>
        <w:pStyle w:val="a6"/>
        <w:numPr>
          <w:ilvl w:val="0"/>
          <w:numId w:val="20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Арбитражный процессуальный кодекс РФ от 24.07.2002 г. № 95-ФЗ (посл. изм. от 03.12.2008 г.) // Собрание законодательства РФ. – 2002. – № 30. – Ст. 3012.</w:t>
      </w:r>
    </w:p>
    <w:p w:rsidR="00D12563" w:rsidRDefault="00D12563" w:rsidP="00D12563">
      <w:pPr>
        <w:pStyle w:val="a6"/>
        <w:numPr>
          <w:ilvl w:val="0"/>
          <w:numId w:val="20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процессуальный кодекс РФ от 14.11.2002 г. №138-ФЗ (посл. изм. от 25.11.2008 г.) // Собрание законодательства РФ. – 2002. – № 46. – Ст. 4532.</w:t>
      </w:r>
    </w:p>
    <w:p w:rsidR="00D12563" w:rsidRDefault="00D12563" w:rsidP="00D12563">
      <w:pPr>
        <w:pStyle w:val="12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Конституционного Суда РФ от 25.12.2001 г. № 17-П «По делу о проверке конституционности ч. 2 ст. 208 ГПК РСФСР» // Собрание законодательства РФ. – 2002. – №1 (ч. 2). – Ст. 126; </w:t>
      </w:r>
    </w:p>
    <w:p w:rsidR="00D12563" w:rsidRDefault="00D12563" w:rsidP="00D12563">
      <w:pPr>
        <w:pStyle w:val="ConsPlusNormal"/>
        <w:widowControl/>
        <w:numPr>
          <w:ilvl w:val="0"/>
          <w:numId w:val="20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Конституционного Суда РФ от 25.12.2001 г. № 17-П по делу о проверке конституционности ч. 2 ст. 208 ГПК РСФСР // Собрание законодательства РФ. – 2002. – №1 (ч. 2). – Ст. 126.</w:t>
      </w:r>
    </w:p>
    <w:p w:rsidR="00D12563" w:rsidRDefault="00D12563" w:rsidP="00D12563">
      <w:pPr>
        <w:pStyle w:val="12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Конституционного Суда РФ от 28.05.1999 г. №9-П «По делу о проверке конституционности ч. 2 ст. 266 и п. 3 ч. 1 ст. 267 КоАП РСФСР» // Собрание законодательства РФ. – 1999. – №23. – Ст. 2890.</w:t>
      </w:r>
    </w:p>
    <w:p w:rsidR="00D12563" w:rsidRDefault="00D12563" w:rsidP="00D12563">
      <w:pPr>
        <w:pStyle w:val="ConsPlusNormal"/>
        <w:widowControl/>
        <w:numPr>
          <w:ilvl w:val="0"/>
          <w:numId w:val="20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Арбитражный процессуальный кодекс РФ от 05.05.1995 г. №70-ФЗ (утратил силу) // Собрание законодательства РФ. – 1995. – №19. – Ст. 1709.</w:t>
      </w:r>
    </w:p>
    <w:p w:rsidR="00D12563" w:rsidRDefault="00D12563" w:rsidP="00D12563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</w:rPr>
      </w:pPr>
    </w:p>
    <w:p w:rsidR="00D12563" w:rsidRDefault="00D12563" w:rsidP="00D1256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 Книги (монографии, учебники, учебные пособия)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Андреева Т.К. Институт надзора в АПК РФ // Теоретические и практические проблемы гражданского, арбитражного процесса и исполнительного производства. – Краснодар; СПб., 2005. – С. 125.</w:t>
      </w:r>
    </w:p>
    <w:p w:rsidR="00D12563" w:rsidRDefault="00D12563" w:rsidP="00D12563">
      <w:pPr>
        <w:pStyle w:val="12"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Арбитражный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Style w:val="a4"/>
          <w:b w:val="0"/>
          <w:color w:val="333333"/>
          <w:sz w:val="28"/>
          <w:szCs w:val="28"/>
        </w:rPr>
        <w:t>процесс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учебник для студентов высших учебных заведений, обучающихся по направлению подготовки 521400 «Юриспруденция» и по специальности 021100 «Юриспруденция» / Отв. ред. В. В. </w:t>
      </w:r>
      <w:r>
        <w:rPr>
          <w:rStyle w:val="a4"/>
          <w:b w:val="0"/>
          <w:color w:val="333333"/>
          <w:sz w:val="28"/>
          <w:szCs w:val="28"/>
        </w:rPr>
        <w:t>Ярков</w:t>
      </w:r>
      <w:r>
        <w:rPr>
          <w:rFonts w:ascii="Times New Roman" w:hAnsi="Times New Roman" w:cs="Times New Roman"/>
          <w:color w:val="333333"/>
          <w:sz w:val="28"/>
          <w:szCs w:val="28"/>
        </w:rPr>
        <w:t>. – М.: Волтерс Клувер, 2008. – 875 с.</w:t>
      </w:r>
    </w:p>
    <w:p w:rsidR="00D12563" w:rsidRDefault="00D12563" w:rsidP="00D12563">
      <w:pPr>
        <w:pStyle w:val="12"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Арбитражный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Style w:val="a4"/>
          <w:b w:val="0"/>
          <w:color w:val="333333"/>
          <w:sz w:val="28"/>
          <w:szCs w:val="28"/>
        </w:rPr>
        <w:t>процесс</w:t>
      </w:r>
      <w:r>
        <w:rPr>
          <w:rFonts w:ascii="Times New Roman" w:hAnsi="Times New Roman" w:cs="Times New Roman"/>
          <w:color w:val="333333"/>
          <w:sz w:val="28"/>
          <w:szCs w:val="28"/>
        </w:rPr>
        <w:t>: учебник для студентов юридических вузов и факультетов / Под ред. М. К. Треушникова. – М.: Городец, 2008. – 671 с.</w:t>
      </w:r>
    </w:p>
    <w:p w:rsidR="00D12563" w:rsidRDefault="00D12563" w:rsidP="00D125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Е.А. </w:t>
      </w:r>
      <w:r>
        <w:rPr>
          <w:rStyle w:val="a4"/>
          <w:b w:val="0"/>
          <w:color w:val="333333"/>
          <w:sz w:val="28"/>
          <w:szCs w:val="28"/>
        </w:rPr>
        <w:t>Апелляция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 гражданском (арбитражном) процессе. – М.: Городец, 2008. – 221 с.</w:t>
      </w:r>
    </w:p>
    <w:p w:rsidR="00D12563" w:rsidRDefault="00D12563" w:rsidP="00D12563">
      <w:pPr>
        <w:pStyle w:val="a6"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Васьковский Е.В. Учебник гражданского процесса / Под ред. В.А. Томсинова. – М.: Статут, 2003. – 380 с.</w:t>
      </w:r>
    </w:p>
    <w:p w:rsidR="00D12563" w:rsidRDefault="00D12563" w:rsidP="00D12563">
      <w:pPr>
        <w:pStyle w:val="a6"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b w:val="0"/>
          <w:sz w:val="28"/>
          <w:szCs w:val="28"/>
        </w:rPr>
        <w:t>Жилин Г.А.</w:t>
      </w:r>
      <w:r>
        <w:rPr>
          <w:rStyle w:val="a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 гражданского судопроизводства и их реализация в суде первой инстанции. – М.: Городец, 2000. – 316 с..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И.М. Устранение судебных ошибок в гражданском процессе / Под ред. М.А. Викут. – Саратов: Изд-во Сарат. ун-та, 1985. – 135 с.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 С.Ю. Судебный надзор в гражданском судопроизводстве. – М.: Юрид. лит., 1980. – 208 с.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Кейлин А.Д. Судопроизводство и гражданский процесс капиталистических государств. – М.:</w:t>
      </w:r>
      <w:r>
        <w:rPr>
          <w:rFonts w:ascii="Times New Roman" w:hAnsi="Times New Roman" w:cs="Times New Roman"/>
          <w:color w:val="333333"/>
        </w:rPr>
        <w:t xml:space="preserve"> Международная книга, </w:t>
      </w:r>
      <w:r>
        <w:rPr>
          <w:rFonts w:ascii="Times New Roman" w:hAnsi="Times New Roman" w:cs="Times New Roman"/>
        </w:rPr>
        <w:t xml:space="preserve">1958. – Ч. 1. – </w:t>
      </w:r>
      <w:r>
        <w:rPr>
          <w:rFonts w:ascii="Times New Roman" w:hAnsi="Times New Roman" w:cs="Times New Roman"/>
          <w:color w:val="333333"/>
        </w:rPr>
        <w:t>358 с.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Комментарий к Арбитражному процессуальному кодексу Российской Федерации / Под ред. В.Ф. Яковлева, М.К. Юкова. – М.: ООО «Городец-издат», 2003. – С. 755.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Лесницкая Л.Ф. Пересмотр решения суда в кассационном порядке. – М., 1974. – С. 5.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Малышев К.И. Избранные труды по конкурсному процессу и иным институтам торгового права. – Москва: Консультант плюс: Статут, 2007. – 793 с.</w:t>
      </w:r>
    </w:p>
    <w:p w:rsidR="00D12563" w:rsidRPr="002A7478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 w:rsidRPr="002A7478">
        <w:rPr>
          <w:rFonts w:ascii="Times New Roman" w:hAnsi="Times New Roman" w:cs="Times New Roman"/>
        </w:rPr>
        <w:t>Орлов М.А. Пересмотр решений, не вступивших в законную силу, в российском арбитражном процессе: Дис. ... канд. юрид. наук. Саратов, 2002. С. 65.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Подвальный И.О. Апелляция и кассация в арбитражном процессе Российской Федерации: Автореф. дис. ... канд. юрид. наук. – СПб., 2001. – С. 9, 19.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Разинкова М.Н. Некоторые аспекты применения АПК РФ при определении процессуальных сроков подачи, рассмотрения апелляционной жалобы и восстановления пропущенного срока на ее подачу. С. 22 - 23.</w:t>
      </w:r>
    </w:p>
    <w:p w:rsidR="00D12563" w:rsidRDefault="00D12563" w:rsidP="00D12563">
      <w:pPr>
        <w:pStyle w:val="ConsPlusNormal"/>
        <w:widowControl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Слесарев В.Л., Лебедев К.К. Новый Арбитражный процессуальный кодекс РФ – правовая основа эффективного разрешения экономических споров. Вступительная статья к тексту АПК. – СПб., 2002. – С. 27-28.</w:t>
      </w:r>
    </w:p>
    <w:p w:rsidR="00D12563" w:rsidRDefault="00D12563" w:rsidP="00D12563">
      <w:pPr>
        <w:pStyle w:val="a6"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Шерстюк В.М. Новые положения третьего Арбитражного процессуального кодекса РФ. – М.: </w:t>
      </w:r>
      <w:r>
        <w:rPr>
          <w:rFonts w:ascii="Arial" w:hAnsi="Arial" w:cs="Arial"/>
          <w:sz w:val="28"/>
          <w:szCs w:val="28"/>
        </w:rPr>
        <w:t>МЦФЭР</w:t>
      </w:r>
      <w:r>
        <w:rPr>
          <w:rFonts w:ascii="Times New Roman" w:hAnsi="Times New Roman" w:cs="Times New Roman"/>
          <w:sz w:val="28"/>
          <w:szCs w:val="28"/>
        </w:rPr>
        <w:t>, 2003. – 398 с.</w:t>
      </w:r>
    </w:p>
    <w:p w:rsidR="00D12563" w:rsidRPr="002A7478" w:rsidRDefault="00D12563" w:rsidP="00D12563">
      <w:pPr>
        <w:pStyle w:val="a6"/>
        <w:numPr>
          <w:ilvl w:val="0"/>
          <w:numId w:val="2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A7478">
        <w:rPr>
          <w:rFonts w:ascii="Times New Roman" w:hAnsi="Times New Roman" w:cs="Times New Roman"/>
          <w:sz w:val="28"/>
          <w:szCs w:val="28"/>
        </w:rPr>
        <w:t>Яблочков Т.М. Учебник русского гражданского судопроизводства. – Ярославль: И.К. Гассанов, 1912. – 327 с.</w:t>
      </w:r>
    </w:p>
    <w:p w:rsidR="00D12563" w:rsidRDefault="00D12563" w:rsidP="00D125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563" w:rsidRDefault="00D12563" w:rsidP="00D1256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 Статьи, периодические издания</w:t>
      </w:r>
    </w:p>
    <w:p w:rsidR="00D12563" w:rsidRDefault="00D12563" w:rsidP="00D12563">
      <w:pPr>
        <w:pStyle w:val="ConsPlusNormal"/>
        <w:widowControl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Абова Т.Е. Арбитражный суд в судебной системе России // Государство и право. – 2000. – №9. – С. 6.</w:t>
      </w:r>
    </w:p>
    <w:p w:rsidR="00D12563" w:rsidRDefault="00D12563" w:rsidP="00D12563">
      <w:pPr>
        <w:pStyle w:val="ConsPlusNormal"/>
        <w:widowControl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Андреева Т. Актуальные вопросы надзорного производства в арбитражном суде // Хозяйство и право. – 2004. – №7. – С. 14.</w:t>
      </w:r>
    </w:p>
    <w:p w:rsidR="00D12563" w:rsidRDefault="00D12563" w:rsidP="00D12563">
      <w:pPr>
        <w:pStyle w:val="ConsPlusNormal"/>
        <w:widowControl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Е.А. О гарантиях судебной защиты на стадиях апелляционной, надзорной проверки судебных решений. // Арбитражный и гражданский процесс. – 2005. – №1. – С. 27.</w:t>
      </w:r>
    </w:p>
    <w:p w:rsidR="00D12563" w:rsidRDefault="00D12563" w:rsidP="00D12563">
      <w:pPr>
        <w:pStyle w:val="ConsPlusNormal"/>
        <w:widowControl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Брайг Б., Бабаков В.А. Гражданский процесс России и Германии: сравнительный анализ некоторых проблем // Арбитражный и гражданский процесс. – 2002. – №1. – С. 20.</w:t>
      </w:r>
    </w:p>
    <w:p w:rsidR="00D12563" w:rsidRDefault="00D12563" w:rsidP="00D12563">
      <w:pPr>
        <w:pStyle w:val="ConsPlusNormal"/>
        <w:widowControl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Грошева Г.И. Институт кассации в арбитражном процессуальном праве // ЭЖ-Юрист. – 2005. – № 38. – С. 5.</w:t>
      </w:r>
    </w:p>
    <w:p w:rsidR="00D12563" w:rsidRDefault="00D12563" w:rsidP="00D12563">
      <w:pPr>
        <w:pStyle w:val="a6"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Уполномоченного по правам человека в РФ за 2004 год // Российская газета. – 2005. – 31 марта.</w:t>
      </w:r>
    </w:p>
    <w:p w:rsidR="00D12563" w:rsidRDefault="00D12563" w:rsidP="00D12563">
      <w:pPr>
        <w:pStyle w:val="12"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 А.Е. Рассмотрение дела в порядке надзорного производства. Полномочия Президиума Высшего арбитражного Суда Российской Федерации // Право и экономика. – 2005. – №9.</w:t>
      </w:r>
    </w:p>
    <w:p w:rsidR="00D12563" w:rsidRDefault="00D12563" w:rsidP="00D12563">
      <w:pPr>
        <w:pStyle w:val="ConsPlusNormal"/>
        <w:widowControl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Кожемяко А. Надзорная инстанция – лишнее звено в арбитражном процессе // Российская юстиция. – 2001. – №7. – С. 6.</w:t>
      </w:r>
    </w:p>
    <w:p w:rsidR="00D12563" w:rsidRDefault="00D12563" w:rsidP="00D12563">
      <w:pPr>
        <w:pStyle w:val="12"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Кунина Л.В. Задачи, цели и функции арбитражного апелляционного суда // Современное право. – 2008. – №8.</w:t>
      </w:r>
    </w:p>
    <w:p w:rsidR="00D12563" w:rsidRDefault="00D12563" w:rsidP="00D12563">
      <w:pPr>
        <w:pStyle w:val="ConsPlusNormal"/>
        <w:widowControl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Марков П.А. Влияние безусловных оснований отмены на пересмотр судебного акта // Право и экономика. – 2008. – №3.</w:t>
      </w:r>
    </w:p>
    <w:p w:rsidR="00D12563" w:rsidRDefault="00D12563" w:rsidP="00D12563">
      <w:pPr>
        <w:pStyle w:val="a6"/>
        <w:numPr>
          <w:ilvl w:val="0"/>
          <w:numId w:val="2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Юков М.К. Арбитражный процесс: осмысление практики и ее возможные коррективы // ЭЖ-Юрист. – 2005. – № 36. – С. 7.</w:t>
      </w:r>
    </w:p>
    <w:p w:rsidR="00D12563" w:rsidRDefault="00D12563" w:rsidP="00D125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563" w:rsidRDefault="00D12563" w:rsidP="00D1256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4. Материалы судебной и судебно-арбитражной практики</w:t>
      </w:r>
    </w:p>
    <w:p w:rsidR="00D12563" w:rsidRDefault="00D12563" w:rsidP="00D1256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Опубликованные:</w:t>
      </w:r>
    </w:p>
    <w:p w:rsidR="00D12563" w:rsidRDefault="00D12563" w:rsidP="00D12563">
      <w:pPr>
        <w:pStyle w:val="ConsPlusNormal"/>
        <w:widowControl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Информационное письмо Высшего Арбитражного Суда РФ от 13.08.2004 г. №82 «О некоторых вопросах применения Арбитражного процессуального кодекса Российской Федерации» // Вестник ВАС РФ. – 2004. – №10.</w:t>
      </w:r>
    </w:p>
    <w:p w:rsidR="00D12563" w:rsidRDefault="00D12563" w:rsidP="00D12563">
      <w:pPr>
        <w:pStyle w:val="12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Президиума ВАС РФ от 11.03.2008 г. №10045/07 по делу №А40-69003/06-53-561 «Дело по иску об освобождении ответчиком нежилого помещения и обязании не чинить препятствий истцу в пользовании этими помещениями направлено на новое рассмотрение, так как дело рассмотрено судом в отсутствие истца, не извещенного надлежащим образом о месте и времени судебного разбирательства» // Вестник ВАС РФ. – 2008. – №6.</w:t>
      </w:r>
    </w:p>
    <w:p w:rsidR="00D12563" w:rsidRDefault="00D12563" w:rsidP="00D12563">
      <w:pPr>
        <w:pStyle w:val="12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Президиума Высшего Арбитражного Суда РФ от 11.03.2008 г. №16867/05 «В удовлетворении заявления о пересмотре по вновь открывшимся обстоятельствам судебных актов по делу о признании недействительными ненормативных актов и действий государственного органа для пересмотра в порядке надзора отказано правомерно, так как отсутствуют основания для пересмотра по вновь открывшимся» обстоятельствам, предусмотренные ст. 311 АПК РФ. // Вестник ВАС РФ. – 2008. – №6.</w:t>
      </w:r>
    </w:p>
    <w:p w:rsidR="00D12563" w:rsidRDefault="00D12563"/>
    <w:p w:rsidR="00FA410F" w:rsidRPr="0028019C" w:rsidRDefault="00FA410F">
      <w:pPr>
        <w:rPr>
          <w:rFonts w:ascii="Times New Roman" w:hAnsi="Times New Roman" w:cs="Times New Roman"/>
          <w:b/>
          <w:sz w:val="28"/>
          <w:szCs w:val="28"/>
        </w:rPr>
      </w:pPr>
      <w:r w:rsidRPr="0028019C">
        <w:rPr>
          <w:rFonts w:ascii="Times New Roman" w:hAnsi="Times New Roman" w:cs="Times New Roman"/>
          <w:b/>
          <w:sz w:val="28"/>
          <w:szCs w:val="28"/>
        </w:rPr>
        <w:t>ПРИЛОЖЕНИЯ</w:t>
      </w:r>
      <w:bookmarkStart w:id="1" w:name="_GoBack"/>
      <w:bookmarkEnd w:id="1"/>
    </w:p>
    <w:sectPr w:rsidR="00FA410F" w:rsidRPr="0028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2E" w:rsidRDefault="00EA792E">
      <w:r>
        <w:separator/>
      </w:r>
    </w:p>
  </w:endnote>
  <w:endnote w:type="continuationSeparator" w:id="0">
    <w:p w:rsidR="00EA792E" w:rsidRDefault="00EA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2E" w:rsidRDefault="00EA792E">
      <w:r>
        <w:separator/>
      </w:r>
    </w:p>
  </w:footnote>
  <w:footnote w:type="continuationSeparator" w:id="0">
    <w:p w:rsidR="00EA792E" w:rsidRDefault="00EA792E">
      <w:r>
        <w:continuationSeparator/>
      </w:r>
    </w:p>
  </w:footnote>
  <w:footnote w:id="1">
    <w:p w:rsidR="00576691" w:rsidRDefault="00576691" w:rsidP="00D12563">
      <w:pPr>
        <w:pStyle w:val="a6"/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 w:cs="Times New Roman"/>
          </w:rPr>
          <w:t>1993 г</w:t>
        </w:r>
      </w:smartTag>
      <w:r>
        <w:rPr>
          <w:rFonts w:ascii="Times New Roman" w:hAnsi="Times New Roman" w:cs="Times New Roman"/>
        </w:rPr>
        <w:t>. (посл. изм от 30.12.2008 г.) // Собрание законодательства РФ. – 2009. – №4. – Ст. 445.</w:t>
      </w:r>
    </w:p>
  </w:footnote>
  <w:footnote w:id="2">
    <w:p w:rsidR="00576691" w:rsidRDefault="00576691" w:rsidP="00D12563">
      <w:pPr>
        <w:pStyle w:val="a6"/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Доклад Уполномоченного по правам человека в РФ за 2004 год // Российская газета. – 2005. – 31 марта.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06C4"/>
    <w:multiLevelType w:val="hybridMultilevel"/>
    <w:tmpl w:val="8B92DE6C"/>
    <w:lvl w:ilvl="0" w:tplc="C99CF372">
      <w:start w:val="1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82057"/>
    <w:multiLevelType w:val="hybridMultilevel"/>
    <w:tmpl w:val="CFC67B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7BD64F3"/>
    <w:multiLevelType w:val="hybridMultilevel"/>
    <w:tmpl w:val="748217A8"/>
    <w:lvl w:ilvl="0" w:tplc="01A6848C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F2F09E0"/>
    <w:multiLevelType w:val="hybridMultilevel"/>
    <w:tmpl w:val="D2C44E9E"/>
    <w:lvl w:ilvl="0" w:tplc="2A426C78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2704A7E"/>
    <w:multiLevelType w:val="hybridMultilevel"/>
    <w:tmpl w:val="9F7CE988"/>
    <w:lvl w:ilvl="0" w:tplc="988E21A2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38431B9"/>
    <w:multiLevelType w:val="hybridMultilevel"/>
    <w:tmpl w:val="84983C6C"/>
    <w:lvl w:ilvl="0" w:tplc="0C98660E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79A095D"/>
    <w:multiLevelType w:val="hybridMultilevel"/>
    <w:tmpl w:val="0C1001F6"/>
    <w:lvl w:ilvl="0" w:tplc="17BE53A4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D3B7A2F"/>
    <w:multiLevelType w:val="hybridMultilevel"/>
    <w:tmpl w:val="194A72E0"/>
    <w:lvl w:ilvl="0" w:tplc="752C86E2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6B191E"/>
    <w:multiLevelType w:val="hybridMultilevel"/>
    <w:tmpl w:val="19F06FD0"/>
    <w:lvl w:ilvl="0" w:tplc="82C8C0CE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272612B"/>
    <w:multiLevelType w:val="hybridMultilevel"/>
    <w:tmpl w:val="0DB8C338"/>
    <w:lvl w:ilvl="0" w:tplc="50B48E06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2B00A65"/>
    <w:multiLevelType w:val="hybridMultilevel"/>
    <w:tmpl w:val="E81E52E0"/>
    <w:lvl w:ilvl="0" w:tplc="191ED2FA">
      <w:start w:val="1"/>
      <w:numFmt w:val="decimal"/>
      <w:lvlText w:val="%1)"/>
      <w:lvlJc w:val="left"/>
      <w:pPr>
        <w:ind w:left="37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4B6BCC"/>
    <w:multiLevelType w:val="hybridMultilevel"/>
    <w:tmpl w:val="79809A8C"/>
    <w:lvl w:ilvl="0" w:tplc="191ED2FA">
      <w:start w:val="1"/>
      <w:numFmt w:val="decimal"/>
      <w:lvlText w:val="%1)"/>
      <w:lvlJc w:val="left"/>
      <w:pPr>
        <w:ind w:left="37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E9F686A"/>
    <w:multiLevelType w:val="hybridMultilevel"/>
    <w:tmpl w:val="524EE1F2"/>
    <w:lvl w:ilvl="0" w:tplc="BFA00550">
      <w:start w:val="1"/>
      <w:numFmt w:val="decimal"/>
      <w:lvlText w:val="%1)"/>
      <w:lvlJc w:val="left"/>
      <w:pPr>
        <w:ind w:left="825" w:hanging="8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F577592"/>
    <w:multiLevelType w:val="hybridMultilevel"/>
    <w:tmpl w:val="1E761B68"/>
    <w:lvl w:ilvl="0" w:tplc="B4EE8574">
      <w:start w:val="1"/>
      <w:numFmt w:val="decimal"/>
      <w:lvlText w:val="%1)"/>
      <w:lvlJc w:val="left"/>
      <w:pPr>
        <w:ind w:left="87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6F6749A"/>
    <w:multiLevelType w:val="hybridMultilevel"/>
    <w:tmpl w:val="C43CA44A"/>
    <w:lvl w:ilvl="0" w:tplc="AC5A6456">
      <w:start w:val="1"/>
      <w:numFmt w:val="decimal"/>
      <w:lvlText w:val="2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F52AFE"/>
    <w:multiLevelType w:val="hybridMultilevel"/>
    <w:tmpl w:val="38403AB4"/>
    <w:lvl w:ilvl="0" w:tplc="191ED2FA">
      <w:start w:val="1"/>
      <w:numFmt w:val="decimal"/>
      <w:lvlText w:val="%1)"/>
      <w:lvlJc w:val="left"/>
      <w:pPr>
        <w:ind w:left="37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0515C7"/>
    <w:multiLevelType w:val="hybridMultilevel"/>
    <w:tmpl w:val="73003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AC779D"/>
    <w:multiLevelType w:val="hybridMultilevel"/>
    <w:tmpl w:val="61545F0C"/>
    <w:lvl w:ilvl="0" w:tplc="5EF67CA6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662556B9"/>
    <w:multiLevelType w:val="hybridMultilevel"/>
    <w:tmpl w:val="6C64A5F8"/>
    <w:lvl w:ilvl="0" w:tplc="191ED2FA">
      <w:start w:val="1"/>
      <w:numFmt w:val="decimal"/>
      <w:lvlText w:val="%1)"/>
      <w:lvlJc w:val="left"/>
      <w:pPr>
        <w:ind w:left="37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42BD3"/>
    <w:multiLevelType w:val="hybridMultilevel"/>
    <w:tmpl w:val="F7BC6F18"/>
    <w:lvl w:ilvl="0" w:tplc="191ED2FA">
      <w:start w:val="1"/>
      <w:numFmt w:val="decimal"/>
      <w:lvlText w:val="%1)"/>
      <w:lvlJc w:val="left"/>
      <w:pPr>
        <w:ind w:left="37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2701C7"/>
    <w:multiLevelType w:val="hybridMultilevel"/>
    <w:tmpl w:val="AD366930"/>
    <w:lvl w:ilvl="0" w:tplc="6AEEBB3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013F8F"/>
    <w:multiLevelType w:val="hybridMultilevel"/>
    <w:tmpl w:val="693C8A34"/>
    <w:lvl w:ilvl="0" w:tplc="54BAEBA2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7EF55435"/>
    <w:multiLevelType w:val="hybridMultilevel"/>
    <w:tmpl w:val="C8FA94CC"/>
    <w:lvl w:ilvl="0" w:tplc="9FC4CFF6">
      <w:start w:val="1"/>
      <w:numFmt w:val="decimal"/>
      <w:suff w:val="space"/>
      <w:lvlText w:val="%1)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563"/>
    <w:rsid w:val="0028019C"/>
    <w:rsid w:val="002A7478"/>
    <w:rsid w:val="00576691"/>
    <w:rsid w:val="006C72AA"/>
    <w:rsid w:val="00C12F84"/>
    <w:rsid w:val="00D12563"/>
    <w:rsid w:val="00DB5D66"/>
    <w:rsid w:val="00EA792E"/>
    <w:rsid w:val="00F43CE3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EDDE6-9EDC-4E6F-AE60-92C84959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63"/>
    <w:pPr>
      <w:jc w:val="both"/>
    </w:pPr>
    <w:rPr>
      <w:rFonts w:ascii="Calibri" w:hAnsi="Calibri" w:cs="Calibri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D12563"/>
    <w:pPr>
      <w:pageBreakBefore/>
      <w:widowControl w:val="0"/>
      <w:autoSpaceDE w:val="0"/>
      <w:autoSpaceDN w:val="0"/>
      <w:adjustRightInd w:val="0"/>
      <w:jc w:val="center"/>
      <w:outlineLvl w:val="0"/>
    </w:pPr>
    <w:rPr>
      <w:rFonts w:ascii="Times New Roman" w:hAnsi="Times New Roman" w:cs="Arial"/>
      <w:b/>
      <w:noProof/>
      <w:kern w:val="32"/>
      <w:sz w:val="28"/>
      <w:szCs w:val="20"/>
    </w:rPr>
  </w:style>
  <w:style w:type="paragraph" w:styleId="2">
    <w:name w:val="heading 2"/>
    <w:basedOn w:val="a"/>
    <w:next w:val="a"/>
    <w:link w:val="20"/>
    <w:autoRedefine/>
    <w:qFormat/>
    <w:rsid w:val="00D12563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" w:hAnsi="Times New Roman" w:cs="Arial"/>
      <w:b/>
      <w:bCs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2563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D12563"/>
    <w:rPr>
      <w:rFonts w:cs="Arial"/>
      <w:b/>
      <w:noProof/>
      <w:kern w:val="32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D12563"/>
    <w:rPr>
      <w:rFonts w:cs="Arial"/>
      <w:b/>
      <w:bCs/>
      <w:iCs/>
      <w:sz w:val="28"/>
      <w:lang w:val="ru-RU" w:eastAsia="ru-RU" w:bidi="ar-SA"/>
    </w:rPr>
  </w:style>
  <w:style w:type="character" w:styleId="a4">
    <w:name w:val="Strong"/>
    <w:basedOn w:val="a0"/>
    <w:qFormat/>
    <w:rsid w:val="00D12563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semiHidden/>
    <w:rsid w:val="00D12563"/>
    <w:pPr>
      <w:tabs>
        <w:tab w:val="right" w:pos="9356"/>
      </w:tabs>
      <w:spacing w:line="360" w:lineRule="auto"/>
      <w:jc w:val="left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styleId="21">
    <w:name w:val="toc 2"/>
    <w:basedOn w:val="a"/>
    <w:next w:val="a"/>
    <w:autoRedefine/>
    <w:semiHidden/>
    <w:rsid w:val="00D12563"/>
    <w:pPr>
      <w:ind w:left="240"/>
      <w:jc w:val="left"/>
    </w:pPr>
    <w:rPr>
      <w:rFonts w:ascii="Times New Roman" w:hAnsi="Times New Roman" w:cs="Times New Roman"/>
    </w:rPr>
  </w:style>
  <w:style w:type="character" w:customStyle="1" w:styleId="a5">
    <w:name w:val="Текст виноски Знак"/>
    <w:basedOn w:val="a0"/>
    <w:link w:val="a6"/>
    <w:semiHidden/>
    <w:locked/>
    <w:rsid w:val="00D12563"/>
    <w:rPr>
      <w:rFonts w:ascii="Calibri" w:hAnsi="Calibri" w:cs="Calibri"/>
      <w:sz w:val="24"/>
      <w:szCs w:val="24"/>
      <w:lang w:val="ru-RU" w:eastAsia="ru-RU" w:bidi="ar-SA"/>
    </w:rPr>
  </w:style>
  <w:style w:type="paragraph" w:styleId="a6">
    <w:name w:val="footnote text"/>
    <w:basedOn w:val="a"/>
    <w:link w:val="a5"/>
    <w:semiHidden/>
    <w:rsid w:val="00D12563"/>
  </w:style>
  <w:style w:type="character" w:customStyle="1" w:styleId="3">
    <w:name w:val="Основний текст з відступом 3 Знак"/>
    <w:basedOn w:val="a0"/>
    <w:link w:val="30"/>
    <w:locked/>
    <w:rsid w:val="00D12563"/>
    <w:rPr>
      <w:rFonts w:ascii="Calibri" w:hAnsi="Calibri" w:cs="Calibri"/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D1256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D125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customStyle="1" w:styleId="12">
    <w:name w:val="Абзац списку1"/>
    <w:basedOn w:val="a"/>
    <w:rsid w:val="00D12563"/>
    <w:pPr>
      <w:ind w:left="720"/>
    </w:pPr>
  </w:style>
  <w:style w:type="character" w:styleId="a7">
    <w:name w:val="footnote reference"/>
    <w:basedOn w:val="a0"/>
    <w:semiHidden/>
    <w:rsid w:val="00D1256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bsu</Company>
  <LinksUpToDate>false</LinksUpToDate>
  <CharactersWithSpaces>12800</CharactersWithSpaces>
  <SharedDoc>false</SharedDoc>
  <HLinks>
    <vt:vector size="54" baseType="variant"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_Toc266390710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_Toc266390709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_Toc266390708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_Toc266390707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_Toc266390706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_Toc266390705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_Toc266390704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_Toc266390703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_Toc266390702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Алексей</dc:creator>
  <cp:keywords/>
  <cp:lastModifiedBy>Irina</cp:lastModifiedBy>
  <cp:revision>2</cp:revision>
  <dcterms:created xsi:type="dcterms:W3CDTF">2014-08-02T15:58:00Z</dcterms:created>
  <dcterms:modified xsi:type="dcterms:W3CDTF">2014-08-02T15:58:00Z</dcterms:modified>
</cp:coreProperties>
</file>