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CE8" w:rsidRDefault="00CD4A2B">
      <w:pPr>
        <w:pStyle w:val="a3"/>
        <w:jc w:val="center"/>
        <w:rPr>
          <w:b/>
          <w:lang w:val="en-US"/>
        </w:rPr>
      </w:pPr>
      <w:r>
        <w:rPr>
          <w:b/>
        </w:rPr>
        <w:t>Формування в учнів діалектико-матеріалістичного</w:t>
      </w:r>
    </w:p>
    <w:p w:rsidR="00CD7CE8" w:rsidRDefault="00CD4A2B">
      <w:pPr>
        <w:pStyle w:val="a3"/>
        <w:jc w:val="center"/>
        <w:rPr>
          <w:b/>
          <w:lang w:val="en-US"/>
        </w:rPr>
      </w:pPr>
      <w:r>
        <w:rPr>
          <w:b/>
        </w:rPr>
        <w:t>світогляду на уроках природознавства</w:t>
      </w:r>
    </w:p>
    <w:p w:rsidR="00CD7CE8" w:rsidRDefault="00CD7CE8">
      <w:pPr>
        <w:pStyle w:val="a3"/>
        <w:rPr>
          <w:b/>
          <w:lang w:val="en-US"/>
        </w:rPr>
      </w:pPr>
    </w:p>
    <w:p w:rsidR="00CD7CE8" w:rsidRDefault="00CD7CE8">
      <w:pPr>
        <w:pStyle w:val="a3"/>
        <w:rPr>
          <w:b/>
          <w:lang w:val="en-US"/>
        </w:rPr>
      </w:pPr>
    </w:p>
    <w:p w:rsidR="00CD7CE8" w:rsidRDefault="00CD4A2B">
      <w:pPr>
        <w:pStyle w:val="a3"/>
      </w:pPr>
      <w:r>
        <w:t>Слід навчити дітей користуватися набутими знаннями для правильної оцінки подій, фактів навколишньої дійсно</w:t>
      </w:r>
      <w:r>
        <w:softHyphen/>
        <w:t>сті. «...Матеріалістичний світогляд означає просто розу</w:t>
      </w:r>
      <w:r>
        <w:softHyphen/>
        <w:t>міння природи такою, яка вона є, без усяких сторонніх додатків» — писав Ф. Енгельс у «Діалектиці природи».</w:t>
      </w:r>
    </w:p>
    <w:p w:rsidR="00CD7CE8" w:rsidRDefault="00CD4A2B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>Формування в учнів діалектико-матеріалістичного світогляду на уроках природознавства передбачає: 1) на</w:t>
      </w:r>
      <w:r>
        <w:rPr>
          <w:sz w:val="28"/>
          <w:szCs w:val="20"/>
          <w:lang w:val="uk-UA"/>
        </w:rPr>
        <w:softHyphen/>
        <w:t>вчання учнів сприймати природу не як окремі предмети і явища, а як єдине ціле, де всі предмети і явища перебу</w:t>
      </w:r>
      <w:r>
        <w:rPr>
          <w:sz w:val="28"/>
          <w:szCs w:val="20"/>
          <w:lang w:val="uk-UA"/>
        </w:rPr>
        <w:softHyphen/>
        <w:t>вають у взаємозв'язку і взаємообумовлені; 2) навчання учнів розглядати природу не в стані спокою і нерухомо</w:t>
      </w:r>
      <w:r>
        <w:rPr>
          <w:sz w:val="28"/>
          <w:szCs w:val="20"/>
          <w:lang w:val="uk-UA"/>
        </w:rPr>
        <w:softHyphen/>
        <w:t>сті, а в стані безперервного руху і розвитку; 3) систематичне закріплення у свідомості учнів поняття про мате</w:t>
      </w:r>
      <w:r>
        <w:rPr>
          <w:sz w:val="28"/>
          <w:szCs w:val="20"/>
          <w:lang w:val="uk-UA"/>
        </w:rPr>
        <w:softHyphen/>
        <w:t>ріальність предметів і явищ, які розвиваються за законами природи.</w:t>
      </w:r>
    </w:p>
    <w:p w:rsidR="00CD7CE8" w:rsidRDefault="00CD4A2B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>Для формування матеріалістичного світогляду учнів необхідні такі умови: 1) добір найважливішого щодо виховання наукового світогляду фактичного матеріалу в межах курсу природознавства; 2) застосування різнома</w:t>
      </w:r>
      <w:r>
        <w:rPr>
          <w:sz w:val="28"/>
          <w:szCs w:val="20"/>
          <w:lang w:val="uk-UA"/>
        </w:rPr>
        <w:softHyphen/>
        <w:t>нітних методів і прийомів, що спрямовують пізнання учнів на розуміння взаємозв'язку в природі та розкриття при-чинно-наслідкових зв'язків між предметами та явищами в їхньому розвитку; 3) створення таких ситуацій, коли в ді</w:t>
      </w:r>
      <w:r>
        <w:rPr>
          <w:sz w:val="28"/>
          <w:szCs w:val="20"/>
          <w:lang w:val="uk-UA"/>
        </w:rPr>
        <w:softHyphen/>
        <w:t>тей виникає інтерес до явищ природи, викликається емо</w:t>
      </w:r>
      <w:r>
        <w:rPr>
          <w:sz w:val="28"/>
          <w:szCs w:val="20"/>
          <w:lang w:val="uk-UA"/>
        </w:rPr>
        <w:softHyphen/>
        <w:t>ційне ставлення до природи; 4) врахування індивідуальних особливостей учнів, їхнього життєвого досвіду; 5) систе</w:t>
      </w:r>
      <w:r>
        <w:rPr>
          <w:sz w:val="28"/>
          <w:szCs w:val="20"/>
          <w:lang w:val="uk-UA"/>
        </w:rPr>
        <w:softHyphen/>
        <w:t>матичне залучення учнів до участі в суспільно корисній праці, на основі чого в них розвивається ініціатива, виникає творче ставлення до завдань учителя, формуються переконання в здатності людини пізнавати природу.</w:t>
      </w:r>
    </w:p>
    <w:p w:rsidR="00CD7CE8" w:rsidRDefault="00CD4A2B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Під час проведення спостережень у природі, вивчення властивостей природних тіл (води, нафти, кам'яного вугіл</w:t>
      </w:r>
      <w:r>
        <w:rPr>
          <w:sz w:val="28"/>
          <w:szCs w:val="20"/>
          <w:lang w:val="uk-UA"/>
        </w:rPr>
        <w:softHyphen/>
        <w:t>ля, торфу та ін.) і постановки дослідів учні пересвідчу</w:t>
      </w:r>
      <w:r>
        <w:rPr>
          <w:sz w:val="28"/>
          <w:szCs w:val="20"/>
          <w:lang w:val="uk-UA"/>
        </w:rPr>
        <w:softHyphen/>
        <w:t>ються в матеріальності всіх природних об'єктів, в тому, що вони існують об'єктивно: перебувають у певному стані, мають масу, колір, запах, займають місце, змінюються.</w:t>
      </w:r>
    </w:p>
    <w:p w:rsidR="00CD7CE8" w:rsidRDefault="00CD4A2B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>Вивчаючи явища і предмети природи, слід обов'язково показувати їх взаємозв'язки. Наприклад, рослини по</w:t>
      </w:r>
      <w:r>
        <w:rPr>
          <w:sz w:val="28"/>
          <w:szCs w:val="20"/>
          <w:lang w:val="uk-UA"/>
        </w:rPr>
        <w:softHyphen/>
        <w:t>в'язані з неживою природою: вони живляться за рахунок неживої природи, для свого життя потребують воду, світ</w:t>
      </w:r>
      <w:r>
        <w:rPr>
          <w:sz w:val="28"/>
          <w:szCs w:val="20"/>
          <w:lang w:val="uk-UA"/>
        </w:rPr>
        <w:softHyphen/>
        <w:t>ло, тепло, повітря, в той же час їхній ріст і розвиток зале</w:t>
      </w:r>
      <w:r>
        <w:rPr>
          <w:sz w:val="28"/>
          <w:szCs w:val="20"/>
          <w:lang w:val="uk-UA"/>
        </w:rPr>
        <w:softHyphen/>
        <w:t>жать і від інших рослин (наприклад, бур'янів), тварин, діяльності людини. Або інший приклад: життя на Землі залежить від Сонця. Про існування цього зв'язку учитель нагадує, коли пояснює причину зміни «день — ніч», коли учні під час спостережень виявляють характерні особли</w:t>
      </w:r>
      <w:r>
        <w:rPr>
          <w:sz w:val="28"/>
          <w:szCs w:val="20"/>
          <w:lang w:val="uk-UA"/>
        </w:rPr>
        <w:softHyphen/>
        <w:t>вості кожної пори року або вивчають розділ «Різнома</w:t>
      </w:r>
      <w:r>
        <w:rPr>
          <w:sz w:val="28"/>
          <w:szCs w:val="20"/>
          <w:lang w:val="uk-UA"/>
        </w:rPr>
        <w:softHyphen/>
        <w:t>нітність природи нашої Батьківщини».</w:t>
      </w:r>
    </w:p>
    <w:p w:rsidR="00CD7CE8" w:rsidRDefault="00CD4A2B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Щоб навчити учнів самостійно розкривати існуючі в природі зв'язки, наприклад між окремими складовими елементами погоди, погодою і поведінкою тварин, доцільно запропонувати дітям перевірити достовірність народних прикмет і пояснити їх. Якщо учні не раз пересвідчаться в істинності того або іншого наукового положення, воно стане їхнім власним переконанням, і вони будуть його від</w:t>
      </w:r>
      <w:r>
        <w:rPr>
          <w:sz w:val="28"/>
          <w:szCs w:val="20"/>
          <w:lang w:val="uk-UA"/>
        </w:rPr>
        <w:softHyphen/>
        <w:t>стоювати.</w:t>
      </w:r>
    </w:p>
    <w:p w:rsidR="00CD7CE8" w:rsidRDefault="00CD4A2B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Ідея безперервності руху і зміни в природі розкриває</w:t>
      </w:r>
      <w:r>
        <w:rPr>
          <w:sz w:val="28"/>
          <w:szCs w:val="20"/>
          <w:lang w:val="uk-UA"/>
        </w:rPr>
        <w:softHyphen/>
        <w:t>ться учителем у процесі вивчення всього курсу природо</w:t>
      </w:r>
      <w:r>
        <w:rPr>
          <w:sz w:val="28"/>
          <w:szCs w:val="20"/>
          <w:lang w:val="uk-UA"/>
        </w:rPr>
        <w:softHyphen/>
        <w:t>знавства, наприклад: вода переходить з одного стану в інший; рослини і тварини розвиваються; яри утворюються внаслідок дії води, вітру; гори руйнуються; торф і кам'яне вугілля утворилися з відмерлих рослин та ін.</w:t>
      </w:r>
    </w:p>
    <w:p w:rsidR="00CD7CE8" w:rsidRDefault="00CD4A2B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Як зазначав К. П. Ягодовський, діалектико-матеріалістичне розуміння природи не приходить відразу. Як і все інше, воно розвивається, виховується, і ми повинні керу</w:t>
      </w:r>
      <w:r>
        <w:rPr>
          <w:sz w:val="28"/>
          <w:szCs w:val="20"/>
          <w:lang w:val="uk-UA"/>
        </w:rPr>
        <w:softHyphen/>
        <w:t>вати цим процесом. Звичайно, розуміти діалектику при</w:t>
      </w:r>
      <w:r>
        <w:rPr>
          <w:sz w:val="28"/>
          <w:szCs w:val="20"/>
          <w:lang w:val="uk-UA"/>
        </w:rPr>
        <w:softHyphen/>
        <w:t>роди навіть в елементарному вигляді можуть учні старших класів. Але підготовка до цього повинна розпочинатися з перших днів приходу дітей до школи.</w:t>
      </w:r>
    </w:p>
    <w:p w:rsidR="00CD7CE8" w:rsidRDefault="00CD4A2B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Організовуючи спостереження дітей у природі, слід по</w:t>
      </w:r>
      <w:r>
        <w:rPr>
          <w:sz w:val="28"/>
          <w:szCs w:val="20"/>
          <w:lang w:val="uk-UA"/>
        </w:rPr>
        <w:softHyphen/>
        <w:t>яснити їм причини утворення опадів та деяких явищ при</w:t>
      </w:r>
      <w:r>
        <w:rPr>
          <w:sz w:val="28"/>
          <w:szCs w:val="20"/>
          <w:lang w:val="uk-UA"/>
        </w:rPr>
        <w:softHyphen/>
        <w:t>роди. Краще усвідомити матеріал допоможуть досліди. Так, утворення дощу можна продемонструвати за допомогою такого досліду: вчитель підігріває колбу з водою, три</w:t>
      </w:r>
      <w:r>
        <w:rPr>
          <w:sz w:val="28"/>
          <w:szCs w:val="20"/>
          <w:lang w:val="uk-UA"/>
        </w:rPr>
        <w:softHyphen/>
        <w:t>маючи над нею посудину, наприклад, блюдце з сумішшю снігу і солі. Піднімаючись вгору і охолоджуючись від зіткнення з блюдцем, пара перетворюється на краплини води: починає капати «дощ». Веселку теж можна відтво</w:t>
      </w:r>
      <w:r>
        <w:rPr>
          <w:sz w:val="28"/>
          <w:szCs w:val="20"/>
          <w:lang w:val="uk-UA"/>
        </w:rPr>
        <w:softHyphen/>
        <w:t>рити у досліді. Для цього треба, ставши проти сонця, розбризкувати воду за допомогою пульверизатора. Діти побачать у дрібнесеньких краплинах води кольорову гаму веселки. Учитель розповідає, що у минулому церковники пояснювали появу райдуги як особливий «знак божий».</w:t>
      </w:r>
    </w:p>
    <w:p w:rsidR="00CD7CE8" w:rsidRDefault="00CD4A2B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У зв'язку із спостереженням можна ознайомити учнів із науковими дослідженнями в галузі метеорології, пока</w:t>
      </w:r>
      <w:r>
        <w:rPr>
          <w:sz w:val="28"/>
          <w:szCs w:val="20"/>
          <w:lang w:val="uk-UA"/>
        </w:rPr>
        <w:softHyphen/>
        <w:t>зати роль космічних супутників у прогнозуванні погоди. Дати завдання перевірити народні прикмети поліпшення чи погіршення погоди, що грунтуються на тривалих спосте</w:t>
      </w:r>
      <w:r>
        <w:rPr>
          <w:sz w:val="28"/>
          <w:szCs w:val="20"/>
          <w:lang w:val="uk-UA"/>
        </w:rPr>
        <w:softHyphen/>
        <w:t>реженнях людей над закономірностями природи, водночас показати безпідставність марновірств. У цій роботі вчи</w:t>
      </w:r>
      <w:r>
        <w:rPr>
          <w:sz w:val="28"/>
          <w:szCs w:val="20"/>
          <w:lang w:val="uk-UA"/>
        </w:rPr>
        <w:softHyphen/>
        <w:t>телю стане в пригоді книга Ю. Дмитрієва «Чому вірити, що перевірити?».</w:t>
      </w:r>
    </w:p>
    <w:p w:rsidR="00CD7CE8" w:rsidRDefault="00CD4A2B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Розповіді про видатні досягнення радянського народу в освоєнні космосу допомагають дітям усвідомити, що люд</w:t>
      </w:r>
      <w:r>
        <w:rPr>
          <w:sz w:val="28"/>
          <w:szCs w:val="20"/>
          <w:lang w:val="uk-UA"/>
        </w:rPr>
        <w:softHyphen/>
        <w:t>ство успішно проникає в таємниці Всесвіту. «Побачити» Землю з космосу дітям допоможе ознайомлення з уривками з книг космонавтів. Так, при вивченні теми «Гори</w:t>
      </w:r>
      <w:r>
        <w:rPr>
          <w:sz w:val="28"/>
          <w:szCs w:val="20"/>
          <w:lang w:val="uk-UA"/>
        </w:rPr>
        <w:softHyphen/>
        <w:t xml:space="preserve">зонт» у </w:t>
      </w:r>
      <w:r>
        <w:rPr>
          <w:sz w:val="28"/>
          <w:szCs w:val="20"/>
          <w:lang w:val="en-US"/>
        </w:rPr>
        <w:t>IV</w:t>
      </w:r>
      <w:r>
        <w:rPr>
          <w:sz w:val="28"/>
          <w:szCs w:val="20"/>
        </w:rPr>
        <w:t xml:space="preserve"> </w:t>
      </w:r>
      <w:r>
        <w:rPr>
          <w:sz w:val="28"/>
          <w:szCs w:val="20"/>
          <w:lang w:val="uk-UA"/>
        </w:rPr>
        <w:t>класі можна зачитати уривок із книги Берего</w:t>
      </w:r>
      <w:r>
        <w:rPr>
          <w:sz w:val="28"/>
          <w:szCs w:val="20"/>
          <w:lang w:val="uk-UA"/>
        </w:rPr>
        <w:softHyphen/>
        <w:t>вого Г. Т. «Космос — землянам»: «...чітко видимі лінія горизонту і лінія розриву хмарності. Атмосфера на гори</w:t>
      </w:r>
      <w:r>
        <w:rPr>
          <w:sz w:val="28"/>
          <w:szCs w:val="20"/>
          <w:lang w:val="uk-UA"/>
        </w:rPr>
        <w:softHyphen/>
        <w:t>зонті біля поверхні Землі яскраво-червона. Вище вона переходить у жовто-гарячу, темно-синю, потім — світло-синю з плавним переходом у фіолетовий колір, а потім у чорний космос із міріадами яскраво освітлених, немиготли</w:t>
      </w:r>
      <w:r>
        <w:rPr>
          <w:sz w:val="28"/>
          <w:szCs w:val="20"/>
          <w:lang w:val="uk-UA"/>
        </w:rPr>
        <w:softHyphen/>
        <w:t>вих зірок».</w:t>
      </w:r>
    </w:p>
    <w:p w:rsidR="00CD7CE8" w:rsidRDefault="00CD4A2B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 xml:space="preserve">При вивченні корисних копалин слід пояснити, як вони утворилися, розповісти дітям, що мох сфагнум, з якого утворився торф, убиває мікробу. </w:t>
      </w:r>
    </w:p>
    <w:p w:rsidR="00CD7CE8" w:rsidRDefault="00CD4A2B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 xml:space="preserve">Вивчаючи свійських тварин і культурні рослини, слід порівняти їх з їхніми дикими предками і підвести дітей до висновку, що людина своєю працею змінила природу тварин і рослин, вивела велику кількість продуктивних порід і сортів. Організовуючи роботу по вирощуванню сільськогосподарських рослин, треба включити елементи дослідництва, що забезпечить застосування знань учнів у їх практичній діяльності. </w:t>
      </w:r>
      <w:bookmarkStart w:id="0" w:name="_GoBack"/>
      <w:bookmarkEnd w:id="0"/>
    </w:p>
    <w:sectPr w:rsidR="00CD7CE8">
      <w:type w:val="continuous"/>
      <w:pgSz w:w="11909" w:h="16834"/>
      <w:pgMar w:top="1134" w:right="1134" w:bottom="1134" w:left="1134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D4A2B"/>
    <w:rsid w:val="00C05167"/>
    <w:rsid w:val="00CD4A2B"/>
    <w:rsid w:val="00CD7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64CE53-BBBE-4A12-A373-D0852C8E3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sz w:val="28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911</Words>
  <Characters>5196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Формування в учнів діалектико-матеріалістичного</vt:lpstr>
    </vt:vector>
  </TitlesOfParts>
  <Manager>Гуманітарні науки</Manager>
  <Company>Гуманітарні науки</Company>
  <LinksUpToDate>false</LinksUpToDate>
  <CharactersWithSpaces>6095</CharactersWithSpaces>
  <SharedDoc>false</SharedDoc>
  <HyperlinkBase>Гуманітарні науки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Формування в учнів діалектико-матеріалістичного</dc:title>
  <dc:subject>Гуманітарні науки</dc:subject>
  <dc:creator>Гуманітарні науки</dc:creator>
  <cp:keywords>Гуманітарні науки</cp:keywords>
  <dc:description>Гуманітарні науки</dc:description>
  <cp:lastModifiedBy>admin</cp:lastModifiedBy>
  <cp:revision>2</cp:revision>
  <cp:lastPrinted>1899-12-31T21:00:00Z</cp:lastPrinted>
  <dcterms:created xsi:type="dcterms:W3CDTF">2014-04-08T22:04:00Z</dcterms:created>
  <dcterms:modified xsi:type="dcterms:W3CDTF">2014-04-08T22:04:00Z</dcterms:modified>
  <cp:category>Гуманітарні науки</cp:category>
</cp:coreProperties>
</file>