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04" w:rsidRPr="00E2431D" w:rsidRDefault="00074D04" w:rsidP="00074D04">
      <w:pPr>
        <w:spacing w:before="120"/>
        <w:jc w:val="center"/>
        <w:rPr>
          <w:b/>
          <w:sz w:val="32"/>
        </w:rPr>
      </w:pPr>
      <w:r w:rsidRPr="00E2431D">
        <w:rPr>
          <w:b/>
          <w:sz w:val="32"/>
        </w:rPr>
        <w:t>Расчет налога на прибыль по филиалу</w:t>
      </w:r>
    </w:p>
    <w:p w:rsidR="00074D04" w:rsidRPr="00E2431D" w:rsidRDefault="00074D04" w:rsidP="00074D04">
      <w:pPr>
        <w:spacing w:before="120"/>
        <w:jc w:val="center"/>
        <w:rPr>
          <w:sz w:val="28"/>
        </w:rPr>
      </w:pPr>
      <w:r w:rsidRPr="00E2431D">
        <w:rPr>
          <w:sz w:val="28"/>
        </w:rPr>
        <w:t>Ченина И. В., аудитор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Для расчета региональной доли налога на прибыль при определении удельного веса среднесписочной численности обособленного подразделения учитываются все сотрудники</w:t>
      </w:r>
      <w:r>
        <w:t xml:space="preserve">, </w:t>
      </w:r>
      <w:r w:rsidRPr="00401C2B">
        <w:t xml:space="preserve">для которых это подразделение является фактическим местом работы. Таково мнение чиновников. </w:t>
      </w:r>
    </w:p>
    <w:p w:rsidR="00074D04" w:rsidRPr="00E2431D" w:rsidRDefault="00074D04" w:rsidP="00074D04">
      <w:pPr>
        <w:spacing w:before="120"/>
        <w:jc w:val="center"/>
        <w:rPr>
          <w:b/>
          <w:sz w:val="28"/>
        </w:rPr>
      </w:pPr>
      <w:r w:rsidRPr="00E2431D">
        <w:rPr>
          <w:b/>
          <w:sz w:val="28"/>
        </w:rPr>
        <w:t>Порядок уплаты налога на прибыль при наличии филиала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В соответствии с пунктом 1</w:t>
      </w:r>
      <w:r>
        <w:t xml:space="preserve"> </w:t>
      </w:r>
      <w:r w:rsidRPr="00401C2B">
        <w:t>статьи 288 Налогового кодекса РФ российские организации</w:t>
      </w:r>
      <w:r>
        <w:t xml:space="preserve">, </w:t>
      </w:r>
      <w:r w:rsidRPr="00401C2B">
        <w:t>имеющие обособленные подразделения</w:t>
      </w:r>
      <w:r>
        <w:t xml:space="preserve">, </w:t>
      </w:r>
      <w:r w:rsidRPr="00401C2B">
        <w:t xml:space="preserve">исчисляют и уплачивают в федеральный бюджет сумму авансовых платежей по своему местонахождению.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А вот региональная доля платежей уплачивается по местонахождению организации</w:t>
      </w:r>
      <w:r>
        <w:t xml:space="preserve">, </w:t>
      </w:r>
      <w:r w:rsidRPr="00401C2B">
        <w:t>а также по местонахождению каждого из ее обособленных подразделений – исходя из доли прибыли</w:t>
      </w:r>
      <w:r>
        <w:t xml:space="preserve">, </w:t>
      </w:r>
      <w:r w:rsidRPr="00401C2B">
        <w:t>приходящейся на эти обособленные подразделения.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Она определяется как средняя арифметическая величина удельного веса среднесписочной численности работников (или расходов на оплату труда)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(или расходах на оплату труда) и остаточной стоимости амортизируемого имущества в целом по турфирме.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Для того чтобы верно рассчитать налог на прибыль</w:t>
      </w:r>
      <w:r>
        <w:t xml:space="preserve">, </w:t>
      </w:r>
      <w:r w:rsidRPr="00401C2B">
        <w:t>налогоплательщику необходимо: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1) определить среднесписочную численность работников (или расходы на оплату труда) обособленного подразделения и всей организации;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2) рассчитать остаточную стоимость амортизируемого имущества обособленного подразделения и всей организации.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О том</w:t>
      </w:r>
      <w:r>
        <w:t xml:space="preserve">, </w:t>
      </w:r>
      <w:r w:rsidRPr="00401C2B">
        <w:t>каким образом это сделать</w:t>
      </w:r>
      <w:r>
        <w:t xml:space="preserve">, </w:t>
      </w:r>
      <w:r w:rsidRPr="00401C2B">
        <w:t>в Налоговом кодексе РФ не сказано.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И вот чтобы разобраться с этим вопросом</w:t>
      </w:r>
      <w:r>
        <w:t xml:space="preserve">, </w:t>
      </w:r>
      <w:r w:rsidRPr="00401C2B">
        <w:t xml:space="preserve">обратимся к письмам Минфина России. </w:t>
      </w:r>
    </w:p>
    <w:p w:rsidR="00074D04" w:rsidRPr="00E2431D" w:rsidRDefault="00074D04" w:rsidP="00074D04">
      <w:pPr>
        <w:spacing w:before="120"/>
        <w:jc w:val="center"/>
        <w:rPr>
          <w:b/>
          <w:sz w:val="28"/>
        </w:rPr>
      </w:pPr>
      <w:r w:rsidRPr="00E2431D">
        <w:rPr>
          <w:b/>
          <w:sz w:val="28"/>
        </w:rPr>
        <w:t>Расчет остаточной стоимости амортизируемого имущества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Остаточная стоимость амортизируемого имущества определяется по данным налогового учета. Правда</w:t>
      </w:r>
      <w:r>
        <w:t xml:space="preserve">, </w:t>
      </w:r>
      <w:r w:rsidRPr="00401C2B">
        <w:t>организациям</w:t>
      </w:r>
      <w:r>
        <w:t xml:space="preserve">, </w:t>
      </w:r>
      <w:r w:rsidRPr="00401C2B">
        <w:t>начисляющим амортизацию нелинейным методом</w:t>
      </w:r>
      <w:r>
        <w:t xml:space="preserve">, </w:t>
      </w:r>
      <w:r w:rsidRPr="00401C2B">
        <w:t>предоставлено право определять остаточную стоимость по данным бухгалтерского учета. Свой выбор налогоплательщик должен закрепить в учетной политике.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В пункте 2</w:t>
      </w:r>
      <w:r>
        <w:t xml:space="preserve"> </w:t>
      </w:r>
      <w:r w:rsidRPr="00401C2B">
        <w:t>статьи 288 Налогового кодекса РФ не сказано</w:t>
      </w:r>
      <w:r>
        <w:t xml:space="preserve">, </w:t>
      </w:r>
      <w:r w:rsidRPr="00401C2B">
        <w:t xml:space="preserve">на какую дату определяется остаточная стоимость амортизируемого имущества.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На практике применяются разные варианты.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Например</w:t>
      </w:r>
      <w:r>
        <w:t xml:space="preserve">, </w:t>
      </w:r>
      <w:r w:rsidRPr="00401C2B">
        <w:t>некоторые организации определяют остаточную стоимость имущества на конец налогового (отчетного) периода.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А вот финансисты рекомендуют использовать тот же порядок</w:t>
      </w:r>
      <w:r>
        <w:t xml:space="preserve">, </w:t>
      </w:r>
      <w:r w:rsidRPr="00401C2B">
        <w:t>который применяется при расчете налога на имущество.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Иначе говоря</w:t>
      </w:r>
      <w:r>
        <w:t xml:space="preserve">, </w:t>
      </w:r>
      <w:r w:rsidRPr="00401C2B">
        <w:t>определять остаточную стоимость как частное от деления суммы</w:t>
      </w:r>
      <w:r>
        <w:t xml:space="preserve">, </w:t>
      </w:r>
      <w:r w:rsidRPr="00401C2B">
        <w:t>полученной в результате сложения величин остаточной стоимости имущества на 1-е число каждого месяца отчетного периода и 1-е число месяца</w:t>
      </w:r>
      <w:r>
        <w:t xml:space="preserve">, </w:t>
      </w:r>
      <w:r w:rsidRPr="00401C2B">
        <w:t>следующего за отчетным периодом</w:t>
      </w:r>
      <w:r>
        <w:t xml:space="preserve">, </w:t>
      </w:r>
      <w:r w:rsidRPr="00401C2B">
        <w:t>на количество месяцев в отчетном периоде</w:t>
      </w:r>
      <w:r>
        <w:t xml:space="preserve">, </w:t>
      </w:r>
      <w:r w:rsidRPr="00401C2B">
        <w:t xml:space="preserve">увеличенное на единицу. Такие разъяснения приведены в письме от 6 июля </w:t>
      </w:r>
      <w:smartTag w:uri="urn:schemas-microsoft-com:office:smarttags" w:element="metricconverter">
        <w:smartTagPr>
          <w:attr w:name="ProductID" w:val="2005 г"/>
        </w:smartTagPr>
        <w:r w:rsidRPr="00401C2B">
          <w:t>2005 г</w:t>
        </w:r>
      </w:smartTag>
      <w:r w:rsidRPr="00401C2B">
        <w:t xml:space="preserve">. № 03-03-02/16.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Какой из этих вариантов правильный? Тот</w:t>
      </w:r>
      <w:r>
        <w:t xml:space="preserve">, </w:t>
      </w:r>
      <w:r w:rsidRPr="00401C2B">
        <w:t>который организация закрепит в своей учетной политике. Но при этом необходимо учитывать</w:t>
      </w:r>
      <w:r>
        <w:t xml:space="preserve">, </w:t>
      </w:r>
      <w:r w:rsidRPr="00401C2B">
        <w:t>что</w:t>
      </w:r>
      <w:r>
        <w:t xml:space="preserve">, </w:t>
      </w:r>
      <w:r w:rsidRPr="00401C2B">
        <w:t>следуя позиции Минфина России</w:t>
      </w:r>
      <w:r>
        <w:t xml:space="preserve">, </w:t>
      </w:r>
      <w:r w:rsidRPr="00401C2B">
        <w:t>вы с большей вероятностью избежите претензий со стороны налоговых органов при проведении проверок.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Очень важно определиться с тем</w:t>
      </w:r>
      <w:r>
        <w:t xml:space="preserve">, </w:t>
      </w:r>
      <w:r w:rsidRPr="00401C2B">
        <w:t>какое имущество следует учитывать при определении доли обособленного подразделения: то</w:t>
      </w:r>
      <w:r>
        <w:t xml:space="preserve">, </w:t>
      </w:r>
      <w:r w:rsidRPr="00401C2B">
        <w:t>которое числится на его балансе</w:t>
      </w:r>
      <w:r>
        <w:t xml:space="preserve">, </w:t>
      </w:r>
      <w:r w:rsidRPr="00401C2B">
        <w:t>или то</w:t>
      </w:r>
      <w:r>
        <w:t xml:space="preserve">, </w:t>
      </w:r>
      <w:r w:rsidRPr="00401C2B">
        <w:t>которое оно фактически эксплуатирует?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Чиновники однозначно отвечают</w:t>
      </w:r>
      <w:r>
        <w:t xml:space="preserve">, </w:t>
      </w:r>
      <w:r w:rsidRPr="00401C2B">
        <w:t>что при расчете остаточной стоимости амортизируемого имущества</w:t>
      </w:r>
      <w:r>
        <w:t xml:space="preserve">, </w:t>
      </w:r>
      <w:r w:rsidRPr="00401C2B">
        <w:t>приходящегося на долю обособленного подразделения</w:t>
      </w:r>
      <w:r>
        <w:t xml:space="preserve">, </w:t>
      </w:r>
      <w:r w:rsidRPr="00401C2B">
        <w:t>учитывается имущество</w:t>
      </w:r>
      <w:r>
        <w:t xml:space="preserve">, </w:t>
      </w:r>
      <w:r w:rsidRPr="00401C2B">
        <w:t xml:space="preserve">используемое подразделением для осуществления деятельности (письма Минфина России от 10 мая </w:t>
      </w:r>
      <w:smartTag w:uri="urn:schemas-microsoft-com:office:smarttags" w:element="metricconverter">
        <w:smartTagPr>
          <w:attr w:name="ProductID" w:val="2011 г"/>
        </w:smartTagPr>
        <w:r w:rsidRPr="00401C2B">
          <w:t>2011 г</w:t>
        </w:r>
      </w:smartTag>
      <w:r w:rsidRPr="00401C2B">
        <w:t>. № 03-03-06/2/77</w:t>
      </w:r>
      <w:r>
        <w:t xml:space="preserve">, </w:t>
      </w:r>
      <w:r w:rsidRPr="00401C2B">
        <w:t xml:space="preserve">ФНС России от 14 апреля </w:t>
      </w:r>
      <w:smartTag w:uri="urn:schemas-microsoft-com:office:smarttags" w:element="metricconverter">
        <w:smartTagPr>
          <w:attr w:name="ProductID" w:val="2010 г"/>
        </w:smartTagPr>
        <w:r w:rsidRPr="00401C2B">
          <w:t>2010 г</w:t>
        </w:r>
      </w:smartTag>
      <w:r w:rsidRPr="00401C2B">
        <w:t xml:space="preserve">. № 3-2-10/11).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Если же имущество используется несколькими подразделениями</w:t>
      </w:r>
      <w:r>
        <w:t xml:space="preserve">, </w:t>
      </w:r>
      <w:r w:rsidRPr="00401C2B">
        <w:t>то налогоплательщику придется разработать механизм распределения остаточной стоимости. Указанная ситуация может возникнуть</w:t>
      </w:r>
      <w:r>
        <w:t xml:space="preserve">, </w:t>
      </w:r>
      <w:r w:rsidRPr="00401C2B">
        <w:t>например</w:t>
      </w:r>
      <w:r>
        <w:t xml:space="preserve">, </w:t>
      </w:r>
      <w:r w:rsidRPr="00401C2B">
        <w:t>в следующем случае.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На балансе головного подразделения числится недвижимое имущество</w:t>
      </w:r>
      <w:r>
        <w:t xml:space="preserve">, </w:t>
      </w:r>
      <w:r w:rsidRPr="00401C2B">
        <w:t>расположенное по местонахождению обособленного подразделения. Подразделение использует часть недвижимости для размещения в ней административно-управленческого персонала. В отношении остальной части помещений головная организация заключает договоры аренды. Доходы от сдачи недвижимого имущества в аренду получает именно головная организация. В рассматриваемом случае организации следует отдельно определять остаточную стоимость имущества</w:t>
      </w:r>
      <w:r>
        <w:t xml:space="preserve">, </w:t>
      </w:r>
      <w:r w:rsidRPr="00401C2B">
        <w:t>предоставляемого в аренду</w:t>
      </w:r>
      <w:r>
        <w:t xml:space="preserve">, </w:t>
      </w:r>
      <w:r w:rsidRPr="00401C2B">
        <w:t>и имущества</w:t>
      </w:r>
      <w:r>
        <w:t xml:space="preserve">, </w:t>
      </w:r>
      <w:r w:rsidRPr="00401C2B">
        <w:t>в котором размещается обособленное подразделение.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Для того чтобы обосновать расчет остаточной стоимости амортизируемого имущества обособленного подразделения</w:t>
      </w:r>
      <w:r>
        <w:t xml:space="preserve">, </w:t>
      </w:r>
      <w:r w:rsidRPr="00401C2B">
        <w:t>налогоплательщику необходимо иметь надлежащее документальное подтверждение факта его использования определенным подразделением. В качестве документального подтверждения могут служить: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договоры с арендаторами</w:t>
      </w:r>
      <w:r>
        <w:t xml:space="preserve">, </w:t>
      </w:r>
      <w:r w:rsidRPr="00401C2B">
        <w:t>заключенные от имени подразделения (должностными лицами подразделения</w:t>
      </w:r>
      <w:r>
        <w:t xml:space="preserve">, </w:t>
      </w:r>
      <w:r w:rsidRPr="00401C2B">
        <w:t>действующими по доверенности) с указанием регистрационных (КПП) и банковских реквизитов подразделения (при наличии);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договоры с эксплуатационными организациями</w:t>
      </w:r>
      <w:r>
        <w:t xml:space="preserve">, </w:t>
      </w:r>
      <w:r w:rsidRPr="00401C2B">
        <w:t>обслуживающими объекты основных средств</w:t>
      </w:r>
      <w:r>
        <w:t xml:space="preserve">, </w:t>
      </w:r>
      <w:r w:rsidRPr="00401C2B">
        <w:t>заключенные от имени подразделения;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акты по форме № ОС-1</w:t>
      </w:r>
      <w:r>
        <w:t xml:space="preserve"> </w:t>
      </w:r>
      <w:r w:rsidRPr="00401C2B">
        <w:t>(№ ОС-1а</w:t>
      </w:r>
      <w:r>
        <w:t xml:space="preserve">, </w:t>
      </w:r>
      <w:r w:rsidRPr="00401C2B">
        <w:t>№ ОС-1б)</w:t>
      </w:r>
      <w:r>
        <w:t xml:space="preserve">, </w:t>
      </w:r>
      <w:r w:rsidRPr="00401C2B">
        <w:t xml:space="preserve">в которых в приемке объекта расписался работник соответствующего подразделения;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накладные на внутреннее перемещение (форма № ОС-2)</w:t>
      </w:r>
      <w:r>
        <w:t xml:space="preserve">, </w:t>
      </w:r>
      <w:r w:rsidRPr="00401C2B">
        <w:t xml:space="preserve">оформленные при передаче основного средства в подразделение;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инвентарные карточки учета объектов основных средства по форме № ОС-6</w:t>
      </w:r>
      <w:r>
        <w:t xml:space="preserve"> </w:t>
      </w:r>
      <w:r w:rsidRPr="00401C2B">
        <w:t>(№ ОС-6а</w:t>
      </w:r>
      <w:r>
        <w:t xml:space="preserve">, </w:t>
      </w:r>
      <w:r w:rsidRPr="00401C2B">
        <w:t>№ ОС-6б)</w:t>
      </w:r>
      <w:r>
        <w:t xml:space="preserve">, </w:t>
      </w:r>
      <w:r w:rsidRPr="00401C2B">
        <w:t xml:space="preserve">в которых четко зафиксировано место эксплуатации объектов; 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– регистры бухгалтерского и налогового учета.</w:t>
      </w:r>
      <w:r>
        <w:t xml:space="preserve"> </w:t>
      </w:r>
    </w:p>
    <w:p w:rsidR="00074D04" w:rsidRPr="00E2431D" w:rsidRDefault="00074D04" w:rsidP="00074D04">
      <w:pPr>
        <w:spacing w:before="120"/>
        <w:jc w:val="center"/>
        <w:rPr>
          <w:b/>
          <w:sz w:val="28"/>
        </w:rPr>
      </w:pPr>
      <w:r w:rsidRPr="00E2431D">
        <w:rPr>
          <w:b/>
          <w:sz w:val="28"/>
        </w:rPr>
        <w:t>Определение численности работников (расходов на оплату)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В зависимости от положений учетной политики налогоплательщик для расчета доли доходов обособленного подразделения использует показатель либо среднесписочной численности работников</w:t>
      </w:r>
      <w:r>
        <w:t xml:space="preserve">, </w:t>
      </w:r>
      <w:r w:rsidRPr="00401C2B">
        <w:t>либо расходов на оплату труда.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Поговорим о том</w:t>
      </w:r>
      <w:r>
        <w:t xml:space="preserve">, </w:t>
      </w:r>
      <w:r w:rsidRPr="00401C2B">
        <w:t>как они рассчитываются.</w:t>
      </w:r>
      <w:r>
        <w:t xml:space="preserve"> 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Расходы на оплату труда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Состав расходов на оплату труда логичнее всего определять в соответствии со статьей 255</w:t>
      </w:r>
      <w:r>
        <w:t xml:space="preserve"> </w:t>
      </w:r>
      <w:r w:rsidRPr="00401C2B">
        <w:t>Налогового кодекса РФ.</w:t>
      </w:r>
      <w:r>
        <w:t xml:space="preserve"> 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Численность работников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Организации следует определить</w:t>
      </w:r>
      <w:r>
        <w:t xml:space="preserve">, </w:t>
      </w:r>
      <w:r w:rsidRPr="00401C2B">
        <w:t>каких работников следует учитывать при расчете доли того или иного подразделения. Возможны варианты. Учесть сотрудников</w:t>
      </w:r>
      <w:r>
        <w:t xml:space="preserve">, </w:t>
      </w:r>
      <w:r w:rsidRPr="00401C2B">
        <w:t>фактически осуществляющих деятельность в подразделении</w:t>
      </w:r>
      <w:r>
        <w:t xml:space="preserve">, </w:t>
      </w:r>
      <w:r w:rsidRPr="00401C2B">
        <w:t>либо распределить их в соответствии со штатным расписанием.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 xml:space="preserve">В недавнем письме Минфин России высказал свою точку зрения по этому вопросу (письмо от 27 декабря </w:t>
      </w:r>
      <w:smartTag w:uri="urn:schemas-microsoft-com:office:smarttags" w:element="metricconverter">
        <w:smartTagPr>
          <w:attr w:name="ProductID" w:val="2011 г"/>
        </w:smartTagPr>
        <w:r w:rsidRPr="00401C2B">
          <w:t>2011 г</w:t>
        </w:r>
      </w:smartTag>
      <w:r w:rsidRPr="00401C2B">
        <w:t>. № 03-03-06/2/201). По мнению финансистов</w:t>
      </w:r>
      <w:r>
        <w:t xml:space="preserve">, </w:t>
      </w:r>
      <w:r w:rsidRPr="00401C2B">
        <w:t>показатель среднесписочной численности работников обособленного подразделения определяется исходя из показателей среднесписочной численности работников</w:t>
      </w:r>
      <w:r>
        <w:t xml:space="preserve">, </w:t>
      </w:r>
      <w:r w:rsidRPr="00401C2B">
        <w:t xml:space="preserve">определяемых на основе фактического места осуществления ими трудовой деятельности.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Место фактического осуществления деятельности предложено определять на основе первичных документов</w:t>
      </w:r>
      <w:r>
        <w:t xml:space="preserve">, </w:t>
      </w:r>
      <w:r w:rsidRPr="00401C2B">
        <w:t xml:space="preserve">утвержденных постановлением Госкомстата России от 5 января </w:t>
      </w:r>
      <w:smartTag w:uri="urn:schemas-microsoft-com:office:smarttags" w:element="metricconverter">
        <w:smartTagPr>
          <w:attr w:name="ProductID" w:val="2004 г"/>
        </w:smartTagPr>
        <w:r w:rsidRPr="00401C2B">
          <w:t>2004 г</w:t>
        </w:r>
      </w:smartTag>
      <w:r w:rsidRPr="00401C2B">
        <w:t xml:space="preserve">. № 1. Это: 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приказы (распоряжения) о приеме работника на работу</w:t>
      </w:r>
      <w:r>
        <w:t xml:space="preserve">, </w:t>
      </w:r>
      <w:r w:rsidRPr="00401C2B">
        <w:t>переводе работника на другую работу</w:t>
      </w:r>
      <w:r>
        <w:t xml:space="preserve">, </w:t>
      </w:r>
      <w:r w:rsidRPr="00401C2B">
        <w:t>предоставлении отпуска работнику</w:t>
      </w:r>
      <w:r>
        <w:t xml:space="preserve">, </w:t>
      </w:r>
      <w:r w:rsidRPr="00401C2B">
        <w:t>прекращении (расторжении) трудового договора с работником (увольнении);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личная карточка работника;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табель учета рабочего времени и расчета оплаты труда и табель учета рабочего времени;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– расчетно-платежная ведомость.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Численность работников списочного состава за каждый день должна соответствовать данным табеля учета рабочего времени</w:t>
      </w:r>
      <w:r>
        <w:t xml:space="preserve">, </w:t>
      </w:r>
      <w:r w:rsidRPr="00401C2B">
        <w:t>на основании которого устанавливается численность работников</w:t>
      </w:r>
      <w:r>
        <w:t xml:space="preserve">, </w:t>
      </w:r>
      <w:r w:rsidRPr="00401C2B">
        <w:t>явившихся и не явившихся в фирму.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Кроме того</w:t>
      </w:r>
      <w:r>
        <w:t xml:space="preserve">, </w:t>
      </w:r>
      <w:r w:rsidRPr="00401C2B">
        <w:t>место осуществления трудовой деятельности должно быть зафиксировано в трудовом договоре с сотрудником.</w:t>
      </w:r>
    </w:p>
    <w:p w:rsidR="00074D04" w:rsidRDefault="00074D04" w:rsidP="00074D04">
      <w:pPr>
        <w:spacing w:before="120"/>
        <w:ind w:firstLine="567"/>
        <w:jc w:val="both"/>
      </w:pPr>
      <w:r w:rsidRPr="00401C2B">
        <w:t xml:space="preserve">Для определения среднесписочной численности Минфин России в письме от 27 декабря </w:t>
      </w:r>
      <w:smartTag w:uri="urn:schemas-microsoft-com:office:smarttags" w:element="metricconverter">
        <w:smartTagPr>
          <w:attr w:name="ProductID" w:val="2011 г"/>
        </w:smartTagPr>
        <w:r w:rsidRPr="00401C2B">
          <w:t>2011 г</w:t>
        </w:r>
      </w:smartTag>
      <w:r w:rsidRPr="00401C2B">
        <w:t>. № 03-03-06/2/201</w:t>
      </w:r>
      <w:r>
        <w:t xml:space="preserve"> </w:t>
      </w:r>
      <w:r w:rsidRPr="00401C2B">
        <w:t xml:space="preserve">указал на необходимость применения приказа Росстата от 12 ноября </w:t>
      </w:r>
      <w:smartTag w:uri="urn:schemas-microsoft-com:office:smarttags" w:element="metricconverter">
        <w:smartTagPr>
          <w:attr w:name="ProductID" w:val="2008 г"/>
        </w:smartTagPr>
        <w:r w:rsidRPr="00401C2B">
          <w:t>2008 г</w:t>
        </w:r>
      </w:smartTag>
      <w:r w:rsidRPr="00401C2B">
        <w:t>. № 278</w:t>
      </w:r>
      <w:r>
        <w:t xml:space="preserve">, </w:t>
      </w:r>
      <w:r w:rsidRPr="00401C2B">
        <w:t>которым утверждены Указания</w:t>
      </w:r>
      <w:r>
        <w:t xml:space="preserve"> </w:t>
      </w:r>
      <w:r w:rsidRPr="00401C2B">
        <w:t>по заполнению формы федерального статистического наблюдения № П-4 «Сведения о численности</w:t>
      </w:r>
      <w:r>
        <w:t xml:space="preserve">, </w:t>
      </w:r>
      <w:r w:rsidRPr="00401C2B">
        <w:t xml:space="preserve">заработной плате и движении работников». При этом упомянул ограничение периода действия указанного документа до подачи отчета за январь 2012 года. 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С 2012 года действуют Указания</w:t>
      </w:r>
      <w:r>
        <w:t xml:space="preserve"> </w:t>
      </w:r>
      <w:r w:rsidRPr="00401C2B">
        <w:t>по заполнению формы федерального статистического наблюдения № П-4 «Сведения о численности</w:t>
      </w:r>
      <w:r>
        <w:t xml:space="preserve">, </w:t>
      </w:r>
      <w:r w:rsidRPr="00401C2B">
        <w:t>заработной плате и движении работников»</w:t>
      </w:r>
      <w:r>
        <w:t xml:space="preserve">, </w:t>
      </w:r>
      <w:r w:rsidRPr="00401C2B">
        <w:t xml:space="preserve">утвержденные приказом Росстата от 24 октября </w:t>
      </w:r>
      <w:smartTag w:uri="urn:schemas-microsoft-com:office:smarttags" w:element="metricconverter">
        <w:smartTagPr>
          <w:attr w:name="ProductID" w:val="2011 г"/>
        </w:smartTagPr>
        <w:r w:rsidRPr="00401C2B">
          <w:t>2011 г</w:t>
        </w:r>
      </w:smartTag>
      <w:r w:rsidRPr="00401C2B">
        <w:t>. № 435.</w:t>
      </w:r>
      <w:r>
        <w:t xml:space="preserve"> 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Если доходов пока нет</w:t>
      </w:r>
    </w:p>
    <w:p w:rsidR="00074D04" w:rsidRDefault="00074D04" w:rsidP="00074D04">
      <w:pPr>
        <w:spacing w:before="120"/>
        <w:ind w:firstLine="567"/>
        <w:jc w:val="both"/>
      </w:pPr>
      <w:r w:rsidRPr="00401C2B">
        <w:t>Налоговый кодекс РФ не устанавливает специальных норм по поводу исчисления и уплаты налога на прибыль организациями</w:t>
      </w:r>
      <w:r>
        <w:t xml:space="preserve">, </w:t>
      </w:r>
      <w:r w:rsidRPr="00401C2B">
        <w:t>имеющими обособленные подразделения</w:t>
      </w:r>
      <w:r>
        <w:t xml:space="preserve">, </w:t>
      </w:r>
      <w:r w:rsidRPr="00401C2B">
        <w:t>которые не получают доходов или получают доходы</w:t>
      </w:r>
      <w:r>
        <w:t xml:space="preserve">, </w:t>
      </w:r>
      <w:r w:rsidRPr="00401C2B">
        <w:t>не учитываемые при налогообложении.</w:t>
      </w:r>
    </w:p>
    <w:p w:rsidR="00074D04" w:rsidRPr="00401C2B" w:rsidRDefault="00074D04" w:rsidP="00074D04">
      <w:pPr>
        <w:spacing w:before="120"/>
        <w:ind w:firstLine="567"/>
        <w:jc w:val="both"/>
      </w:pPr>
      <w:r w:rsidRPr="00401C2B">
        <w:t>Но</w:t>
      </w:r>
      <w:r>
        <w:t xml:space="preserve">, </w:t>
      </w:r>
      <w:r w:rsidRPr="00401C2B">
        <w:t>как разъяснили чиновники</w:t>
      </w:r>
      <w:r>
        <w:t xml:space="preserve">, </w:t>
      </w:r>
      <w:r w:rsidRPr="00401C2B">
        <w:t>порядок уплаты налога на прибыль в доходную часть бюджетов субъектов РФ и бюджетов муниципальных образований</w:t>
      </w:r>
      <w:r>
        <w:t xml:space="preserve">, </w:t>
      </w:r>
      <w:r w:rsidRPr="00401C2B">
        <w:t>предусмотренный пунктом 2</w:t>
      </w:r>
      <w:r>
        <w:t xml:space="preserve"> </w:t>
      </w:r>
      <w:r w:rsidRPr="00401C2B">
        <w:t>статьи 288 Налогового кодекса РФ</w:t>
      </w:r>
      <w:r>
        <w:t xml:space="preserve">, </w:t>
      </w:r>
      <w:r w:rsidRPr="00401C2B">
        <w:t xml:space="preserve">применяется и к таким организациям (письмо Минфина России от 10 октября </w:t>
      </w:r>
      <w:smartTag w:uri="urn:schemas-microsoft-com:office:smarttags" w:element="metricconverter">
        <w:smartTagPr>
          <w:attr w:name="ProductID" w:val="2011 г"/>
        </w:smartTagPr>
        <w:r w:rsidRPr="00401C2B">
          <w:t>2011 г</w:t>
        </w:r>
      </w:smartTag>
      <w:r w:rsidRPr="00401C2B">
        <w:t>. № 03-03-06/1/640).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D04"/>
    <w:rsid w:val="00074D04"/>
    <w:rsid w:val="001A35F6"/>
    <w:rsid w:val="002300C6"/>
    <w:rsid w:val="00401C2B"/>
    <w:rsid w:val="00404A9F"/>
    <w:rsid w:val="005F0F93"/>
    <w:rsid w:val="007455B7"/>
    <w:rsid w:val="007D5675"/>
    <w:rsid w:val="00811DD4"/>
    <w:rsid w:val="00E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D6E825-2639-4515-8369-34F54D22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4D0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7397</Characters>
  <Application>Microsoft Office Word</Application>
  <DocSecurity>0</DocSecurity>
  <Lines>61</Lines>
  <Paragraphs>17</Paragraphs>
  <ScaleCrop>false</ScaleCrop>
  <Company>Home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налога на прибыль по филиалу</dc:title>
  <dc:subject/>
  <dc:creator>User</dc:creator>
  <cp:keywords/>
  <dc:description/>
  <cp:lastModifiedBy>Irina</cp:lastModifiedBy>
  <cp:revision>2</cp:revision>
  <dcterms:created xsi:type="dcterms:W3CDTF">2014-07-19T08:06:00Z</dcterms:created>
  <dcterms:modified xsi:type="dcterms:W3CDTF">2014-07-19T08:06:00Z</dcterms:modified>
</cp:coreProperties>
</file>