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rPr>
          <w:lang w:val="uk-UA"/>
        </w:rPr>
      </w:pPr>
    </w:p>
    <w:p w:rsidR="00602722" w:rsidRDefault="006E60BB">
      <w:pPr>
        <w:ind w:firstLine="561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Модальність суджень</w:t>
      </w:r>
    </w:p>
    <w:p w:rsidR="00602722" w:rsidRDefault="00602722">
      <w:pPr>
        <w:ind w:firstLine="561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02722">
      <w:pPr>
        <w:ind w:firstLine="561"/>
        <w:jc w:val="right"/>
        <w:rPr>
          <w:lang w:val="uk-UA"/>
        </w:rPr>
      </w:pP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br w:type="page"/>
        <w:t>Модальність – характеристика судження, яка визначається принципом розрізнення об’єктивно можливо, дійсного і необхідного.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Йдеться про об’єктивну модальність. А формальну логіку цікавить передусім логічна модальність, яка полягає в ступені встановленої достовірності думок завдяки тому чи іншому різновиду судження.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За об’єктивною модальністю судження поділяються на судження необхідності, дійсності та можливості. 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Наприклад: „Після весни настане літо” (судження необхідності); „Літо в цьому році тепле” (судження дійсності); „В теперішньому тисячолітті людство може назавжди відмовитися від війн” (судження можливості).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За логічною модальністю, тобто залежно від ступеня їх доведеності, судження поділяється на проблематичні (ймовірні) і достовірні.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Проблематичне судження – судження, в якому щось стверджується чи заперечується в певним ступенем припущення. Наприклад: „Причиною масової загибелі огірків, мабуть, є низька температура”. Проблематичні судження треба відрізняти від суджень можливості. Вони фактично є судженнями про судження.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Достовірне судження – судження, що містить знання, обґрунтовані, перевірені практикою.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Наприклад: „Тварини дихають киснем”. Складне судження – судження, до складу якого входять два і більше суб’єктів, або два та більше предикатів, або два та більше і суб’єктів, і предикатів. Складні судження поділяються га безумовні та умовні.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Безумовні судження поділяються на єднальні, розділові, поділяючі та множинні.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В єднальних судженнях, а відміну від простих, наявне твердження чи заперечення про належність предметові двох чи більше ознак. Оскільки в єднальних судженнях може йтися як про один предмет, так і про множину (повну чи неповну) предметів, то вони, так само, як і прості, поділяються на одиничні, загальні і часткові.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У предикаті розділового судження, як і в предикаті єднального, вказується на дві чи більше ознак. Проте, на відміну від єднального в розділовому судженні не стверджується, о всі ці ознаки належать предметові судження.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Поділяючі судження належать до розділових. Їх специфіка полягає втому, що в них дається повний перелік різновидів предмета думки.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У множинних судженнях суб’єкт завжди є складним, а предикат може бути як складеним, так і простим. Наприклад: „Залізо, свинець та деякі інші метали тонуть у воді”.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Умовне судження – судження, в кому відображається залежність того чи іншого явища від тих чи інших обставин і в якому підстава і наслідок з’єднуються з допомогою логічного сполучника „якщо, то...”.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Наприклад: „Якщо всі метали перебувають у твердому стані, то це стосується і ртуті”. В умовному судженні треба розрізняти підставу і наслідок. 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Так, у наведеному прикладі підставою служить думка „якщо всі метали є твердими тілами”, а наслідком – „то і ртуть є твердим тілом”.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>Для розуміння сутності умовних суджень важливо осмислити зв’язок між підставою і наслідком: залежність наслідку від підстави і підстави від наслідку.</w:t>
      </w:r>
    </w:p>
    <w:p w:rsidR="00602722" w:rsidRDefault="006E60BB">
      <w:pPr>
        <w:spacing w:line="360" w:lineRule="auto"/>
        <w:ind w:firstLine="561"/>
        <w:jc w:val="both"/>
        <w:rPr>
          <w:lang w:val="uk-UA"/>
        </w:rPr>
      </w:pPr>
      <w:r>
        <w:rPr>
          <w:lang w:val="uk-UA"/>
        </w:rPr>
        <w:t xml:space="preserve">     </w:t>
      </w:r>
      <w:bookmarkStart w:id="0" w:name="_GoBack"/>
      <w:bookmarkEnd w:id="0"/>
    </w:p>
    <w:sectPr w:rsidR="006027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BB"/>
    <w:rsid w:val="005871A5"/>
    <w:rsid w:val="00602722"/>
    <w:rsid w:val="006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B92E4-C46F-49AA-8CEF-C3807AD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2953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2014-04-28T15:57:00Z</dcterms:created>
  <dcterms:modified xsi:type="dcterms:W3CDTF">2014-04-28T15:57:00Z</dcterms:modified>
  <cp:category>Гуманітарні науки</cp:category>
</cp:coreProperties>
</file>