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34" w:rsidRDefault="00CE2034">
      <w:pPr>
        <w:jc w:val="both"/>
        <w:rPr>
          <w:b/>
        </w:rPr>
      </w:pPr>
    </w:p>
    <w:p w:rsidR="00CE2034" w:rsidRDefault="00CE2034">
      <w:pPr>
        <w:jc w:val="center"/>
        <w:rPr>
          <w:b/>
        </w:rPr>
      </w:pPr>
      <w:r>
        <w:rPr>
          <w:b/>
        </w:rPr>
        <w:t>Лечение вестибулярных шванном:</w:t>
      </w:r>
      <w:r>
        <w:t xml:space="preserve"> </w:t>
      </w:r>
      <w:r>
        <w:rPr>
          <w:b/>
        </w:rPr>
        <w:t>Общие параметры</w:t>
      </w:r>
    </w:p>
    <w:p w:rsidR="00CE2034" w:rsidRDefault="00CE2034">
      <w:pPr>
        <w:pStyle w:val="2"/>
      </w:pPr>
      <w:r>
        <w:t xml:space="preserve"> К. Ырысов, M. Caмии</w:t>
      </w:r>
    </w:p>
    <w:p w:rsidR="00CE2034" w:rsidRDefault="00CE2034">
      <w:pPr>
        <w:jc w:val="center"/>
        <w:rPr>
          <w:b/>
        </w:rPr>
      </w:pPr>
      <w:r>
        <w:rPr>
          <w:b/>
        </w:rPr>
        <w:t xml:space="preserve">International Neuroscience Institute Hannover </w:t>
      </w:r>
    </w:p>
    <w:p w:rsidR="00CE2034" w:rsidRDefault="00CE2034">
      <w:pPr>
        <w:jc w:val="center"/>
      </w:pPr>
      <w:r>
        <w:rPr>
          <w:b/>
        </w:rPr>
        <w:t xml:space="preserve"> </w:t>
      </w:r>
      <w:r>
        <w:t>In den sieben Stuecken 7 b – 603</w:t>
      </w:r>
    </w:p>
    <w:p w:rsidR="00CE2034" w:rsidRPr="00CE2034" w:rsidRDefault="00CE2034">
      <w:pPr>
        <w:jc w:val="center"/>
        <w:rPr>
          <w:lang w:val="ru-RU"/>
        </w:rPr>
      </w:pPr>
      <w:r w:rsidRPr="00CE2034">
        <w:rPr>
          <w:lang w:val="ru-RU"/>
        </w:rPr>
        <w:t xml:space="preserve">30655 </w:t>
      </w:r>
      <w:r>
        <w:t>Hannover</w:t>
      </w:r>
      <w:r w:rsidRPr="00CE2034">
        <w:rPr>
          <w:lang w:val="ru-RU"/>
        </w:rPr>
        <w:t xml:space="preserve"> </w:t>
      </w:r>
      <w:r>
        <w:t>Germany</w:t>
      </w:r>
    </w:p>
    <w:p w:rsidR="00CE2034" w:rsidRPr="00CE2034" w:rsidRDefault="00CE2034">
      <w:pPr>
        <w:jc w:val="center"/>
        <w:rPr>
          <w:lang w:val="ru-RU"/>
        </w:rPr>
      </w:pPr>
      <w:r>
        <w:t>phone</w:t>
      </w:r>
      <w:r w:rsidRPr="00CE2034">
        <w:rPr>
          <w:lang w:val="ru-RU"/>
        </w:rPr>
        <w:t>: +0171 2792746</w:t>
      </w:r>
    </w:p>
    <w:p w:rsidR="00CE2034" w:rsidRPr="00CE2034" w:rsidRDefault="00CE2034">
      <w:pPr>
        <w:jc w:val="center"/>
        <w:rPr>
          <w:lang w:val="ru-RU"/>
        </w:rPr>
      </w:pPr>
      <w:r>
        <w:t>fax</w:t>
      </w:r>
      <w:r w:rsidRPr="00CE2034">
        <w:rPr>
          <w:lang w:val="ru-RU"/>
        </w:rPr>
        <w:t>: +49(511)7261959</w:t>
      </w:r>
    </w:p>
    <w:p w:rsidR="00CE2034" w:rsidRPr="00CE2034" w:rsidRDefault="00CE2034">
      <w:pPr>
        <w:jc w:val="center"/>
        <w:rPr>
          <w:lang w:val="ru-RU"/>
        </w:rPr>
      </w:pPr>
      <w:r>
        <w:t>e</w:t>
      </w:r>
      <w:r w:rsidRPr="00CE2034">
        <w:rPr>
          <w:lang w:val="ru-RU"/>
        </w:rPr>
        <w:t>-</w:t>
      </w:r>
      <w:r>
        <w:t>mail</w:t>
      </w:r>
      <w:r w:rsidRPr="00CE2034">
        <w:rPr>
          <w:lang w:val="ru-RU"/>
        </w:rPr>
        <w:t xml:space="preserve">: </w:t>
      </w:r>
      <w:r>
        <w:t>keneshbek</w:t>
      </w:r>
      <w:r w:rsidRPr="00CE2034">
        <w:rPr>
          <w:lang w:val="ru-RU"/>
        </w:rPr>
        <w:t>@</w:t>
      </w:r>
      <w:r>
        <w:t>yahoo</w:t>
      </w:r>
      <w:r w:rsidRPr="00CE2034">
        <w:rPr>
          <w:lang w:val="ru-RU"/>
        </w:rPr>
        <w:t>.</w:t>
      </w:r>
      <w:r>
        <w:t>com</w:t>
      </w:r>
    </w:p>
    <w:p w:rsidR="00CE2034" w:rsidRPr="00CE2034" w:rsidRDefault="00CE2034">
      <w:pPr>
        <w:pStyle w:val="20"/>
        <w:rPr>
          <w:sz w:val="20"/>
          <w:lang w:val="ru-RU"/>
        </w:rPr>
      </w:pPr>
      <w:r w:rsidRPr="00CE2034">
        <w:rPr>
          <w:b/>
          <w:sz w:val="20"/>
          <w:lang w:val="ru-RU"/>
        </w:rPr>
        <w:t xml:space="preserve">    </w:t>
      </w:r>
      <w:r w:rsidRPr="00CE2034">
        <w:rPr>
          <w:sz w:val="20"/>
          <w:lang w:val="ru-RU"/>
        </w:rPr>
        <w:t>Несмотря на хорошее знание ключевых симптомов вестибулярных шванном (ВШ) и их значение для результатов хирургического лечения, развитие симптомов и признаков, и их соотношение с размером опухоли всё ещё требуют тщательного исследования.</w:t>
      </w:r>
    </w:p>
    <w:p w:rsidR="00CE2034" w:rsidRPr="00CE2034" w:rsidRDefault="00CE2034">
      <w:pPr>
        <w:pStyle w:val="a3"/>
        <w:jc w:val="both"/>
        <w:rPr>
          <w:sz w:val="20"/>
          <w:lang w:val="ru-RU"/>
        </w:rPr>
      </w:pPr>
      <w:r w:rsidRPr="00CE2034">
        <w:rPr>
          <w:sz w:val="20"/>
          <w:lang w:val="ru-RU"/>
        </w:rPr>
        <w:t xml:space="preserve">    С 2001 по 2003 гг. 125 операции были выполнены при 120 ВШ в нейрохирургическом отделении </w:t>
      </w:r>
      <w:r>
        <w:rPr>
          <w:sz w:val="20"/>
          <w:lang w:val="en-GB"/>
        </w:rPr>
        <w:t>International</w:t>
      </w:r>
      <w:r w:rsidRPr="00CE2034">
        <w:rPr>
          <w:sz w:val="20"/>
          <w:lang w:val="ru-RU"/>
        </w:rPr>
        <w:t xml:space="preserve"> </w:t>
      </w:r>
      <w:r>
        <w:rPr>
          <w:sz w:val="20"/>
          <w:lang w:val="en-GB"/>
        </w:rPr>
        <w:t>Neuroscience</w:t>
      </w:r>
      <w:r w:rsidRPr="00CE2034">
        <w:rPr>
          <w:sz w:val="20"/>
          <w:lang w:val="ru-RU"/>
        </w:rPr>
        <w:t xml:space="preserve"> </w:t>
      </w:r>
      <w:r>
        <w:rPr>
          <w:sz w:val="20"/>
          <w:lang w:val="en-GB"/>
        </w:rPr>
        <w:t>Institute</w:t>
      </w:r>
      <w:r w:rsidRPr="00CE2034">
        <w:rPr>
          <w:sz w:val="20"/>
          <w:lang w:val="ru-RU"/>
        </w:rPr>
        <w:t xml:space="preserve"> </w:t>
      </w:r>
      <w:r>
        <w:rPr>
          <w:sz w:val="20"/>
          <w:lang w:val="en-GB"/>
        </w:rPr>
        <w:t>Hannover</w:t>
      </w:r>
      <w:r w:rsidRPr="00CE2034">
        <w:rPr>
          <w:sz w:val="20"/>
          <w:lang w:val="ru-RU"/>
        </w:rPr>
        <w:t xml:space="preserve">. ВШ была диагностирована у 120 пациентов, включая 65 женщин (54%) и 55 мужчин (46%), средний возраст больных был значительно выше у женщин (47,6 лет) чем у мужчин (45,2 лет).  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Более частыми клиническими симптомами были нарушения со стороны слухового (95%), вестибулярного (61%), тройничного (9%), и лицевого (6%) нервов. Длительность симптомов была 3,7 лет при нарушениях слуха, 1,9 лет при парезах лицевого нерва, и 1,3 лет при нарушениях со стороны тройничного нерва.  Возникновение симптомов и его длительность не коррелировали с размером опухоли. Ключевые симптомы при различной распространённости опухолей ускоряли диагностику, такие как нарушение со стороны тройничного нерва при больших опухолях с компрессией ствола мозга или тиннитус при маленьких невриномах.  </w:t>
      </w:r>
    </w:p>
    <w:p w:rsidR="00CE2034" w:rsidRPr="00CE2034" w:rsidRDefault="00CE2034">
      <w:pPr>
        <w:jc w:val="both"/>
        <w:rPr>
          <w:lang w:val="ru-RU"/>
        </w:rPr>
      </w:pPr>
    </w:p>
    <w:p w:rsidR="00CE2034" w:rsidRDefault="00CE2034">
      <w:pPr>
        <w:pStyle w:val="a3"/>
        <w:jc w:val="center"/>
        <w:rPr>
          <w:b/>
          <w:sz w:val="20"/>
          <w:lang w:val="en-GB"/>
        </w:rPr>
      </w:pPr>
      <w:r>
        <w:rPr>
          <w:b/>
          <w:sz w:val="20"/>
          <w:lang w:val="en-GB"/>
        </w:rPr>
        <w:t>Management of vestibular schwannomas: General parameters.</w:t>
      </w:r>
    </w:p>
    <w:p w:rsidR="00CE2034" w:rsidRPr="00CE2034" w:rsidRDefault="00CE2034">
      <w:pPr>
        <w:pStyle w:val="1"/>
        <w:spacing w:line="240" w:lineRule="auto"/>
        <w:jc w:val="center"/>
        <w:rPr>
          <w:b/>
          <w:sz w:val="20"/>
        </w:rPr>
      </w:pPr>
      <w:r w:rsidRPr="00CE2034">
        <w:rPr>
          <w:b/>
          <w:sz w:val="20"/>
        </w:rPr>
        <w:t>K. Yrysov, M. Samii</w:t>
      </w:r>
    </w:p>
    <w:p w:rsidR="00CE2034" w:rsidRPr="00CE2034" w:rsidRDefault="00CE2034">
      <w:pPr>
        <w:jc w:val="center"/>
        <w:rPr>
          <w:b/>
        </w:rPr>
      </w:pPr>
      <w:r w:rsidRPr="00CE2034">
        <w:rPr>
          <w:b/>
        </w:rPr>
        <w:t>International Neuroscience Institute Hannover</w:t>
      </w:r>
    </w:p>
    <w:p w:rsidR="00CE2034" w:rsidRDefault="00CE2034">
      <w:pPr>
        <w:jc w:val="center"/>
      </w:pPr>
      <w:r>
        <w:t>In den sieben Stuecken 7 b – 603</w:t>
      </w:r>
    </w:p>
    <w:p w:rsidR="00CE2034" w:rsidRPr="00CE2034" w:rsidRDefault="00CE2034">
      <w:pPr>
        <w:jc w:val="center"/>
        <w:rPr>
          <w:lang w:val="en-GB"/>
        </w:rPr>
      </w:pPr>
      <w:r w:rsidRPr="00CE2034">
        <w:rPr>
          <w:lang w:val="en-GB"/>
        </w:rPr>
        <w:t>30655 Han</w:t>
      </w:r>
      <w:r>
        <w:rPr>
          <w:lang w:val="en-GB"/>
        </w:rPr>
        <w:t>n</w:t>
      </w:r>
      <w:r w:rsidRPr="00CE2034">
        <w:rPr>
          <w:lang w:val="en-GB"/>
        </w:rPr>
        <w:t>over Germany</w:t>
      </w:r>
    </w:p>
    <w:p w:rsidR="00CE2034" w:rsidRPr="00CE2034" w:rsidRDefault="00CE2034">
      <w:pPr>
        <w:jc w:val="center"/>
        <w:rPr>
          <w:lang w:val="en-GB"/>
        </w:rPr>
      </w:pPr>
      <w:r w:rsidRPr="00CE2034">
        <w:rPr>
          <w:lang w:val="en-GB"/>
        </w:rPr>
        <w:t>phone: +0171 2792746</w:t>
      </w:r>
    </w:p>
    <w:p w:rsidR="00CE2034" w:rsidRPr="00CE2034" w:rsidRDefault="00CE2034">
      <w:pPr>
        <w:jc w:val="center"/>
        <w:rPr>
          <w:lang w:val="en-GB"/>
        </w:rPr>
      </w:pPr>
      <w:r w:rsidRPr="00CE2034">
        <w:rPr>
          <w:lang w:val="en-GB"/>
        </w:rPr>
        <w:t>fax: +49(511)7261959</w:t>
      </w:r>
    </w:p>
    <w:p w:rsidR="00CE2034" w:rsidRPr="00CE2034" w:rsidRDefault="00CE2034">
      <w:pPr>
        <w:jc w:val="center"/>
        <w:rPr>
          <w:lang w:val="en-GB"/>
        </w:rPr>
      </w:pPr>
      <w:r w:rsidRPr="00CE2034">
        <w:rPr>
          <w:lang w:val="en-GB"/>
        </w:rPr>
        <w:t>e-mail: keneshbek@yahoo.com</w:t>
      </w:r>
    </w:p>
    <w:p w:rsidR="00CE2034" w:rsidRDefault="00CE2034">
      <w:pPr>
        <w:jc w:val="center"/>
        <w:rPr>
          <w:b/>
          <w:lang w:val="en-GB"/>
        </w:rPr>
      </w:pPr>
    </w:p>
    <w:p w:rsidR="00CE2034" w:rsidRDefault="00CE2034">
      <w:pPr>
        <w:rPr>
          <w:lang w:val="en-GB"/>
        </w:rPr>
      </w:pPr>
      <w:r>
        <w:rPr>
          <w:lang w:val="en-GB"/>
        </w:rPr>
        <w:t xml:space="preserve">   Despite good knowledge of the key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symptoms of vestibular schwannomas (VS) and their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significance for surgical results, the evolution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of symptoms and signs and their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relation to tumor extension still need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 xml:space="preserve">thorough investigation. </w:t>
      </w:r>
      <w:r>
        <w:rPr>
          <w:lang w:val="en-GB"/>
        </w:rPr>
        <w:br/>
        <w:t xml:space="preserve">  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From 2001to 2003, 125 operations were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 xml:space="preserve">performed 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on 120 vestibular schwannomas (VS) at the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Neurosurgical Department of International Neuroscience Institute Hannover. The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vestibular schwannomas were diagnosed in 120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patients, including 65 female patients (54%)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and 55 male patients (46%); the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mean age was significantly higher in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female patients (47.6 yr) than in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men (45.2 yr). The most frequent clinical symptoms were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disturbances of the acoustic (95%), vestibular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(61%), trigeminal (9%), and facial (6%)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nerves. Symptom duration was 3.7 years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for hearing loss, 1.9 years for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facial paresis, and 1.3 years for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trigeminal disturbances. Symptom incidence and duration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did not strictly correlate with tumor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size. Key symptoms of various tumor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extension classes precipitated the diagnosis, such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as trigeminal disturbances in large tumors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with brain stem compression or tinnitus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in small neuromas.</w:t>
      </w:r>
    </w:p>
    <w:p w:rsidR="00CE2034" w:rsidRDefault="00CE2034">
      <w:pPr>
        <w:rPr>
          <w:lang w:val="en-GB"/>
        </w:rPr>
      </w:pPr>
      <w:r>
        <w:rPr>
          <w:lang w:val="en-GB"/>
        </w:rPr>
        <w:t xml:space="preserve">  </w:t>
      </w:r>
    </w:p>
    <w:p w:rsidR="00CE2034" w:rsidRPr="00CE2034" w:rsidRDefault="00CE2034">
      <w:pPr>
        <w:jc w:val="both"/>
        <w:rPr>
          <w:lang w:val="ru-RU"/>
        </w:rPr>
      </w:pPr>
      <w:r>
        <w:rPr>
          <w:lang w:val="en-GB"/>
        </w:rPr>
        <w:t xml:space="preserve">    </w:t>
      </w:r>
      <w:r w:rsidRPr="00CE2034">
        <w:rPr>
          <w:lang w:val="en-GB"/>
        </w:rPr>
        <w:t xml:space="preserve"> </w:t>
      </w:r>
      <w:r w:rsidRPr="00CE2034">
        <w:rPr>
          <w:lang w:val="ru-RU"/>
        </w:rPr>
        <w:t>Лечение доброкачественных поражений в такой деликатной области как мосто-мозжечковый угол, требует от нейрохирургов дальнейшего совершенствования. Более того, у некоторых пациентов, одноэтапная хирургия ведёт не только к постоянству вылечивания, но и к полноте нормального качества жизни, что возлагает на нейрохирургов дальнейшие надежды.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  Всё ещё не так хорошо ясно, как различные симптомы, продолжительность их, и последовательность развития, коррелируют с размером и распространённостью опухоли или с действительным объективным поражением краниального нерва. Анализ этих эпидемиологических аспектов необходим перед формулировкой оптимального диагностического и лечебного протокола. Оценка хирургического лечения 125 случаев неврином слухового нерва  дает возможность детального изучения клинических методов лечения в течение 2 лет.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Пациенты и методы.</w:t>
      </w:r>
    </w:p>
    <w:p w:rsidR="00CE2034" w:rsidRPr="00CE2034" w:rsidRDefault="00CE2034">
      <w:pPr>
        <w:pStyle w:val="20"/>
        <w:rPr>
          <w:sz w:val="20"/>
          <w:lang w:val="ru-RU"/>
        </w:rPr>
      </w:pPr>
      <w:r w:rsidRPr="00CE2034">
        <w:rPr>
          <w:sz w:val="20"/>
          <w:lang w:val="ru-RU"/>
        </w:rPr>
        <w:t xml:space="preserve">    С 2001 по 2003гг., субокципитальный доступ был использован для удаления 125 ВШ у 120 пациентов в нейрохирургической клинике </w:t>
      </w:r>
      <w:r>
        <w:rPr>
          <w:sz w:val="20"/>
          <w:lang w:val="en-GB"/>
        </w:rPr>
        <w:t>International</w:t>
      </w:r>
      <w:r w:rsidRPr="00CE2034">
        <w:rPr>
          <w:sz w:val="20"/>
          <w:lang w:val="ru-RU"/>
        </w:rPr>
        <w:t xml:space="preserve"> </w:t>
      </w:r>
      <w:r>
        <w:rPr>
          <w:sz w:val="20"/>
          <w:lang w:val="en-GB"/>
        </w:rPr>
        <w:t>Neuroscience</w:t>
      </w:r>
      <w:r w:rsidRPr="00CE2034">
        <w:rPr>
          <w:sz w:val="20"/>
          <w:lang w:val="ru-RU"/>
        </w:rPr>
        <w:t xml:space="preserve"> </w:t>
      </w:r>
      <w:r>
        <w:rPr>
          <w:sz w:val="20"/>
          <w:lang w:val="en-GB"/>
        </w:rPr>
        <w:t>Institute</w:t>
      </w:r>
      <w:r w:rsidRPr="00CE2034">
        <w:rPr>
          <w:sz w:val="20"/>
          <w:lang w:val="ru-RU"/>
        </w:rPr>
        <w:t xml:space="preserve"> </w:t>
      </w:r>
      <w:r>
        <w:rPr>
          <w:sz w:val="20"/>
          <w:lang w:val="en-GB"/>
        </w:rPr>
        <w:t>Hannover</w:t>
      </w:r>
      <w:r w:rsidRPr="00CE2034">
        <w:rPr>
          <w:sz w:val="20"/>
          <w:lang w:val="ru-RU"/>
        </w:rPr>
        <w:t>.   Данное исследование фокусировано на клинической оценке, что было основано на тщательном изучении историй болезней пациентов и субъективных жалоб по следующим критериям: 1) общее состояние здоровья, 2) вовлечение краниальных нервов, 3) вовлечение мозжечка и мозга, 4) длительность и последовательность симптомов. Мы также рассмотрели объективные данные, такие как результаты неврологического исследования, распространённость опухоли, как обнаружено при радиологических исследованиях, и аудиометрических тестов.</w:t>
      </w:r>
    </w:p>
    <w:p w:rsidR="00CE2034" w:rsidRPr="00CE2034" w:rsidRDefault="00CE2034">
      <w:pPr>
        <w:pStyle w:val="20"/>
        <w:rPr>
          <w:sz w:val="20"/>
          <w:lang w:val="ru-RU"/>
        </w:rPr>
      </w:pPr>
      <w:r w:rsidRPr="00CE2034">
        <w:rPr>
          <w:sz w:val="20"/>
          <w:lang w:val="ru-RU"/>
        </w:rPr>
        <w:t xml:space="preserve">    Размеры опухолей измерялись в аксиальной поверхности, включая интра- и экстрамеатальную распространённость. Опухоли более чем 30 </w:t>
      </w:r>
      <w:r>
        <w:rPr>
          <w:sz w:val="20"/>
        </w:rPr>
        <w:t>x</w:t>
      </w:r>
      <w:r w:rsidRPr="00CE2034">
        <w:rPr>
          <w:sz w:val="20"/>
          <w:lang w:val="ru-RU"/>
        </w:rPr>
        <w:t xml:space="preserve"> 20 </w:t>
      </w:r>
      <w:r>
        <w:rPr>
          <w:sz w:val="20"/>
        </w:rPr>
        <w:t>mm</w:t>
      </w:r>
      <w:r w:rsidRPr="00CE2034">
        <w:rPr>
          <w:sz w:val="20"/>
          <w:lang w:val="ru-RU"/>
        </w:rPr>
        <w:t xml:space="preserve"> оценены как маленькие. Распространённость опухоли описана следующим образом: </w:t>
      </w:r>
      <w:r>
        <w:rPr>
          <w:sz w:val="20"/>
        </w:rPr>
        <w:t>T</w:t>
      </w:r>
      <w:r w:rsidRPr="00CE2034">
        <w:rPr>
          <w:sz w:val="20"/>
          <w:lang w:val="ru-RU"/>
        </w:rPr>
        <w:t xml:space="preserve">1,чисто интрамеатальная; </w:t>
      </w:r>
      <w:r>
        <w:rPr>
          <w:sz w:val="20"/>
        </w:rPr>
        <w:t>T</w:t>
      </w:r>
      <w:r w:rsidRPr="00CE2034">
        <w:rPr>
          <w:sz w:val="20"/>
          <w:lang w:val="ru-RU"/>
        </w:rPr>
        <w:t xml:space="preserve">2, интра-экстрамеатальная; </w:t>
      </w:r>
      <w:r>
        <w:rPr>
          <w:sz w:val="20"/>
        </w:rPr>
        <w:t>T</w:t>
      </w:r>
      <w:r w:rsidRPr="00CE2034">
        <w:rPr>
          <w:sz w:val="20"/>
          <w:lang w:val="ru-RU"/>
        </w:rPr>
        <w:t>3</w:t>
      </w:r>
      <w:r>
        <w:rPr>
          <w:sz w:val="20"/>
        </w:rPr>
        <w:t>a</w:t>
      </w:r>
      <w:r w:rsidRPr="00CE2034">
        <w:rPr>
          <w:sz w:val="20"/>
          <w:lang w:val="ru-RU"/>
        </w:rPr>
        <w:t xml:space="preserve">, заполняющая мосто-мозжечковую цистерну; </w:t>
      </w:r>
      <w:r>
        <w:rPr>
          <w:sz w:val="20"/>
        </w:rPr>
        <w:t>T</w:t>
      </w:r>
      <w:r w:rsidRPr="00CE2034">
        <w:rPr>
          <w:sz w:val="20"/>
          <w:lang w:val="ru-RU"/>
        </w:rPr>
        <w:t>3</w:t>
      </w:r>
      <w:r>
        <w:rPr>
          <w:sz w:val="20"/>
        </w:rPr>
        <w:t>b</w:t>
      </w:r>
      <w:r w:rsidRPr="00CE2034">
        <w:rPr>
          <w:sz w:val="20"/>
          <w:lang w:val="ru-RU"/>
        </w:rPr>
        <w:t xml:space="preserve">, достигающая ствола мозга; </w:t>
      </w:r>
      <w:r>
        <w:rPr>
          <w:sz w:val="20"/>
        </w:rPr>
        <w:t>T</w:t>
      </w:r>
      <w:r w:rsidRPr="00CE2034">
        <w:rPr>
          <w:sz w:val="20"/>
          <w:lang w:val="ru-RU"/>
        </w:rPr>
        <w:t>4</w:t>
      </w:r>
      <w:r>
        <w:rPr>
          <w:sz w:val="20"/>
        </w:rPr>
        <w:t>a</w:t>
      </w:r>
      <w:r w:rsidRPr="00CE2034">
        <w:rPr>
          <w:sz w:val="20"/>
          <w:lang w:val="ru-RU"/>
        </w:rPr>
        <w:t xml:space="preserve">, сдавливающая ствол мозга; </w:t>
      </w:r>
      <w:r>
        <w:rPr>
          <w:sz w:val="20"/>
        </w:rPr>
        <w:t>T</w:t>
      </w:r>
      <w:r w:rsidRPr="00CE2034">
        <w:rPr>
          <w:sz w:val="20"/>
          <w:lang w:val="ru-RU"/>
        </w:rPr>
        <w:t>4</w:t>
      </w:r>
      <w:r>
        <w:rPr>
          <w:sz w:val="20"/>
        </w:rPr>
        <w:t>b</w:t>
      </w:r>
      <w:r w:rsidRPr="00CE2034">
        <w:rPr>
          <w:sz w:val="20"/>
          <w:lang w:val="ru-RU"/>
        </w:rPr>
        <w:t xml:space="preserve">, грубо дислоцирующая и сдавливающая ствол мозга и </w:t>
      </w:r>
      <w:r>
        <w:rPr>
          <w:sz w:val="20"/>
        </w:rPr>
        <w:t>IV</w:t>
      </w:r>
      <w:r w:rsidRPr="00CE2034">
        <w:rPr>
          <w:sz w:val="20"/>
          <w:lang w:val="ru-RU"/>
        </w:rPr>
        <w:t xml:space="preserve"> желудочек.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Исследование слуха проводилось до операции и 1-2 недели после операции в каждом случае; у 44% пациентов тесты проводились в ЛОР-клинике </w:t>
      </w:r>
      <w:r>
        <w:t>Medizinishe</w:t>
      </w:r>
      <w:r w:rsidRPr="00CE2034">
        <w:rPr>
          <w:lang w:val="ru-RU"/>
        </w:rPr>
        <w:t xml:space="preserve"> </w:t>
      </w:r>
      <w:r>
        <w:t>Hochschule</w:t>
      </w:r>
      <w:r w:rsidRPr="00CE2034">
        <w:rPr>
          <w:lang w:val="ru-RU"/>
        </w:rPr>
        <w:t xml:space="preserve"> </w:t>
      </w:r>
      <w:r>
        <w:t>Hannover</w:t>
      </w:r>
      <w:r w:rsidRPr="00CE2034">
        <w:rPr>
          <w:lang w:val="ru-RU"/>
        </w:rPr>
        <w:t xml:space="preserve">, у 40% в ЛОР – отд. </w:t>
      </w:r>
      <w:r>
        <w:t>Nordstadtkrankenhaus</w:t>
      </w:r>
      <w:r w:rsidRPr="00CE2034">
        <w:rPr>
          <w:lang w:val="ru-RU"/>
        </w:rPr>
        <w:t xml:space="preserve">, </w:t>
      </w:r>
      <w:r>
        <w:t>Klinikum</w:t>
      </w:r>
      <w:r w:rsidRPr="00CE2034">
        <w:rPr>
          <w:lang w:val="ru-RU"/>
        </w:rPr>
        <w:t xml:space="preserve"> </w:t>
      </w:r>
      <w:r>
        <w:t>Hannover</w:t>
      </w:r>
      <w:r w:rsidRPr="00CE2034">
        <w:rPr>
          <w:lang w:val="ru-RU"/>
        </w:rPr>
        <w:t>, и у 16% в других больницах. Тесты состояли из чистых тоновых аудиограмм во всех случаях и шепотной речи у 76% пациентов.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Все данные, такие как симптомы пациентов, развитие симптомов, длительность каждого симптома, спецификация стабильности симптома, неврологические признаки, и распространённость опухоли, были собраны вместе. Корреляции между субъективными симптомами, неврологическими признаками, и размером, распространённостью опухоли были анализированы.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Результаты.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Анализ распространённости опухолей показал, что 3% опухолей относились к классу Т1; 17%-к классу Т2; 44%-к классу Т4. 51% опухолей были локализованы справа и 49% - слева. Длина и ширина опухолей были значительно различны среди классов распространённости опухолей от Т1 до Т4, со средним значением длины и ширины 11 </w:t>
      </w:r>
      <w:r>
        <w:t>x</w:t>
      </w:r>
      <w:r w:rsidRPr="00CE2034">
        <w:rPr>
          <w:lang w:val="ru-RU"/>
        </w:rPr>
        <w:t xml:space="preserve"> 8 </w:t>
      </w:r>
      <w:r>
        <w:t>mm</w:t>
      </w:r>
      <w:r w:rsidRPr="00CE2034">
        <w:rPr>
          <w:lang w:val="ru-RU"/>
        </w:rPr>
        <w:t xml:space="preserve"> при опухолях интраканаликулярной распространённости (класс Т1); 21 </w:t>
      </w:r>
      <w:r>
        <w:t>x</w:t>
      </w:r>
      <w:r w:rsidRPr="00CE2034">
        <w:rPr>
          <w:lang w:val="ru-RU"/>
        </w:rPr>
        <w:t xml:space="preserve"> 15 </w:t>
      </w:r>
      <w:r>
        <w:t>mm</w:t>
      </w:r>
      <w:r w:rsidRPr="00CE2034">
        <w:rPr>
          <w:lang w:val="ru-RU"/>
        </w:rPr>
        <w:t xml:space="preserve"> при опухолях интра-экстраканаликулярной распространённости (классТ2); 31 </w:t>
      </w:r>
      <w:r>
        <w:t>x</w:t>
      </w:r>
      <w:r w:rsidRPr="00CE2034">
        <w:rPr>
          <w:lang w:val="ru-RU"/>
        </w:rPr>
        <w:t xml:space="preserve"> 23 </w:t>
      </w:r>
      <w:r>
        <w:t>mm</w:t>
      </w:r>
      <w:r w:rsidRPr="00CE2034">
        <w:rPr>
          <w:lang w:val="ru-RU"/>
        </w:rPr>
        <w:t xml:space="preserve"> при заполняющих цистерну опухолях (класс Т3); и 45 </w:t>
      </w:r>
      <w:r>
        <w:t>x</w:t>
      </w:r>
      <w:r w:rsidRPr="00CE2034">
        <w:rPr>
          <w:lang w:val="ru-RU"/>
        </w:rPr>
        <w:t xml:space="preserve"> 38 </w:t>
      </w:r>
      <w:r>
        <w:t>mm</w:t>
      </w:r>
      <w:r w:rsidRPr="00CE2034">
        <w:rPr>
          <w:lang w:val="ru-RU"/>
        </w:rPr>
        <w:t xml:space="preserve"> при сдавливающих ствол мозга опухолях (класс Т4). Возраст больных колебался от 11,1 до 87,6 лет. Средний возраст составил 46,3 лет. Возрастное распределение показало обратную линейную корреляцию для распространённости и размеров опухоли. Пациенты с большими опухолями были симптоматичны в 44,4 лет, тогда как пациенты с интрамеатальными опухолями были в возрасте 48,9 лет к моменту операции. Средний возраст больных женского пола был выше, чем у мужчин ( 47,6 против 45,2 лет ), хотя это не было статистически значимым. У 7 пациентов была уже проведена операция в других клиниках. 4 пациента были уже подвергнуты биопсии, без неврологических изменений и переведены к нам, 3 больных были оперированы с субтотальным удалением опухоли от 1 месяца до 3-х лет до этого времени. 11 больных потеряли функцию лицевого нерва.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Влияние размеров и распространённости на симптоматику.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Симптомы при маленьких и больших опухолях оказались значительно различными. (</w:t>
      </w:r>
      <w:r>
        <w:t>Wilcoxon</w:t>
      </w:r>
      <w:r w:rsidRPr="00CE2034">
        <w:rPr>
          <w:lang w:val="ru-RU"/>
        </w:rPr>
        <w:t xml:space="preserve"> </w:t>
      </w:r>
      <w:r>
        <w:t>test</w:t>
      </w:r>
      <w:r w:rsidRPr="00CE2034">
        <w:rPr>
          <w:lang w:val="ru-RU"/>
        </w:rPr>
        <w:t xml:space="preserve">, </w:t>
      </w:r>
      <w:r>
        <w:t>P</w:t>
      </w:r>
      <w:r w:rsidRPr="00CE2034">
        <w:rPr>
          <w:lang w:val="ru-RU"/>
        </w:rPr>
        <w:t xml:space="preserve"> &lt; 0.01). При маленьких опухолях, средний возраст больных был значительно выше, длительность тригеминальной гипостезии была короче, длительность субъективной глухоты была короче, длительность головокружения была меньше (</w:t>
      </w:r>
      <w:r>
        <w:t>P</w:t>
      </w:r>
      <w:r w:rsidRPr="00CE2034">
        <w:rPr>
          <w:lang w:val="ru-RU"/>
        </w:rPr>
        <w:t xml:space="preserve"> &lt; 0,05), длительность тиннитуса была дольше, и субъективная длительность снижения слуха была одинаковой при маленьких и больших опухолях. Симптомы развивались в зависимости от распространённости опухоли. Возникновение всех симптомов было положительно коррелировано с уровнем распространённости опухоли. Однако, длительность гипоакузии не показала какой-либо линейной корреляци с уровнем опухолевой распространённости. Только длительность тиннитуса показала обратную корреляцию, с меньшей продолжительностью симптомов при больших опухолях.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Сравнение симптомов в зависимости от дооперационной функции слуха.  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Большинство клинических параметров показали специфическую корреляцию с функцией слуха и статистически важные различия у пациентов с дооперационной глухотой или снижением слуха, т.е. средний возраст был выше, длительность и встречаемость симтомов были выше, чем у глухих. Средний возраст был ниже у пациентов с хорошим дооперационным слухом и увеличился с дооперационным ухудшением слуха; средний возраст 45,7 лет был выявлен у слышащих и 49,5 лет у глухих пациентов (Р &lt; 0,01). Средние размеры (длина и ширина) опухоли были больше также у слышащих больных (31,3/24,2 </w:t>
      </w:r>
      <w:r>
        <w:t>mm</w:t>
      </w:r>
      <w:r w:rsidRPr="00CE2034">
        <w:rPr>
          <w:lang w:val="ru-RU"/>
        </w:rPr>
        <w:t xml:space="preserve">), но значительно большие опухоли встречались у глухих пациентов (Р &lt; 0,01).У больных с дооперационной глухотой более чаще были обнаружены нарушения баланса; патологические вестибулярные тесты, головные боли, и вовлечение </w:t>
      </w:r>
      <w:r>
        <w:t>n</w:t>
      </w:r>
      <w:r w:rsidRPr="00CE2034">
        <w:rPr>
          <w:lang w:val="ru-RU"/>
        </w:rPr>
        <w:t xml:space="preserve">. </w:t>
      </w:r>
      <w:r>
        <w:t>trigeminus</w:t>
      </w:r>
      <w:r w:rsidRPr="00CE2034">
        <w:rPr>
          <w:lang w:val="ru-RU"/>
        </w:rPr>
        <w:t>; продолжительность слухового симптома была больше.Только исключением были: длительность головных болей или гипоэстезия оказались короче у дооперационно-глухих пациентов, т.е. если глухота и/или вестибулярные симптомы встречались чаще и в течении длительного периода, то симптомы как головные боли и тригеминальная гипоэстезия вызывались более относительно и были терпимы в более короткие периоды.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Эти эпидемиологические характеристики выявили два момента. Определённые параметры проявляли себя согласно ожиданиям клиницистов. Например, пожилой возраст пациентов, плохие функции слуха и лицевого нерва до операции. Большие размеры опухоли, плохие функции слухового, лицевого и тройничного нервов и чаще встречаемость нарушенных функций. Однако, вопреки ожиданиям, средняя длительность гипоакузии была одинаковой при всех размерах опухолей и их распространенностях, средняя длительность гипоэстезии также была одинаковой при всех размерах и распространённостях опухолей (классы Т2, Т3 и Т4), средняя длительность тиннитуса была дольше, чем размеры опухоли и распространённость уменьшалась в размерах. 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Дополнительно, обратная корреляция была обнаружена в возрасте больных и распространённостью опухоли у молодых пациентов. В заключении, если возраст коррелируется с нарушением слуха, но обратно коррелировал с размерами опухоли, много больших опухолей должно быть найдено у молодых пациентов с хорошим слухом.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Жалобы больных были оценены у 105 из 120 пациентов; частичные данные встречаемости симптомов были в наличии у 15 пациентов, но ненадёжность памяти больных или предыдущая операция где-нибудь (у 22 пациентов) привели к исключению некоторых данных. Некоторые общие жалобы больных и неспецифические симптомы не привели явно к диагностике. Головные боли, более часто в затылочной области, отмечались у 12,2% пациентов; головные боли были описаны как совсем различные, чем раньше и давали повод для обращения к врачу. Тошнота, рвота, нарушение зрения и глотания, встречались с частотой 1-3%.</w:t>
      </w:r>
    </w:p>
    <w:p w:rsidR="00CE2034" w:rsidRPr="00CE2034" w:rsidRDefault="00CE2034">
      <w:pPr>
        <w:jc w:val="both"/>
        <w:rPr>
          <w:i/>
          <w:lang w:val="ru-RU"/>
        </w:rPr>
      </w:pPr>
      <w:r w:rsidRPr="00CE2034">
        <w:rPr>
          <w:i/>
          <w:lang w:val="ru-RU"/>
        </w:rPr>
        <w:t>Заключение.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 xml:space="preserve">    Большинство вестибулярных шванном диагностируются и подвергаются операции в среднем после 3,7 лет гипоакузии (3,6 лет у слышащих больных и 5,1 лет у глухих); встречаемость 95%. У пациентов с хорошим дооперационным слухом возраст меньше и увеличивается с дооперационным ухудшением слуха; средний возраст 45,7 лет у больных, кто слышал до операции и 49,5 лет у глухих. 16% пациентов испытывают некоторые эпизоды острого нарушения слуха, ведущего к постоянной глухоте у 1/5 из них.</w:t>
      </w:r>
    </w:p>
    <w:p w:rsidR="00CE2034" w:rsidRPr="00CE2034" w:rsidRDefault="00CE2034">
      <w:pPr>
        <w:jc w:val="both"/>
        <w:rPr>
          <w:lang w:val="ru-RU"/>
        </w:rPr>
      </w:pPr>
    </w:p>
    <w:p w:rsidR="00CE2034" w:rsidRPr="00CE2034" w:rsidRDefault="00CE2034">
      <w:pPr>
        <w:jc w:val="both"/>
        <w:rPr>
          <w:b/>
          <w:i/>
          <w:lang w:val="ru-RU"/>
        </w:rPr>
      </w:pPr>
      <w:r w:rsidRPr="00CE2034">
        <w:rPr>
          <w:lang w:val="ru-RU"/>
        </w:rPr>
        <w:t xml:space="preserve">                                       </w:t>
      </w:r>
      <w:r w:rsidRPr="00CE2034">
        <w:rPr>
          <w:b/>
          <w:i/>
          <w:lang w:val="ru-RU"/>
        </w:rPr>
        <w:t>Литература: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>1.</w:t>
      </w:r>
      <w:r w:rsidRPr="00CE2034">
        <w:rPr>
          <w:rStyle w:val="Max"/>
          <w:b w:val="0"/>
          <w:lang w:val="ru-RU"/>
        </w:rPr>
        <w:t xml:space="preserve"> Махмудов У. Б., Шиманский В. Н., Таняшин С. В., Му</w:t>
      </w:r>
      <w:r>
        <w:rPr>
          <w:rStyle w:val="Max"/>
          <w:b w:val="0"/>
        </w:rPr>
        <w:t>p</w:t>
      </w:r>
      <w:r w:rsidRPr="00CE2034">
        <w:rPr>
          <w:rStyle w:val="Max"/>
          <w:b w:val="0"/>
          <w:lang w:val="ru-RU"/>
        </w:rPr>
        <w:t>усидзе Н. А.</w:t>
      </w:r>
      <w:r w:rsidRPr="00CE2034">
        <w:rPr>
          <w:lang w:val="ru-RU"/>
        </w:rPr>
        <w:t xml:space="preserve"> </w:t>
      </w:r>
      <w:r>
        <w:t>P</w:t>
      </w:r>
      <w:r w:rsidRPr="00CE2034">
        <w:rPr>
          <w:lang w:val="ru-RU"/>
        </w:rPr>
        <w:t>ет</w:t>
      </w:r>
      <w:r>
        <w:t>p</w:t>
      </w:r>
      <w:r w:rsidRPr="00CE2034">
        <w:rPr>
          <w:lang w:val="ru-RU"/>
        </w:rPr>
        <w:t>осигмовидный субокципитальный доступ. ЖУ</w:t>
      </w:r>
      <w:r>
        <w:t>P</w:t>
      </w:r>
      <w:r w:rsidRPr="00CE2034">
        <w:rPr>
          <w:lang w:val="ru-RU"/>
        </w:rPr>
        <w:t>НАЛ "ВОПРОСЫ НЕЙРОХИРУРГИИ" им. Н.Н. БУРДЕНКО.-2001.-</w:t>
      </w:r>
      <w:r>
        <w:t>N</w:t>
      </w:r>
      <w:r w:rsidRPr="00CE2034">
        <w:rPr>
          <w:lang w:val="ru-RU"/>
        </w:rPr>
        <w:t>3.-</w:t>
      </w:r>
      <w:r>
        <w:t>C</w:t>
      </w:r>
      <w:r w:rsidRPr="00CE2034">
        <w:rPr>
          <w:lang w:val="ru-RU"/>
        </w:rPr>
        <w:t>.25.</w:t>
      </w:r>
    </w:p>
    <w:p w:rsidR="00CE2034" w:rsidRPr="00CE2034" w:rsidRDefault="00CE2034">
      <w:pPr>
        <w:jc w:val="both"/>
        <w:rPr>
          <w:lang w:val="ru-RU"/>
        </w:rPr>
      </w:pPr>
      <w:r w:rsidRPr="00CE2034">
        <w:rPr>
          <w:lang w:val="ru-RU"/>
        </w:rPr>
        <w:t>2. Гусев Е.И., Бурд Г.С., Никифоров А.С. Неврологические симптомы, синдромы, симптомокомплексы и болезни.</w:t>
      </w:r>
      <w:r>
        <w:t>M</w:t>
      </w:r>
      <w:r w:rsidRPr="00CE2034">
        <w:rPr>
          <w:lang w:val="ru-RU"/>
        </w:rPr>
        <w:t>.: Медицина,1999.-880 с.</w:t>
      </w:r>
    </w:p>
    <w:p w:rsidR="00CE2034" w:rsidRDefault="00CE2034">
      <w:pPr>
        <w:jc w:val="both"/>
      </w:pPr>
      <w:r w:rsidRPr="00CE2034">
        <w:rPr>
          <w:lang w:val="ru-RU"/>
        </w:rPr>
        <w:t>3</w:t>
      </w:r>
      <w:r w:rsidRPr="00CE2034">
        <w:rPr>
          <w:b/>
          <w:i/>
          <w:lang w:val="ru-RU"/>
        </w:rPr>
        <w:t>.</w:t>
      </w:r>
      <w:r w:rsidRPr="00CE2034">
        <w:rPr>
          <w:lang w:val="ru-RU"/>
        </w:rPr>
        <w:t xml:space="preserve"> Кемпбелл Д., Спенс А.А. АНЕСТЕЗИЯ, РЕАНИМАЦИЯ И ИНТЕНСИВНАЯ ТЕРАПИЯ: Пер с англ.- </w:t>
      </w:r>
      <w:r>
        <w:t>М.: Медицина, 2000.- 264 с.: ил.</w:t>
      </w:r>
    </w:p>
    <w:p w:rsidR="00CE2034" w:rsidRPr="00CE2034" w:rsidRDefault="00CE2034">
      <w:pPr>
        <w:jc w:val="both"/>
      </w:pPr>
      <w:r>
        <w:t>4.</w:t>
      </w:r>
      <w:r w:rsidRPr="00CE2034">
        <w:t xml:space="preserve"> Schulz-Stuebner S, Schmutzler-Baas A. Neurochirurgische Intensivmedizin. Schattauer Stuttgart New York,2001.- 417pp.</w:t>
      </w:r>
    </w:p>
    <w:p w:rsidR="00CE2034" w:rsidRDefault="00CE2034">
      <w:pPr>
        <w:jc w:val="both"/>
        <w:rPr>
          <w:lang w:val="en-GB"/>
        </w:rPr>
      </w:pPr>
      <w:r>
        <w:t>5</w:t>
      </w:r>
      <w:r>
        <w:rPr>
          <w:b/>
          <w:i/>
        </w:rPr>
        <w:t>.</w:t>
      </w:r>
      <w:r w:rsidRPr="00CE2034">
        <w:t xml:space="preserve"> Graamans K, Van Dijk JE, Janssen LW. </w:t>
      </w:r>
      <w:r>
        <w:rPr>
          <w:lang w:val="en-GB"/>
        </w:rPr>
        <w:t>Hearing deterioration in patients with a non-growing vestibular schwannoma. Acta Otolaryngol 2003; 123: 51-4.</w:t>
      </w:r>
    </w:p>
    <w:p w:rsidR="00CE2034" w:rsidRPr="00CE2034" w:rsidRDefault="00CE2034">
      <w:pPr>
        <w:jc w:val="both"/>
        <w:rPr>
          <w:lang w:val="en-GB"/>
        </w:rPr>
      </w:pPr>
      <w:r w:rsidRPr="00CE2034">
        <w:rPr>
          <w:lang w:val="en-GB"/>
        </w:rPr>
        <w:t>6</w:t>
      </w:r>
      <w:r w:rsidRPr="00CE2034">
        <w:rPr>
          <w:b/>
          <w:i/>
          <w:lang w:val="en-GB"/>
        </w:rPr>
        <w:t>.</w:t>
      </w:r>
      <w:r w:rsidRPr="00CE2034">
        <w:rPr>
          <w:lang w:val="en-GB"/>
        </w:rPr>
        <w:t xml:space="preserve"> Samii M, Matthies C</w:t>
      </w:r>
      <w:bookmarkStart w:id="0" w:name="_Hlt34121992"/>
      <w:r w:rsidRPr="00CE2034">
        <w:rPr>
          <w:lang w:val="en-GB"/>
        </w:rPr>
        <w:t xml:space="preserve">: </w:t>
      </w:r>
      <w:r w:rsidRPr="00FA6CAF">
        <w:rPr>
          <w:rStyle w:val="Max"/>
          <w:b w:val="0"/>
          <w:lang w:val="en-GB"/>
        </w:rPr>
        <w:t>Acoustic Neurinomas Associated with Vascular Compression Syndromes</w:t>
      </w:r>
      <w:bookmarkEnd w:id="0"/>
      <w:r w:rsidRPr="00CE2034">
        <w:rPr>
          <w:rStyle w:val="Max"/>
          <w:lang w:val="en-GB"/>
        </w:rPr>
        <w:t xml:space="preserve">. </w:t>
      </w:r>
      <w:r w:rsidRPr="00CE2034">
        <w:rPr>
          <w:lang w:val="en-GB"/>
        </w:rPr>
        <w:t xml:space="preserve">Acta Neurochir (Wien) </w:t>
      </w:r>
      <w:r w:rsidRPr="00CE2034">
        <w:rPr>
          <w:b/>
          <w:lang w:val="en-GB"/>
        </w:rPr>
        <w:t>135</w:t>
      </w:r>
      <w:r w:rsidRPr="00CE2034">
        <w:rPr>
          <w:lang w:val="en-GB"/>
        </w:rPr>
        <w:t xml:space="preserve"> (1995) 3-4, 148-154.</w:t>
      </w:r>
    </w:p>
    <w:p w:rsidR="00CE2034" w:rsidRPr="00CE2034" w:rsidRDefault="00CE2034">
      <w:pPr>
        <w:rPr>
          <w:color w:val="000080"/>
          <w:lang w:val="en-GB"/>
        </w:rPr>
      </w:pPr>
      <w:r w:rsidRPr="00CE2034">
        <w:rPr>
          <w:lang w:val="en-GB"/>
        </w:rPr>
        <w:t>7</w:t>
      </w:r>
      <w:r w:rsidRPr="00CE2034">
        <w:rPr>
          <w:b/>
          <w:i/>
          <w:lang w:val="en-GB"/>
        </w:rPr>
        <w:t>.</w:t>
      </w:r>
      <w:r w:rsidRPr="00CE2034">
        <w:rPr>
          <w:color w:val="000080"/>
          <w:lang w:val="en-GB"/>
        </w:rPr>
        <w:t xml:space="preserve"> Charabi S, Tos M, Thomsen J, et al (Gentofte Univ, Hellerup, Denmark). Vestibular Schwannoma  Growth: The Continuing Controversy</w:t>
      </w:r>
      <w:r w:rsidRPr="00CE2034">
        <w:rPr>
          <w:b/>
          <w:color w:val="000080"/>
          <w:lang w:val="en-GB"/>
        </w:rPr>
        <w:t xml:space="preserve">. </w:t>
      </w:r>
      <w:r w:rsidRPr="00CE2034">
        <w:rPr>
          <w:color w:val="000080"/>
          <w:lang w:val="en-GB"/>
        </w:rPr>
        <w:t xml:space="preserve">Laryngoscope 2000;110: 1720-1725. </w:t>
      </w:r>
    </w:p>
    <w:p w:rsidR="00CE2034" w:rsidRDefault="00CE2034">
      <w:pPr>
        <w:jc w:val="both"/>
        <w:rPr>
          <w:lang w:val="en-GB"/>
        </w:rPr>
      </w:pPr>
      <w:r w:rsidRPr="00CE2034">
        <w:rPr>
          <w:lang w:val="en-GB"/>
        </w:rPr>
        <w:t>8.</w:t>
      </w:r>
      <w:r>
        <w:rPr>
          <w:lang w:val="en-GB"/>
        </w:rPr>
        <w:t>Karpinos M, Teh BS, Zeck O. Treatment of acoustic neuroma: stereotactic surgery vs. microsurgery. Int J Radiat Oncol Biol Phys 2002; 54(5): 1410-21.</w:t>
      </w:r>
    </w:p>
    <w:p w:rsidR="00CE2034" w:rsidRDefault="00CE2034">
      <w:pPr>
        <w:jc w:val="both"/>
        <w:rPr>
          <w:lang w:val="en-GB"/>
        </w:rPr>
      </w:pPr>
      <w:r>
        <w:rPr>
          <w:lang w:val="en-GB"/>
        </w:rPr>
        <w:t>9.Yamakami I, Uchino Y, Kobayashi E. Prognostic significance of changes in the internal acoustic meatus caused by vestibular schwannoma. Neurol Med Chir (Tokyo): 2002; 42(11): 465-70.</w:t>
      </w:r>
    </w:p>
    <w:p w:rsidR="00CE2034" w:rsidRDefault="00CE2034">
      <w:pPr>
        <w:pStyle w:val="20"/>
        <w:rPr>
          <w:sz w:val="20"/>
          <w:lang w:val="en-GB"/>
        </w:rPr>
      </w:pPr>
      <w:r>
        <w:rPr>
          <w:sz w:val="20"/>
          <w:lang w:val="en-GB"/>
        </w:rPr>
        <w:t>10.Roland PS, Eston D. Stereotactic radiosurgery of acoustic tumors. Otolaryngol Clin North Am 2002; 35(2): 343-55.</w:t>
      </w:r>
    </w:p>
    <w:p w:rsidR="00CE2034" w:rsidRDefault="00CE2034">
      <w:pPr>
        <w:jc w:val="both"/>
        <w:rPr>
          <w:lang w:val="en-GB"/>
        </w:rPr>
      </w:pPr>
      <w:r>
        <w:rPr>
          <w:lang w:val="en-GB"/>
        </w:rPr>
        <w:t>11.Moller P, Myrseth E, Pedersen PH. Treatment of acoustic neuroma. Tidsskr Nor Laegeforen 2002; 122(15): 1467-70.</w:t>
      </w:r>
    </w:p>
    <w:p w:rsidR="00CE2034" w:rsidRDefault="00CE2034">
      <w:pPr>
        <w:jc w:val="both"/>
        <w:rPr>
          <w:lang w:val="en-GB"/>
        </w:rPr>
      </w:pPr>
      <w:r>
        <w:rPr>
          <w:lang w:val="en-GB"/>
        </w:rPr>
        <w:t>12.Lassaletta L, Fontes L, Melcon E. Is hearing preservation feasible with the retrosigmoid approach? Acta Otorrhinolaringol Esp 2002; 53(4): 247-51.</w:t>
      </w:r>
    </w:p>
    <w:p w:rsidR="00CE2034" w:rsidRDefault="00CE2034">
      <w:pPr>
        <w:jc w:val="both"/>
        <w:rPr>
          <w:lang w:val="en-GB"/>
        </w:rPr>
      </w:pPr>
      <w:r>
        <w:rPr>
          <w:lang w:val="en-GB"/>
        </w:rPr>
        <w:t>13.Biggs ND, Ramsden RT. Gaze-evoked tinnitus following acoustic neuroma resection: a deafferentation platsticity phenomenon? Clin Otolaryngol 2002; 27(5): 338-43.</w:t>
      </w:r>
    </w:p>
    <w:p w:rsidR="00CE2034" w:rsidRDefault="00CE2034">
      <w:pPr>
        <w:jc w:val="both"/>
        <w:rPr>
          <w:lang w:val="en-GB"/>
        </w:rPr>
      </w:pPr>
      <w:r>
        <w:rPr>
          <w:lang w:val="en-GB"/>
        </w:rPr>
        <w:t>14.Darrouzet V, Hilton M, Pinder D. Prognostic value of the blink reflex in acoustic neuroma surgery. Otolaryngol Head Neck Surg 2002; 127(3): 153-7.</w:t>
      </w:r>
    </w:p>
    <w:p w:rsidR="00CE2034" w:rsidRDefault="00CE2034">
      <w:pPr>
        <w:jc w:val="both"/>
        <w:rPr>
          <w:lang w:val="en-GB"/>
        </w:rPr>
      </w:pPr>
      <w:r>
        <w:rPr>
          <w:lang w:val="en-GB"/>
        </w:rPr>
        <w:t>15.Maurer J, Frommeld T, Mann W. Vestibular function after acoustic neuroma removal with preservation of one branch of the vestibular nerve. Otol Neurotol 2002; 23(5): 749-54.</w:t>
      </w:r>
    </w:p>
    <w:p w:rsidR="00CE2034" w:rsidRDefault="00CE2034">
      <w:pPr>
        <w:jc w:val="both"/>
        <w:rPr>
          <w:b/>
          <w:i/>
        </w:rPr>
      </w:pPr>
    </w:p>
    <w:p w:rsidR="00CE2034" w:rsidRDefault="00CE2034">
      <w:pPr>
        <w:jc w:val="both"/>
        <w:rPr>
          <w:b/>
          <w:i/>
        </w:rPr>
      </w:pPr>
    </w:p>
    <w:p w:rsidR="00CE2034" w:rsidRDefault="00CE2034">
      <w:pPr>
        <w:jc w:val="both"/>
      </w:pPr>
    </w:p>
    <w:p w:rsidR="00CE2034" w:rsidRDefault="00CE2034">
      <w:pPr>
        <w:jc w:val="both"/>
      </w:pPr>
    </w:p>
    <w:p w:rsidR="00CE2034" w:rsidRDefault="00CE2034">
      <w:pPr>
        <w:jc w:val="both"/>
      </w:pPr>
    </w:p>
    <w:p w:rsidR="00CE2034" w:rsidRDefault="00CE2034">
      <w:pPr>
        <w:jc w:val="both"/>
      </w:pPr>
    </w:p>
    <w:p w:rsidR="00CE2034" w:rsidRDefault="00CE2034">
      <w:pPr>
        <w:jc w:val="both"/>
      </w:pPr>
    </w:p>
    <w:p w:rsidR="00CE2034" w:rsidRDefault="00CE2034">
      <w:pPr>
        <w:jc w:val="both"/>
      </w:pPr>
      <w:r>
        <w:t xml:space="preserve"> </w:t>
      </w:r>
    </w:p>
    <w:p w:rsidR="00CE2034" w:rsidRDefault="00CE2034"/>
    <w:p w:rsidR="00CE2034" w:rsidRDefault="00CE2034">
      <w:bookmarkStart w:id="1" w:name="_GoBack"/>
      <w:bookmarkEnd w:id="1"/>
    </w:p>
    <w:sectPr w:rsidR="00CE2034">
      <w:headerReference w:type="even" r:id="rId7"/>
      <w:headerReference w:type="default" r:id="rId8"/>
      <w:pgSz w:w="11906" w:h="16838"/>
      <w:pgMar w:top="1134" w:right="1134" w:bottom="1134" w:left="1134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22" w:rsidRDefault="00D43522">
      <w:r>
        <w:separator/>
      </w:r>
    </w:p>
  </w:endnote>
  <w:endnote w:type="continuationSeparator" w:id="0">
    <w:p w:rsidR="00D43522" w:rsidRDefault="00D4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22" w:rsidRDefault="00D43522">
      <w:r>
        <w:separator/>
      </w:r>
    </w:p>
  </w:footnote>
  <w:footnote w:type="continuationSeparator" w:id="0">
    <w:p w:rsidR="00D43522" w:rsidRDefault="00D43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34" w:rsidRDefault="00CE2034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CE2034" w:rsidRDefault="00CE2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34" w:rsidRDefault="00FA6CAF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CE2034" w:rsidRDefault="00CE20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0"/>
    <w:name w:val="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06C"/>
    <w:rsid w:val="000827D9"/>
    <w:rsid w:val="0018480D"/>
    <w:rsid w:val="004B406C"/>
    <w:rsid w:val="00CE2034"/>
    <w:rsid w:val="00D43522"/>
    <w:rsid w:val="00FA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F2807-8C15-40FB-AF1E-A0F90572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de-DE" w:eastAsia="de-DE"/>
    </w:rPr>
  </w:style>
  <w:style w:type="paragraph" w:styleId="1">
    <w:name w:val="heading 1"/>
    <w:basedOn w:val="a"/>
    <w:next w:val="a"/>
    <w:qFormat/>
    <w:pPr>
      <w:keepNext/>
      <w:spacing w:line="480" w:lineRule="auto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  <w:rPr>
      <w:sz w:val="24"/>
    </w:rPr>
  </w:style>
  <w:style w:type="paragraph" w:styleId="a3">
    <w:name w:val="Body Text"/>
    <w:basedOn w:val="a"/>
    <w:rPr>
      <w:sz w:val="24"/>
    </w:rPr>
  </w:style>
  <w:style w:type="character" w:customStyle="1" w:styleId="Max">
    <w:name w:val="Max."/>
    <w:rPr>
      <w:b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2003</Words>
  <Characters>11419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Лечение вестибулярных шванном: Общие параметры</vt:lpstr>
      <vt:lpstr>Лечение вестибулярных шванном: Общие параметры</vt:lpstr>
    </vt:vector>
  </TitlesOfParts>
  <Company>Medizinische Hochschule Hannover</Company>
  <LinksUpToDate>false</LinksUpToDate>
  <CharactersWithSpaces>13396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Лечение вестибулярных шванном: Общие параметры</dc:title>
  <dc:subject/>
  <dc:creator>user</dc:creator>
  <cp:keywords/>
  <cp:lastModifiedBy>admin</cp:lastModifiedBy>
  <cp:revision>2</cp:revision>
  <dcterms:created xsi:type="dcterms:W3CDTF">2014-02-07T09:22:00Z</dcterms:created>
  <dcterms:modified xsi:type="dcterms:W3CDTF">2014-02-07T09:22:00Z</dcterms:modified>
</cp:coreProperties>
</file>