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148" w:rsidRDefault="00FE2148" w:rsidP="00086672">
      <w:pPr>
        <w:pStyle w:val="a4"/>
        <w:spacing w:line="240" w:lineRule="exact"/>
        <w:ind w:right="0"/>
        <w:jc w:val="center"/>
      </w:pPr>
    </w:p>
    <w:p w:rsidR="00086672" w:rsidRDefault="00086672" w:rsidP="00086672">
      <w:pPr>
        <w:pStyle w:val="a4"/>
        <w:spacing w:line="240" w:lineRule="exact"/>
        <w:ind w:right="0"/>
        <w:jc w:val="center"/>
      </w:pPr>
      <w:r>
        <w:t>. Построение прогнозов развития системы образования</w:t>
      </w:r>
    </w:p>
    <w:p w:rsidR="00086672" w:rsidRDefault="00086672" w:rsidP="00086672">
      <w:pPr>
        <w:pStyle w:val="a4"/>
        <w:spacing w:line="240" w:lineRule="exact"/>
        <w:ind w:right="0"/>
        <w:jc w:val="center"/>
      </w:pPr>
      <w:r>
        <w:t>в Российской Федерации</w:t>
      </w:r>
    </w:p>
    <w:p w:rsidR="00086672" w:rsidRDefault="00086672" w:rsidP="00086672">
      <w:pPr>
        <w:pStyle w:val="a4"/>
        <w:spacing w:line="240" w:lineRule="auto"/>
        <w:ind w:firstLine="284"/>
      </w:pPr>
    </w:p>
    <w:p w:rsidR="00086672" w:rsidRDefault="00086672" w:rsidP="00086672">
      <w:pPr>
        <w:ind w:firstLine="284"/>
        <w:jc w:val="both"/>
        <w:rPr>
          <w:sz w:val="22"/>
        </w:rPr>
      </w:pPr>
      <w:r>
        <w:rPr>
          <w:sz w:val="22"/>
        </w:rPr>
        <w:t>В экономической системе любой страны можно выделить комплекс отраслей, назначение которых удовлетворение духовных и социальных потребностей населения. В Российской Федерации в состав отраслей социальной сферы включены: образование, культура и искусство, здравоохранение, туризм и отдых, физкультура и спорт, жилищно-коммунальное хозяйство.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 xml:space="preserve">Все эти отрасли являются объектом государственного регулирования и государственного прогнозирования. Особенность процесса прогнозирования отраслей социальной сферы – его </w:t>
      </w:r>
      <w:r>
        <w:rPr>
          <w:i/>
          <w:sz w:val="22"/>
        </w:rPr>
        <w:t>децентрализация</w:t>
      </w:r>
      <w:r>
        <w:rPr>
          <w:sz w:val="22"/>
        </w:rPr>
        <w:t>, поскольку оно осуществляется, в большинстве своем, городскими и районными органами управления. Прогнозирование максимально приближено к населению и должно учитывать его потребности и местные особенности. Государство косвенным образом воздействует на данный процесс посредством минимальных государственных стандартов и предоставления финансирования.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i/>
          <w:sz w:val="22"/>
        </w:rPr>
        <w:t>Цель разработки прогнозов социальной сферы</w:t>
      </w:r>
      <w:r>
        <w:rPr>
          <w:sz w:val="22"/>
        </w:rPr>
        <w:t xml:space="preserve"> - удовлетворение потребности населения в услугах первой необходимости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i/>
          <w:sz w:val="22"/>
        </w:rPr>
        <w:t>Разработка прогнозов системы образования</w:t>
      </w:r>
      <w:r>
        <w:rPr>
          <w:sz w:val="22"/>
        </w:rPr>
        <w:t>.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Прогнозные расчета системы образования осуществляются отдельно по всем структурным элементам системы образования: для дошкольного образования; для общего, начального и среднего образования; для вузовского, послевузовского и дополнительного образования.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i/>
          <w:sz w:val="22"/>
        </w:rPr>
        <w:t>Прогнозирование сети детских дошкольных учреждений</w:t>
      </w:r>
      <w:r>
        <w:rPr>
          <w:sz w:val="22"/>
        </w:rPr>
        <w:t xml:space="preserve"> осуществляется с использованием балансового метода. 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Например, при прогнозировании предложения мест в детских дошкольных учреждениях можно опираться на следующую формулу:</w:t>
      </w:r>
    </w:p>
    <w:p w:rsidR="00086672" w:rsidRDefault="00086672" w:rsidP="00086672">
      <w:pPr>
        <w:spacing w:line="240" w:lineRule="exact"/>
        <w:ind w:firstLine="284"/>
        <w:jc w:val="center"/>
        <w:rPr>
          <w:i/>
          <w:sz w:val="22"/>
        </w:rPr>
      </w:pPr>
      <w:r>
        <w:rPr>
          <w:i/>
          <w:sz w:val="22"/>
        </w:rPr>
        <w:t>ПМпрог</w:t>
      </w:r>
      <w:r>
        <w:rPr>
          <w:i/>
          <w:sz w:val="22"/>
          <w:vertAlign w:val="subscript"/>
        </w:rPr>
        <w:t>.</w:t>
      </w:r>
      <w:r>
        <w:rPr>
          <w:sz w:val="22"/>
        </w:rPr>
        <w:t xml:space="preserve">= </w:t>
      </w:r>
      <w:r>
        <w:rPr>
          <w:i/>
          <w:sz w:val="22"/>
        </w:rPr>
        <w:t>ПМ</w:t>
      </w:r>
      <w:r>
        <w:rPr>
          <w:i/>
          <w:sz w:val="22"/>
          <w:vertAlign w:val="subscript"/>
        </w:rPr>
        <w:t xml:space="preserve"> начало </w:t>
      </w:r>
      <w:r>
        <w:rPr>
          <w:i/>
          <w:sz w:val="22"/>
        </w:rPr>
        <w:t xml:space="preserve">+ ВводМ - ВыбМ, </w:t>
      </w:r>
    </w:p>
    <w:p w:rsidR="00086672" w:rsidRDefault="00086672" w:rsidP="00086672">
      <w:pPr>
        <w:spacing w:line="240" w:lineRule="exact"/>
        <w:ind w:firstLine="284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ПМпрог</w:t>
      </w:r>
      <w:r>
        <w:rPr>
          <w:sz w:val="22"/>
        </w:rPr>
        <w:t xml:space="preserve"> – предложение мест в детских дошкольных учреждениях в прогнозируемый период;</w:t>
      </w:r>
    </w:p>
    <w:p w:rsidR="00086672" w:rsidRDefault="00086672" w:rsidP="00086672">
      <w:pPr>
        <w:spacing w:line="240" w:lineRule="exact"/>
        <w:ind w:firstLine="284"/>
        <w:rPr>
          <w:sz w:val="22"/>
        </w:rPr>
      </w:pPr>
      <w:r>
        <w:rPr>
          <w:i/>
          <w:sz w:val="22"/>
        </w:rPr>
        <w:t>ПМ</w:t>
      </w:r>
      <w:r>
        <w:rPr>
          <w:i/>
          <w:sz w:val="22"/>
          <w:vertAlign w:val="subscript"/>
        </w:rPr>
        <w:t xml:space="preserve"> начало - </w:t>
      </w:r>
      <w:r>
        <w:rPr>
          <w:sz w:val="22"/>
        </w:rPr>
        <w:t>предложение мест в детских дошкольных учреждениях на начало прогнозируемого периода;</w:t>
      </w:r>
    </w:p>
    <w:p w:rsidR="00086672" w:rsidRDefault="00086672" w:rsidP="00086672">
      <w:pPr>
        <w:spacing w:line="240" w:lineRule="exact"/>
        <w:ind w:firstLine="284"/>
        <w:rPr>
          <w:sz w:val="22"/>
        </w:rPr>
      </w:pPr>
      <w:r>
        <w:rPr>
          <w:i/>
          <w:sz w:val="22"/>
        </w:rPr>
        <w:t xml:space="preserve">ВводМ – </w:t>
      </w:r>
      <w:r>
        <w:rPr>
          <w:sz w:val="22"/>
        </w:rPr>
        <w:t xml:space="preserve">ввод новых мест в связи с новым строительством и ремонтом; </w:t>
      </w:r>
    </w:p>
    <w:p w:rsidR="00086672" w:rsidRDefault="00086672" w:rsidP="00086672">
      <w:pPr>
        <w:spacing w:line="240" w:lineRule="exact"/>
        <w:ind w:firstLine="284"/>
        <w:rPr>
          <w:sz w:val="22"/>
        </w:rPr>
      </w:pPr>
      <w:r>
        <w:rPr>
          <w:i/>
          <w:sz w:val="22"/>
        </w:rPr>
        <w:t xml:space="preserve">ВыбМ, - </w:t>
      </w:r>
      <w:r>
        <w:rPr>
          <w:sz w:val="22"/>
        </w:rPr>
        <w:t>выбытие мест по различным причинам.</w:t>
      </w:r>
    </w:p>
    <w:p w:rsidR="00086672" w:rsidRDefault="00086672" w:rsidP="00086672">
      <w:pPr>
        <w:pStyle w:val="a3"/>
        <w:ind w:firstLine="284"/>
      </w:pPr>
      <w:r>
        <w:rPr>
          <w:i/>
        </w:rPr>
        <w:t>Спрос на детские дошкольные учреждения</w:t>
      </w:r>
      <w:r>
        <w:t xml:space="preserve"> рекомендуется рассчитывать по следующей формуле: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i/>
          <w:sz w:val="22"/>
        </w:rPr>
        <w:t xml:space="preserve">      Спрос=Ч</w:t>
      </w:r>
      <w:r>
        <w:rPr>
          <w:i/>
          <w:sz w:val="22"/>
          <w:vertAlign w:val="subscript"/>
        </w:rPr>
        <w:t>общ</w:t>
      </w:r>
      <w:r>
        <w:rPr>
          <w:i/>
          <w:sz w:val="22"/>
        </w:rPr>
        <w:t>.*К</w:t>
      </w:r>
      <w:r>
        <w:rPr>
          <w:i/>
          <w:sz w:val="22"/>
          <w:vertAlign w:val="subscript"/>
        </w:rPr>
        <w:t>обеспеч</w:t>
      </w:r>
      <w:r>
        <w:rPr>
          <w:i/>
          <w:sz w:val="22"/>
        </w:rPr>
        <w:t>*К</w:t>
      </w:r>
      <w:r>
        <w:rPr>
          <w:i/>
          <w:sz w:val="22"/>
          <w:vertAlign w:val="subscript"/>
        </w:rPr>
        <w:t>рж.</w:t>
      </w:r>
      <w:r>
        <w:rPr>
          <w:i/>
          <w:sz w:val="22"/>
        </w:rPr>
        <w:t>*К</w:t>
      </w:r>
      <w:r>
        <w:rPr>
          <w:i/>
          <w:sz w:val="22"/>
          <w:vertAlign w:val="subscript"/>
        </w:rPr>
        <w:t>ур.дох,</w:t>
      </w:r>
      <w:r>
        <w:rPr>
          <w:sz w:val="22"/>
        </w:rPr>
        <w:t xml:space="preserve">, </w:t>
      </w:r>
    </w:p>
    <w:p w:rsidR="00086672" w:rsidRDefault="00086672" w:rsidP="00086672">
      <w:pPr>
        <w:spacing w:line="240" w:lineRule="exact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Ч</w:t>
      </w:r>
      <w:r>
        <w:rPr>
          <w:i/>
          <w:sz w:val="22"/>
          <w:vertAlign w:val="subscript"/>
        </w:rPr>
        <w:t>общ</w:t>
      </w:r>
      <w:r>
        <w:rPr>
          <w:i/>
          <w:sz w:val="22"/>
        </w:rPr>
        <w:t>.</w:t>
      </w:r>
      <w:r>
        <w:rPr>
          <w:sz w:val="22"/>
        </w:rPr>
        <w:t xml:space="preserve"> - общая численность детей дошкольного возраста;  </w:t>
      </w:r>
    </w:p>
    <w:p w:rsidR="00086672" w:rsidRDefault="00086672" w:rsidP="00086672">
      <w:pPr>
        <w:spacing w:line="240" w:lineRule="exact"/>
        <w:ind w:firstLine="284"/>
        <w:rPr>
          <w:sz w:val="22"/>
        </w:rPr>
      </w:pPr>
      <w:r>
        <w:rPr>
          <w:sz w:val="22"/>
        </w:rPr>
        <w:t>К</w:t>
      </w:r>
      <w:r>
        <w:rPr>
          <w:sz w:val="22"/>
          <w:vertAlign w:val="subscript"/>
        </w:rPr>
        <w:t>обеспеч</w:t>
      </w:r>
      <w:r>
        <w:rPr>
          <w:sz w:val="22"/>
        </w:rPr>
        <w:t xml:space="preserve"> - коэффициент обеспеченности детскими дошкольными учреждениями на 100 человек; 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К</w:t>
      </w:r>
      <w:r>
        <w:rPr>
          <w:sz w:val="22"/>
          <w:vertAlign w:val="subscript"/>
        </w:rPr>
        <w:t>рж</w:t>
      </w:r>
      <w:r>
        <w:rPr>
          <w:i/>
          <w:sz w:val="22"/>
          <w:vertAlign w:val="subscript"/>
        </w:rPr>
        <w:t>.</w:t>
      </w:r>
      <w:r>
        <w:rPr>
          <w:sz w:val="22"/>
        </w:rPr>
        <w:t xml:space="preserve"> - поправочный коэффициент, учитывающий при разработке прогноза численность работающих женщин; </w:t>
      </w:r>
    </w:p>
    <w:p w:rsidR="00086672" w:rsidRDefault="00086672" w:rsidP="00086672">
      <w:pPr>
        <w:ind w:firstLine="284"/>
        <w:jc w:val="both"/>
        <w:rPr>
          <w:sz w:val="22"/>
        </w:rPr>
      </w:pPr>
      <w:r>
        <w:rPr>
          <w:i/>
          <w:sz w:val="22"/>
        </w:rPr>
        <w:t>К</w:t>
      </w:r>
      <w:r>
        <w:rPr>
          <w:i/>
          <w:sz w:val="22"/>
          <w:vertAlign w:val="subscript"/>
        </w:rPr>
        <w:t>ур. дох.</w:t>
      </w:r>
      <w:r>
        <w:rPr>
          <w:sz w:val="22"/>
        </w:rPr>
        <w:t xml:space="preserve"> - поправочный коэффициент, учитывающий влияние на спрос на детские дошкольные учреждения уровня доходов населения.</w:t>
      </w:r>
    </w:p>
    <w:p w:rsidR="00086672" w:rsidRDefault="00086672" w:rsidP="00086672">
      <w:pPr>
        <w:pStyle w:val="a3"/>
        <w:spacing w:line="240" w:lineRule="auto"/>
        <w:ind w:firstLine="284"/>
        <w:rPr>
          <w:i/>
        </w:rPr>
      </w:pPr>
      <w:r>
        <w:t>Затраты на содержание детских дошкольных учреждений определяется по установленным государственным нормам и корректируется региональными и муниципальными органами власти с учетом уровня цен, сложившимся в том или ином регионе.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i/>
          <w:sz w:val="22"/>
        </w:rPr>
        <w:t>Прогноз сети общего и среднего образования</w:t>
      </w:r>
      <w:r>
        <w:rPr>
          <w:sz w:val="22"/>
        </w:rPr>
        <w:t>. В РФ прогноз сети общего и среднего образования осуществляется отдельно для городской и сельской местности по следующим основным показателям: число учащихся, количество классов, прием и выпуск учащихся, среднее число учащихся в одном классе, сменность занятий, среднее число школ.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Центральное место в этой системе показателей занимает численность учащихся. Основной расчет числа учащихся является метод передвижки возрастов, на основе которого определяют перспективную численность лиц школьного возраста.</w:t>
      </w:r>
    </w:p>
    <w:p w:rsidR="00086672" w:rsidRDefault="00086672" w:rsidP="00086672">
      <w:pPr>
        <w:ind w:firstLine="284"/>
        <w:jc w:val="both"/>
        <w:rPr>
          <w:sz w:val="22"/>
        </w:rPr>
      </w:pPr>
      <w:r>
        <w:rPr>
          <w:sz w:val="22"/>
        </w:rPr>
        <w:t>Планирование школьной сети начинается с определенного количества необходимых классных комнат:</w:t>
      </w:r>
    </w:p>
    <w:p w:rsidR="00086672" w:rsidRDefault="00086672" w:rsidP="00086672">
      <w:pPr>
        <w:ind w:firstLine="284"/>
        <w:jc w:val="center"/>
        <w:rPr>
          <w:sz w:val="28"/>
        </w:rPr>
      </w:pPr>
      <w:r>
        <w:rPr>
          <w:position w:val="-80"/>
          <w:sz w:val="28"/>
        </w:rPr>
        <w:object w:dxaOrig="336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51.75pt" o:ole="" fillcolor="window">
            <v:imagedata r:id="rId4" o:title=""/>
          </v:shape>
          <o:OLEObject Type="Embed" ProgID="Equation.3" ShapeID="_x0000_i1025" DrawAspect="Content" ObjectID="_1458549584" r:id="rId5"/>
        </w:object>
      </w:r>
      <w:r>
        <w:rPr>
          <w:sz w:val="28"/>
        </w:rPr>
        <w:t xml:space="preserve"> </w:t>
      </w:r>
    </w:p>
    <w:p w:rsidR="00086672" w:rsidRDefault="00086672" w:rsidP="00086672">
      <w:pPr>
        <w:ind w:firstLine="284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Ч</w:t>
      </w:r>
      <w:r>
        <w:rPr>
          <w:i/>
          <w:sz w:val="22"/>
          <w:vertAlign w:val="subscript"/>
        </w:rPr>
        <w:t>у</w:t>
      </w:r>
      <w:r>
        <w:rPr>
          <w:sz w:val="22"/>
        </w:rPr>
        <w:t xml:space="preserve"> - численность учащихся;</w:t>
      </w:r>
    </w:p>
    <w:p w:rsidR="00086672" w:rsidRDefault="00086672" w:rsidP="00086672">
      <w:pPr>
        <w:ind w:firstLine="284"/>
        <w:jc w:val="both"/>
        <w:rPr>
          <w:sz w:val="22"/>
        </w:rPr>
      </w:pPr>
      <w:r>
        <w:rPr>
          <w:i/>
          <w:sz w:val="22"/>
        </w:rPr>
        <w:t>Н</w:t>
      </w:r>
      <w:r>
        <w:rPr>
          <w:i/>
          <w:sz w:val="22"/>
          <w:vertAlign w:val="subscript"/>
        </w:rPr>
        <w:t xml:space="preserve">к </w:t>
      </w:r>
      <w:r>
        <w:rPr>
          <w:sz w:val="22"/>
        </w:rPr>
        <w:t>- наполняемости классных комнат;</w:t>
      </w:r>
    </w:p>
    <w:p w:rsidR="00086672" w:rsidRDefault="00086672" w:rsidP="00086672">
      <w:pPr>
        <w:ind w:firstLine="284"/>
        <w:jc w:val="both"/>
        <w:rPr>
          <w:sz w:val="22"/>
        </w:rPr>
      </w:pPr>
      <w:r>
        <w:rPr>
          <w:i/>
          <w:sz w:val="22"/>
        </w:rPr>
        <w:t>К</w:t>
      </w:r>
      <w:r>
        <w:rPr>
          <w:i/>
          <w:sz w:val="22"/>
          <w:vertAlign w:val="subscript"/>
        </w:rPr>
        <w:t>с</w:t>
      </w:r>
      <w:r>
        <w:rPr>
          <w:sz w:val="22"/>
        </w:rPr>
        <w:t xml:space="preserve"> - коэффициент сменности работы школ.</w:t>
      </w:r>
    </w:p>
    <w:p w:rsidR="00086672" w:rsidRDefault="00086672" w:rsidP="00086672">
      <w:pPr>
        <w:ind w:firstLine="284"/>
        <w:jc w:val="both"/>
        <w:rPr>
          <w:sz w:val="22"/>
        </w:rPr>
      </w:pPr>
    </w:p>
    <w:p w:rsidR="00086672" w:rsidRDefault="00086672" w:rsidP="00086672">
      <w:pPr>
        <w:ind w:firstLine="284"/>
        <w:jc w:val="both"/>
        <w:rPr>
          <w:sz w:val="22"/>
        </w:rPr>
      </w:pPr>
      <w:r>
        <w:rPr>
          <w:sz w:val="22"/>
        </w:rPr>
        <w:t xml:space="preserve">Необходимый </w:t>
      </w:r>
      <w:r>
        <w:rPr>
          <w:i/>
          <w:sz w:val="22"/>
        </w:rPr>
        <w:t>ввод (строительство) классных комнат</w:t>
      </w:r>
      <w:r>
        <w:rPr>
          <w:sz w:val="22"/>
        </w:rPr>
        <w:t xml:space="preserve"> определяют как разницу между рассчитанной потребностью в классных комнатах и их фактическим наличием на начало прогнозного периода с учетом выбытия в связи с ветхостью и ремонтом.</w:t>
      </w:r>
    </w:p>
    <w:p w:rsidR="00086672" w:rsidRDefault="00086672" w:rsidP="00086672">
      <w:pPr>
        <w:pStyle w:val="a3"/>
        <w:spacing w:line="240" w:lineRule="auto"/>
        <w:ind w:firstLine="284"/>
      </w:pPr>
      <w:r>
        <w:t>Количество ученических мест рассчитывается исходя из стандарта обеспечения одного ученика площадью классной комнаты:</w:t>
      </w:r>
    </w:p>
    <w:p w:rsidR="00086672" w:rsidRDefault="00086672" w:rsidP="00086672">
      <w:pPr>
        <w:ind w:firstLine="284"/>
        <w:jc w:val="center"/>
        <w:rPr>
          <w:sz w:val="22"/>
        </w:rPr>
      </w:pPr>
      <w:r>
        <w:rPr>
          <w:position w:val="-34"/>
          <w:sz w:val="22"/>
        </w:rPr>
        <w:object w:dxaOrig="3600" w:dyaOrig="940">
          <v:shape id="_x0000_i1026" type="#_x0000_t75" style="width:180pt;height:47.25pt" o:ole="" fillcolor="window">
            <v:imagedata r:id="rId6" o:title=""/>
          </v:shape>
          <o:OLEObject Type="Embed" ProgID="Equation.3" ShapeID="_x0000_i1026" DrawAspect="Content" ObjectID="_1458549585" r:id="rId7"/>
        </w:object>
      </w:r>
    </w:p>
    <w:p w:rsidR="00086672" w:rsidRDefault="00086672" w:rsidP="00086672">
      <w:pPr>
        <w:ind w:firstLine="284"/>
        <w:jc w:val="both"/>
        <w:rPr>
          <w:sz w:val="22"/>
        </w:rPr>
      </w:pPr>
      <w:r>
        <w:rPr>
          <w:sz w:val="22"/>
        </w:rPr>
        <w:t>Потребность в педагогических кадрах определяется как:</w:t>
      </w:r>
    </w:p>
    <w:p w:rsidR="00086672" w:rsidRDefault="00086672" w:rsidP="00086672">
      <w:pPr>
        <w:ind w:firstLine="284"/>
        <w:jc w:val="center"/>
        <w:rPr>
          <w:sz w:val="22"/>
        </w:rPr>
      </w:pPr>
      <w:r>
        <w:rPr>
          <w:position w:val="-48"/>
          <w:sz w:val="22"/>
        </w:rPr>
        <w:object w:dxaOrig="1960" w:dyaOrig="1080">
          <v:shape id="_x0000_i1027" type="#_x0000_t75" style="width:98.25pt;height:54pt" o:ole="" fillcolor="window">
            <v:imagedata r:id="rId8" o:title=""/>
          </v:shape>
          <o:OLEObject Type="Embed" ProgID="Equation.3" ShapeID="_x0000_i1027" DrawAspect="Content" ObjectID="_1458549586" r:id="rId9"/>
        </w:object>
      </w:r>
      <w:r>
        <w:rPr>
          <w:sz w:val="22"/>
        </w:rPr>
        <w:t xml:space="preserve">, </w:t>
      </w:r>
    </w:p>
    <w:p w:rsidR="00086672" w:rsidRDefault="00086672" w:rsidP="00086672">
      <w:pPr>
        <w:ind w:firstLine="284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К</w:t>
      </w:r>
      <w:r>
        <w:rPr>
          <w:sz w:val="22"/>
        </w:rPr>
        <w:t xml:space="preserve"> - количество классов в планируемом периоде;</w:t>
      </w:r>
    </w:p>
    <w:p w:rsidR="00086672" w:rsidRDefault="00086672" w:rsidP="00086672">
      <w:pPr>
        <w:ind w:firstLine="284"/>
        <w:jc w:val="both"/>
        <w:rPr>
          <w:sz w:val="22"/>
        </w:rPr>
      </w:pPr>
      <w:r>
        <w:rPr>
          <w:i/>
          <w:sz w:val="22"/>
        </w:rPr>
        <w:t>С</w:t>
      </w:r>
      <w:r>
        <w:rPr>
          <w:i/>
          <w:sz w:val="22"/>
          <w:vertAlign w:val="subscript"/>
        </w:rPr>
        <w:t>к</w:t>
      </w:r>
      <w:r>
        <w:rPr>
          <w:sz w:val="22"/>
        </w:rPr>
        <w:t xml:space="preserve"> - количество учительских ставок на один класс;</w:t>
      </w:r>
    </w:p>
    <w:p w:rsidR="00086672" w:rsidRDefault="00086672" w:rsidP="00086672">
      <w:pPr>
        <w:ind w:firstLine="284"/>
        <w:jc w:val="both"/>
        <w:rPr>
          <w:sz w:val="22"/>
        </w:rPr>
      </w:pPr>
      <w:r>
        <w:rPr>
          <w:i/>
          <w:sz w:val="22"/>
        </w:rPr>
        <w:t>С</w:t>
      </w:r>
      <w:r>
        <w:rPr>
          <w:i/>
          <w:sz w:val="22"/>
          <w:vertAlign w:val="subscript"/>
        </w:rPr>
        <w:t>у</w:t>
      </w:r>
      <w:r>
        <w:rPr>
          <w:sz w:val="22"/>
        </w:rPr>
        <w:t xml:space="preserve"> - количество ставок на одного учителя.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i/>
          <w:sz w:val="22"/>
        </w:rPr>
        <w:t>Прогноз развития высшего образования в РФ.</w:t>
      </w:r>
      <w:r>
        <w:rPr>
          <w:sz w:val="22"/>
        </w:rPr>
        <w:t xml:space="preserve"> При разработке данных прогнозов решаются следующие задачи: </w:t>
      </w:r>
    </w:p>
    <w:p w:rsidR="00086672" w:rsidRDefault="00086672" w:rsidP="00086672">
      <w:pPr>
        <w:spacing w:line="240" w:lineRule="exact"/>
        <w:jc w:val="both"/>
        <w:rPr>
          <w:sz w:val="22"/>
        </w:rPr>
      </w:pPr>
      <w:r>
        <w:rPr>
          <w:sz w:val="22"/>
        </w:rPr>
        <w:t xml:space="preserve">1. Выявление потребности рынка труда в рабочей силе различных специальностей и уровней квалификаций; </w:t>
      </w:r>
    </w:p>
    <w:p w:rsidR="00086672" w:rsidRDefault="00086672" w:rsidP="00086672">
      <w:pPr>
        <w:spacing w:line="240" w:lineRule="exact"/>
        <w:jc w:val="both"/>
        <w:rPr>
          <w:sz w:val="22"/>
        </w:rPr>
      </w:pPr>
      <w:r>
        <w:rPr>
          <w:sz w:val="22"/>
        </w:rPr>
        <w:t>2. Определение источников удовлетворения этих потребностей.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 xml:space="preserve">При решение первой задачи исходят из сложившейся профильно-квалификационных структуры работников на начало планируемого периода по предприятиям и организациям всех форм собственности. Данную информацию разработчику прогнозов на Федеральном уровне – Министерству экономического развития и торговли представляет Государственный Комитет по статистике и Министерство труда. 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Исходя из конъюнктуры рынка и тенденций в структуре национальной экономики производится досчет возможной емкости рынка услуг специалистов и рабочих различной квалификации.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 xml:space="preserve">Используя данных демографического прогноза о половозрастной структуре населения на предстоящий период, данные о возможностях средних и высших учебных заведений по подготовке специалистов, государственным образовательным учреждения устанавливается </w:t>
      </w:r>
      <w:r>
        <w:rPr>
          <w:i/>
          <w:sz w:val="22"/>
        </w:rPr>
        <w:t>план приема студентов</w:t>
      </w:r>
      <w:r>
        <w:rPr>
          <w:sz w:val="22"/>
        </w:rPr>
        <w:t xml:space="preserve"> с разбивкой по специальностям.</w:t>
      </w:r>
    </w:p>
    <w:p w:rsidR="00086672" w:rsidRDefault="00086672" w:rsidP="00086672">
      <w:pPr>
        <w:pStyle w:val="a3"/>
        <w:spacing w:line="240" w:lineRule="exact"/>
        <w:ind w:right="0" w:firstLine="284"/>
      </w:pPr>
      <w:r>
        <w:t xml:space="preserve">Численность студентов по всем формам обучения – это основа для определения </w:t>
      </w:r>
      <w:r>
        <w:rPr>
          <w:i/>
        </w:rPr>
        <w:t>потребности в профессорско-преподавательском составе и объемах финансирования ВУЗа.</w:t>
      </w:r>
      <w:r>
        <w:t xml:space="preserve"> Объем педагогической нагрузки в часах зависит от учебного плана образовательного учреждения; от числа часов, отведенных на изучение каждой дисциплины, входящей в учебный план.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i/>
          <w:sz w:val="22"/>
        </w:rPr>
        <w:t>Объем государственного финансирования</w:t>
      </w:r>
      <w:r>
        <w:rPr>
          <w:sz w:val="22"/>
        </w:rPr>
        <w:t xml:space="preserve"> ВУЗов определяется, исходя из рассчитанного фонда оплаты труда на каждый год, нормативных расчетов материальных ресурсов и услуг коммунального хозяйства.</w:t>
      </w:r>
    </w:p>
    <w:p w:rsidR="00086672" w:rsidRDefault="00086672" w:rsidP="00086672">
      <w:pPr>
        <w:spacing w:line="240" w:lineRule="exact"/>
        <w:ind w:firstLine="284"/>
        <w:jc w:val="center"/>
        <w:rPr>
          <w:sz w:val="22"/>
        </w:rPr>
      </w:pPr>
    </w:p>
    <w:p w:rsidR="00086672" w:rsidRDefault="00086672" w:rsidP="00086672">
      <w:pPr>
        <w:spacing w:line="240" w:lineRule="exact"/>
        <w:ind w:firstLine="284"/>
        <w:jc w:val="center"/>
        <w:rPr>
          <w:sz w:val="22"/>
        </w:rPr>
      </w:pPr>
      <w:r>
        <w:rPr>
          <w:sz w:val="22"/>
        </w:rPr>
        <w:t>8.2. Построение прогнозов сети здравоохранения в РФ</w:t>
      </w:r>
    </w:p>
    <w:p w:rsidR="00086672" w:rsidRDefault="00086672" w:rsidP="00086672">
      <w:pPr>
        <w:spacing w:line="240" w:lineRule="exact"/>
        <w:ind w:firstLine="284"/>
        <w:jc w:val="center"/>
        <w:rPr>
          <w:sz w:val="22"/>
        </w:rPr>
      </w:pP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 xml:space="preserve">За последние годы в РФ произошло ухудшение медико-демографической ситуации. Отмечаются: 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снижение продолжительности жизни;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рост показателей общей смертности;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снижение уровня рождаемости;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естественная убыль населения возрастает;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возрастание общей заболеваемости населения;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угроза эпидемиологических вспышек;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резкое сокращение профилактических программ из-за трудностей с финансированием.</w:t>
      </w:r>
    </w:p>
    <w:p w:rsidR="00086672" w:rsidRDefault="00086672" w:rsidP="00086672">
      <w:pPr>
        <w:pStyle w:val="a3"/>
        <w:spacing w:line="240" w:lineRule="exact"/>
        <w:ind w:firstLine="284"/>
      </w:pPr>
      <w:r>
        <w:t>В связи с перераспределением полномочий между федеральными органами управления здравоохранением, субъектами РФ и муниципальными образованиями снизилась управляемость системой здравоохранения. Это привело к резкой дифференциации условий и уровней оказания медицинской помощи на различных территориях.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Для прогнозных расчетов изменения и развития сети здравоохранения привлекаются данные демографических прогнозов о численности населения в планируемом периоде, его половозрастной структуре, данные о здоровье населения, о действующей сети учреждений здравоохранения.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 xml:space="preserve"> Данные показатели является основой для расчета </w:t>
      </w:r>
      <w:r>
        <w:rPr>
          <w:i/>
          <w:sz w:val="22"/>
        </w:rPr>
        <w:t xml:space="preserve">объема финансирования </w:t>
      </w:r>
      <w:r>
        <w:rPr>
          <w:sz w:val="22"/>
        </w:rPr>
        <w:t>учреждений здравоохранения.</w:t>
      </w:r>
    </w:p>
    <w:p w:rsidR="00086672" w:rsidRDefault="00086672" w:rsidP="00086672">
      <w:pPr>
        <w:ind w:firstLine="284"/>
        <w:jc w:val="both"/>
        <w:rPr>
          <w:sz w:val="22"/>
        </w:rPr>
      </w:pPr>
      <w:r>
        <w:rPr>
          <w:i/>
          <w:sz w:val="22"/>
        </w:rPr>
        <w:t>Потребность населения</w:t>
      </w:r>
      <w:r>
        <w:rPr>
          <w:sz w:val="22"/>
        </w:rPr>
        <w:t xml:space="preserve"> </w:t>
      </w:r>
      <w:r>
        <w:rPr>
          <w:i/>
          <w:sz w:val="22"/>
        </w:rPr>
        <w:t>в больничных койках</w:t>
      </w:r>
      <w:r>
        <w:rPr>
          <w:sz w:val="22"/>
        </w:rPr>
        <w:t xml:space="preserve"> рекомендуется определять по следующей формуле:</w:t>
      </w:r>
    </w:p>
    <w:p w:rsidR="00086672" w:rsidRDefault="00086672" w:rsidP="00086672">
      <w:pPr>
        <w:ind w:firstLine="284"/>
        <w:jc w:val="center"/>
        <w:rPr>
          <w:sz w:val="22"/>
        </w:rPr>
      </w:pPr>
      <w:r>
        <w:rPr>
          <w:position w:val="-24"/>
          <w:sz w:val="22"/>
        </w:rPr>
        <w:object w:dxaOrig="1100" w:dyaOrig="620">
          <v:shape id="_x0000_i1028" type="#_x0000_t75" style="width:138.75pt;height:45pt" o:ole="" fillcolor="window">
            <v:imagedata r:id="rId10" o:title=""/>
          </v:shape>
          <o:OLEObject Type="Embed" ProgID="Equation.3" ShapeID="_x0000_i1028" DrawAspect="Content" ObjectID="_1458549587" r:id="rId11"/>
        </w:object>
      </w:r>
    </w:p>
    <w:p w:rsidR="00086672" w:rsidRDefault="00086672" w:rsidP="00086672">
      <w:pPr>
        <w:ind w:firstLine="284"/>
        <w:jc w:val="both"/>
        <w:rPr>
          <w:sz w:val="22"/>
        </w:rPr>
      </w:pPr>
      <w:r>
        <w:rPr>
          <w:i/>
          <w:sz w:val="22"/>
        </w:rPr>
        <w:t xml:space="preserve">Н - </w:t>
      </w:r>
      <w:r>
        <w:rPr>
          <w:sz w:val="22"/>
        </w:rPr>
        <w:t>численность населения;</w:t>
      </w:r>
    </w:p>
    <w:p w:rsidR="00086672" w:rsidRDefault="00086672" w:rsidP="00086672">
      <w:pPr>
        <w:pStyle w:val="a3"/>
        <w:spacing w:line="240" w:lineRule="auto"/>
        <w:ind w:firstLine="284"/>
        <w:rPr>
          <w:i/>
        </w:rPr>
      </w:pPr>
      <w:r>
        <w:t>Г - уровень госпитализации населения (расчет на 1000 человек);</w:t>
      </w:r>
    </w:p>
    <w:p w:rsidR="00086672" w:rsidRDefault="00086672" w:rsidP="00086672">
      <w:pPr>
        <w:ind w:firstLine="284"/>
        <w:jc w:val="both"/>
        <w:rPr>
          <w:i/>
          <w:sz w:val="22"/>
        </w:rPr>
      </w:pPr>
      <w:r>
        <w:rPr>
          <w:i/>
          <w:sz w:val="22"/>
        </w:rPr>
        <w:t>П</w:t>
      </w:r>
      <w:r>
        <w:rPr>
          <w:sz w:val="22"/>
        </w:rPr>
        <w:t xml:space="preserve"> - среднее число дней, пребывание больного на койке;</w:t>
      </w:r>
    </w:p>
    <w:p w:rsidR="00086672" w:rsidRDefault="00086672" w:rsidP="00086672">
      <w:pPr>
        <w:ind w:firstLine="284"/>
        <w:jc w:val="both"/>
        <w:rPr>
          <w:sz w:val="22"/>
        </w:rPr>
      </w:pPr>
      <w:r>
        <w:rPr>
          <w:i/>
          <w:sz w:val="22"/>
        </w:rPr>
        <w:t>Д</w:t>
      </w:r>
      <w:r>
        <w:rPr>
          <w:sz w:val="22"/>
        </w:rPr>
        <w:t xml:space="preserve"> - число дней использования койки в году.</w:t>
      </w:r>
    </w:p>
    <w:p w:rsidR="00086672" w:rsidRDefault="00086672" w:rsidP="00086672">
      <w:pPr>
        <w:ind w:firstLine="284"/>
        <w:jc w:val="both"/>
        <w:rPr>
          <w:sz w:val="22"/>
        </w:rPr>
      </w:pPr>
    </w:p>
    <w:p w:rsidR="00086672" w:rsidRDefault="00086672" w:rsidP="00086672">
      <w:pPr>
        <w:pStyle w:val="a3"/>
        <w:spacing w:line="240" w:lineRule="auto"/>
        <w:ind w:firstLine="284"/>
      </w:pPr>
      <w:r>
        <w:rPr>
          <w:i/>
        </w:rPr>
        <w:t>Необходимая мощность амбулаторно-поликлинических</w:t>
      </w:r>
      <w:r>
        <w:t xml:space="preserve"> учреждений (их пропускная способность) может быть рассчитана следующим образом:</w:t>
      </w:r>
    </w:p>
    <w:p w:rsidR="00086672" w:rsidRDefault="00086672" w:rsidP="00086672">
      <w:pPr>
        <w:ind w:firstLine="284"/>
        <w:jc w:val="center"/>
        <w:rPr>
          <w:sz w:val="22"/>
        </w:rPr>
      </w:pPr>
      <w:r>
        <w:rPr>
          <w:position w:val="-24"/>
          <w:sz w:val="22"/>
        </w:rPr>
        <w:object w:dxaOrig="980" w:dyaOrig="620">
          <v:shape id="_x0000_i1029" type="#_x0000_t75" style="width:111.75pt;height:48.75pt" o:ole="" fillcolor="window">
            <v:imagedata r:id="rId12" o:title=""/>
          </v:shape>
          <o:OLEObject Type="Embed" ProgID="Equation.3" ShapeID="_x0000_i1029" DrawAspect="Content" ObjectID="_1458549588" r:id="rId13"/>
        </w:object>
      </w:r>
      <w:r>
        <w:rPr>
          <w:sz w:val="22"/>
        </w:rPr>
        <w:t>,      где</w:t>
      </w:r>
    </w:p>
    <w:p w:rsidR="00086672" w:rsidRDefault="00086672" w:rsidP="00086672">
      <w:pPr>
        <w:ind w:firstLine="284"/>
        <w:jc w:val="both"/>
        <w:rPr>
          <w:i/>
          <w:sz w:val="22"/>
        </w:rPr>
      </w:pPr>
      <w:r>
        <w:rPr>
          <w:i/>
          <w:sz w:val="22"/>
        </w:rPr>
        <w:t xml:space="preserve">В </w:t>
      </w:r>
      <w:r>
        <w:rPr>
          <w:sz w:val="22"/>
        </w:rPr>
        <w:t>- расчетное число посещений врача на одного жителя в год;</w:t>
      </w:r>
    </w:p>
    <w:p w:rsidR="00086672" w:rsidRDefault="00086672" w:rsidP="00086672">
      <w:pPr>
        <w:ind w:firstLine="284"/>
        <w:jc w:val="both"/>
        <w:rPr>
          <w:i/>
          <w:sz w:val="22"/>
        </w:rPr>
      </w:pPr>
      <w:r>
        <w:rPr>
          <w:i/>
          <w:sz w:val="22"/>
        </w:rPr>
        <w:t>Н</w:t>
      </w:r>
      <w:r>
        <w:rPr>
          <w:sz w:val="22"/>
        </w:rPr>
        <w:t xml:space="preserve"> - численность населения;</w:t>
      </w:r>
    </w:p>
    <w:p w:rsidR="00086672" w:rsidRDefault="00086672" w:rsidP="00086672">
      <w:pPr>
        <w:ind w:firstLine="284"/>
        <w:jc w:val="both"/>
        <w:rPr>
          <w:i/>
          <w:sz w:val="22"/>
        </w:rPr>
      </w:pPr>
      <w:r>
        <w:rPr>
          <w:i/>
          <w:sz w:val="22"/>
        </w:rPr>
        <w:t>Д</w:t>
      </w:r>
      <w:r>
        <w:rPr>
          <w:sz w:val="22"/>
        </w:rPr>
        <w:t xml:space="preserve"> - число дней работы учреждения в году;</w:t>
      </w:r>
    </w:p>
    <w:p w:rsidR="00086672" w:rsidRDefault="00086672" w:rsidP="00086672">
      <w:pPr>
        <w:ind w:firstLine="284"/>
        <w:jc w:val="both"/>
        <w:rPr>
          <w:sz w:val="22"/>
        </w:rPr>
      </w:pPr>
      <w:r>
        <w:rPr>
          <w:i/>
          <w:sz w:val="22"/>
        </w:rPr>
        <w:t>К</w:t>
      </w:r>
      <w:r>
        <w:rPr>
          <w:sz w:val="22"/>
        </w:rPr>
        <w:t xml:space="preserve"> - коэффициент сменности работы учреждения здравоохранения.</w:t>
      </w:r>
    </w:p>
    <w:p w:rsidR="00086672" w:rsidRDefault="00086672" w:rsidP="00086672">
      <w:pPr>
        <w:ind w:firstLine="284"/>
        <w:jc w:val="both"/>
        <w:rPr>
          <w:sz w:val="22"/>
        </w:rPr>
      </w:pPr>
      <w:r>
        <w:rPr>
          <w:i/>
          <w:sz w:val="22"/>
        </w:rPr>
        <w:t>Число врачебных должностей</w:t>
      </w:r>
      <w:r>
        <w:rPr>
          <w:sz w:val="22"/>
        </w:rPr>
        <w:t xml:space="preserve"> на прогнозный период определяется с учетом социальных стандартов и корректируется исходя из прироста (выбытия) учреждений здравоохранения и прироста или сокращения численности населения в регионе.</w:t>
      </w:r>
    </w:p>
    <w:p w:rsidR="00086672" w:rsidRDefault="00086672" w:rsidP="00086672">
      <w:pPr>
        <w:ind w:firstLine="284"/>
        <w:jc w:val="both"/>
        <w:rPr>
          <w:sz w:val="22"/>
        </w:rPr>
      </w:pPr>
    </w:p>
    <w:p w:rsidR="00086672" w:rsidRDefault="00086672" w:rsidP="00086672">
      <w:pPr>
        <w:pStyle w:val="a4"/>
        <w:spacing w:line="240" w:lineRule="auto"/>
      </w:pPr>
      <w:r>
        <w:t xml:space="preserve">8.3. Прогнозирование жилищно-коммунального хозяйства в РФ </w:t>
      </w:r>
    </w:p>
    <w:p w:rsidR="00086672" w:rsidRDefault="00086672" w:rsidP="00086672">
      <w:pPr>
        <w:pStyle w:val="a4"/>
        <w:spacing w:line="240" w:lineRule="auto"/>
        <w:ind w:firstLine="284"/>
      </w:pPr>
    </w:p>
    <w:p w:rsidR="00086672" w:rsidRDefault="00086672" w:rsidP="00086672">
      <w:pPr>
        <w:ind w:firstLine="284"/>
        <w:jc w:val="both"/>
        <w:rPr>
          <w:sz w:val="22"/>
        </w:rPr>
      </w:pPr>
      <w:r>
        <w:rPr>
          <w:sz w:val="22"/>
        </w:rPr>
        <w:t xml:space="preserve">    В состав комплексной отрасли жилищно-коммунального хозяйства (ЖКХ) входят:</w:t>
      </w:r>
    </w:p>
    <w:p w:rsidR="00086672" w:rsidRDefault="00086672" w:rsidP="00086672">
      <w:pPr>
        <w:spacing w:line="240" w:lineRule="exact"/>
        <w:jc w:val="both"/>
        <w:rPr>
          <w:sz w:val="22"/>
        </w:rPr>
      </w:pPr>
      <w:r>
        <w:rPr>
          <w:sz w:val="22"/>
        </w:rPr>
        <w:t>1. Жилищное хозяйство (жилищный фонд, гостиницы и т.п.)</w:t>
      </w:r>
    </w:p>
    <w:p w:rsidR="00086672" w:rsidRDefault="00086672" w:rsidP="00086672">
      <w:pPr>
        <w:spacing w:line="240" w:lineRule="exact"/>
        <w:jc w:val="both"/>
        <w:rPr>
          <w:sz w:val="22"/>
        </w:rPr>
      </w:pPr>
      <w:r>
        <w:rPr>
          <w:sz w:val="22"/>
        </w:rPr>
        <w:t>2. Коммунальные предприятия и службы (водопровод, канализация, службы очистки города и т.п.)</w:t>
      </w:r>
    </w:p>
    <w:p w:rsidR="00086672" w:rsidRDefault="00086672" w:rsidP="00086672">
      <w:pPr>
        <w:spacing w:line="240" w:lineRule="exact"/>
        <w:jc w:val="both"/>
        <w:rPr>
          <w:sz w:val="22"/>
        </w:rPr>
      </w:pPr>
      <w:r>
        <w:rPr>
          <w:sz w:val="22"/>
        </w:rPr>
        <w:t>3. Внутригородской пассажирский транспорт общего пользования</w:t>
      </w:r>
    </w:p>
    <w:p w:rsidR="00086672" w:rsidRDefault="00086672" w:rsidP="00086672">
      <w:pPr>
        <w:spacing w:line="240" w:lineRule="exact"/>
        <w:jc w:val="both"/>
        <w:rPr>
          <w:sz w:val="22"/>
        </w:rPr>
      </w:pPr>
      <w:r>
        <w:rPr>
          <w:sz w:val="22"/>
        </w:rPr>
        <w:t>4. Энергетическое хозяйство (котельные, тепло- и газо- сети)</w:t>
      </w:r>
    </w:p>
    <w:p w:rsidR="00086672" w:rsidRDefault="00086672" w:rsidP="00086672">
      <w:pPr>
        <w:spacing w:line="240" w:lineRule="exact"/>
        <w:jc w:val="both"/>
        <w:rPr>
          <w:sz w:val="22"/>
        </w:rPr>
      </w:pPr>
      <w:r>
        <w:rPr>
          <w:sz w:val="22"/>
        </w:rPr>
        <w:t>5. Дорожное и мостовое хозяйство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Стратегические расчеты развития и функционирования сферы ЖКХ должны учитывать современные особенности этой отрасли: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1. Существенные изменения в формах собственности жилого фонда. Доля жилья частной формы собственности достигла 60-65 %, остальные 35-40 % намечается сохранить в государственной и муниципальной собственности. Новая структура собственности на жилье отражается на величине общих затрат бюджетов всех уровней.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 xml:space="preserve">2. Перевод ведомственного жилья в распоряжение местных органов власти, что ведет к увеличению т расходов местных бюджетов 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 xml:space="preserve">3. Введение </w:t>
      </w:r>
      <w:r>
        <w:rPr>
          <w:i/>
          <w:sz w:val="22"/>
        </w:rPr>
        <w:t>Федеральных стандартов</w:t>
      </w:r>
      <w:r>
        <w:rPr>
          <w:sz w:val="22"/>
        </w:rPr>
        <w:t xml:space="preserve"> по оплате жилья и коммунальных услуг, определяющих объем финансирования из федерального бюджета.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</w:p>
    <w:p w:rsidR="00086672" w:rsidRDefault="00086672" w:rsidP="00086672">
      <w:pPr>
        <w:tabs>
          <w:tab w:val="num" w:pos="0"/>
        </w:tabs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 xml:space="preserve">На уровне РФ разрабатывается прогноз ЖКХ, который входит составной частью в Комплексный прогноз социально-экономического развития страны. На уровне местных органов власти составляют собственные прогнозы и программы развития ЖКХ. Разработка прогнозных документов на муниципальном уровне осуществляется с выделением объектов прогнозирования по формам собственности. В частности, весь жилой фонд города делится на </w:t>
      </w:r>
    </w:p>
    <w:p w:rsidR="00086672" w:rsidRDefault="00086672" w:rsidP="00086672">
      <w:pPr>
        <w:tabs>
          <w:tab w:val="num" w:pos="0"/>
        </w:tabs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а) частный – граждан и юридических лиц</w:t>
      </w:r>
    </w:p>
    <w:p w:rsidR="00086672" w:rsidRDefault="00086672" w:rsidP="00086672">
      <w:pPr>
        <w:tabs>
          <w:tab w:val="num" w:pos="0"/>
        </w:tabs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б) государственный – ведомственный жилой фонд и жилой фонд субъектов РФ</w:t>
      </w:r>
    </w:p>
    <w:p w:rsidR="00086672" w:rsidRDefault="00086672" w:rsidP="00086672">
      <w:pPr>
        <w:tabs>
          <w:tab w:val="num" w:pos="0"/>
        </w:tabs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в) муниципальный жилой фонд – собственность района, города.</w:t>
      </w:r>
    </w:p>
    <w:p w:rsidR="00086672" w:rsidRDefault="00086672" w:rsidP="00086672">
      <w:pPr>
        <w:tabs>
          <w:tab w:val="num" w:pos="0"/>
        </w:tabs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г) общественный – собственность общественных организаций</w:t>
      </w:r>
    </w:p>
    <w:p w:rsidR="00086672" w:rsidRDefault="00086672" w:rsidP="00086672">
      <w:pPr>
        <w:tabs>
          <w:tab w:val="num" w:pos="0"/>
        </w:tabs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д) жилой фонд в коллективной собственности – находящийся в совместной или долевой собственности различных субъектов частной, государственной, муниципальной собственности, собственности общественных объединений.</w:t>
      </w:r>
    </w:p>
    <w:p w:rsidR="00086672" w:rsidRDefault="00086672" w:rsidP="00086672">
      <w:pPr>
        <w:tabs>
          <w:tab w:val="num" w:pos="0"/>
        </w:tabs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Для каждой из форм собственности разрабатывается собственный прогноз.</w:t>
      </w:r>
    </w:p>
    <w:p w:rsidR="00086672" w:rsidRDefault="00086672" w:rsidP="00086672">
      <w:pPr>
        <w:tabs>
          <w:tab w:val="num" w:pos="0"/>
        </w:tabs>
        <w:spacing w:line="240" w:lineRule="exact"/>
        <w:ind w:firstLine="284"/>
        <w:jc w:val="both"/>
        <w:rPr>
          <w:i/>
          <w:sz w:val="22"/>
        </w:rPr>
      </w:pPr>
      <w:r>
        <w:rPr>
          <w:i/>
          <w:sz w:val="22"/>
        </w:rPr>
        <w:t>Основные показатели прогноза ЖКХ: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Жилищный фонд (населенного пункта) – общая площадь, жилая площадь, тыс. м2, в т.ч в среднем на одного жителя;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Размер общей и жилой площади домов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Оборудование жилого фонда (водопроводом, канализацией, отоплением и т.д.)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Количество семей, ожидающих получение жилья.</w:t>
      </w:r>
    </w:p>
    <w:p w:rsidR="00086672" w:rsidRDefault="00086672" w:rsidP="00086672">
      <w:pPr>
        <w:tabs>
          <w:tab w:val="num" w:pos="0"/>
        </w:tabs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Основой прогноза эксплуатации жилого фонда является смета доходов и расходов. Главная доходная статья жилищного хозяйства – квартплата. Менее значимая – арендная плата, штрафы, пени, вступительные взносы и т.п.</w:t>
      </w:r>
    </w:p>
    <w:p w:rsidR="00086672" w:rsidRDefault="00086672" w:rsidP="00086672">
      <w:pPr>
        <w:tabs>
          <w:tab w:val="num" w:pos="0"/>
        </w:tabs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 xml:space="preserve">На основе расчетов обеспеченности населения жилой площадью, динамики доходов населения, конъюнктуры на рынке жилья, определяется необходимый объем капитальных вложений на жилищное строительство. </w:t>
      </w:r>
    </w:p>
    <w:p w:rsidR="00086672" w:rsidRDefault="00086672" w:rsidP="00086672">
      <w:pPr>
        <w:tabs>
          <w:tab w:val="num" w:pos="0"/>
        </w:tabs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Финансирование строительства жилья осуществляется из 3 источников: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1. Федеральные средства, направляемые на строительство жилья, предусмотренного соответствующими Федеральными программами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2. Средства местных бюджетов- как правило на строительство жилья муниципального для социально-незащищенных слоев населения.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3. Средства населения и предприятий. Роль этого источника в последние время резко возросло.</w:t>
      </w:r>
    </w:p>
    <w:p w:rsidR="00086672" w:rsidRDefault="00086672" w:rsidP="00086672">
      <w:pPr>
        <w:tabs>
          <w:tab w:val="num" w:pos="0"/>
        </w:tabs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 xml:space="preserve">Прогнозные расчеты развития </w:t>
      </w:r>
      <w:r>
        <w:rPr>
          <w:i/>
          <w:sz w:val="22"/>
        </w:rPr>
        <w:t>коммунального</w:t>
      </w:r>
      <w:r>
        <w:rPr>
          <w:b/>
          <w:sz w:val="22"/>
        </w:rPr>
        <w:t xml:space="preserve"> </w:t>
      </w:r>
      <w:r>
        <w:rPr>
          <w:sz w:val="22"/>
        </w:rPr>
        <w:t>хозяйства предусматривают установление заданий по развитию водопровода, канализации, систем газоснабжения населения.</w:t>
      </w:r>
    </w:p>
    <w:p w:rsidR="00086672" w:rsidRDefault="00086672" w:rsidP="00086672">
      <w:pPr>
        <w:tabs>
          <w:tab w:val="num" w:pos="0"/>
        </w:tabs>
        <w:spacing w:line="240" w:lineRule="exact"/>
        <w:ind w:firstLine="284"/>
        <w:jc w:val="both"/>
        <w:rPr>
          <w:i/>
          <w:sz w:val="22"/>
        </w:rPr>
      </w:pPr>
      <w:r>
        <w:rPr>
          <w:sz w:val="22"/>
        </w:rPr>
        <w:t xml:space="preserve">Основные показатели развития </w:t>
      </w:r>
      <w:r>
        <w:rPr>
          <w:i/>
          <w:sz w:val="22"/>
        </w:rPr>
        <w:t>городского транспорта: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эксплуатационная длина пути, в т.ч. по видам транспорта (метрополитен, трамвайные и т.д.);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наличие подвижного состава, в т.ч. по видам транспорта;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общий пробег подвижного состава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количество перевезенных пассажиров или пассажиро-километров</w:t>
      </w:r>
    </w:p>
    <w:p w:rsidR="00086672" w:rsidRDefault="00086672" w:rsidP="00086672">
      <w:pPr>
        <w:spacing w:line="240" w:lineRule="exact"/>
        <w:ind w:firstLine="284"/>
        <w:jc w:val="both"/>
        <w:rPr>
          <w:sz w:val="22"/>
        </w:rPr>
      </w:pPr>
      <w:r>
        <w:rPr>
          <w:sz w:val="22"/>
        </w:rPr>
        <w:t>среднее количество поездок в год на 1 жителя населенного пункт</w:t>
      </w:r>
    </w:p>
    <w:p w:rsidR="00086672" w:rsidRDefault="00086672" w:rsidP="00086672">
      <w:pPr>
        <w:ind w:firstLine="284"/>
        <w:jc w:val="both"/>
        <w:rPr>
          <w:sz w:val="22"/>
        </w:rPr>
      </w:pPr>
      <w:r>
        <w:rPr>
          <w:sz w:val="22"/>
        </w:rPr>
        <w:t>коэффициенты использования и износа подвижного состава</w:t>
      </w:r>
    </w:p>
    <w:p w:rsidR="00086672" w:rsidRDefault="00086672" w:rsidP="00086672">
      <w:pPr>
        <w:jc w:val="both"/>
        <w:rPr>
          <w:sz w:val="22"/>
        </w:rPr>
      </w:pPr>
      <w:r>
        <w:rPr>
          <w:sz w:val="22"/>
        </w:rPr>
        <w:t xml:space="preserve"> и т.д.</w:t>
      </w:r>
    </w:p>
    <w:p w:rsidR="00086672" w:rsidRDefault="00086672">
      <w:bookmarkStart w:id="0" w:name="_GoBack"/>
      <w:bookmarkEnd w:id="0"/>
    </w:p>
    <w:sectPr w:rsidR="0008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672"/>
    <w:rsid w:val="00086672"/>
    <w:rsid w:val="00123DF6"/>
    <w:rsid w:val="00F54841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12F7EBE8-5332-456C-B248-25A3A6D6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86672"/>
    <w:pPr>
      <w:spacing w:line="360" w:lineRule="auto"/>
      <w:ind w:right="-1" w:firstLine="567"/>
      <w:jc w:val="both"/>
    </w:pPr>
    <w:rPr>
      <w:sz w:val="22"/>
    </w:rPr>
  </w:style>
  <w:style w:type="paragraph" w:styleId="a4">
    <w:name w:val="Body Text"/>
    <w:basedOn w:val="a"/>
    <w:rsid w:val="00086672"/>
    <w:pPr>
      <w:spacing w:line="360" w:lineRule="auto"/>
      <w:ind w:right="-1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Альфизка</dc:creator>
  <cp:keywords/>
  <dc:description/>
  <cp:lastModifiedBy>admin</cp:lastModifiedBy>
  <cp:revision>2</cp:revision>
  <dcterms:created xsi:type="dcterms:W3CDTF">2014-04-09T08:53:00Z</dcterms:created>
  <dcterms:modified xsi:type="dcterms:W3CDTF">2014-04-09T08:53:00Z</dcterms:modified>
</cp:coreProperties>
</file>