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2E" w:rsidRDefault="00C04E2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50AFE" w:rsidRPr="0048137F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1 </w:t>
      </w:r>
      <w:r w:rsidRPr="00B3158B">
        <w:rPr>
          <w:b/>
          <w:bCs/>
          <w:color w:val="000000"/>
          <w:sz w:val="28"/>
          <w:szCs w:val="28"/>
        </w:rPr>
        <w:t>Определение эффективности использования транспорта</w:t>
      </w:r>
    </w:p>
    <w:p w:rsidR="00650AFE" w:rsidRPr="0048137F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3158B">
        <w:rPr>
          <w:b/>
          <w:color w:val="000000"/>
          <w:sz w:val="28"/>
          <w:szCs w:val="28"/>
        </w:rPr>
        <w:t>Анализ использования грузового автотранспорта</w:t>
      </w:r>
    </w:p>
    <w:p w:rsidR="00650AFE" w:rsidRPr="00B3158B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0AFE" w:rsidRPr="00B3158B" w:rsidRDefault="00650AFE" w:rsidP="00650AF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3158B">
        <w:rPr>
          <w:color w:val="000000"/>
          <w:sz w:val="28"/>
          <w:szCs w:val="28"/>
        </w:rPr>
        <w:t>Для оценки работы грузового автотранспорта применяется целая система частных и обобщающих показателей, которые позволяют оценить работы машин с точки зрения использования времени их работы, скорости движения, пробега, грузоподъемности и т.д., а также производительности работы машин и себестоимость перевозок.</w:t>
      </w:r>
    </w:p>
    <w:p w:rsidR="00650AFE" w:rsidRPr="00B3158B" w:rsidRDefault="00650AFE" w:rsidP="00650AF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3158B">
        <w:rPr>
          <w:color w:val="000000"/>
          <w:sz w:val="28"/>
          <w:szCs w:val="28"/>
        </w:rPr>
        <w:t>Исходные данные для выполнения работы по варианту берутся из приложения 1. Порядок выполнения следующий.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158B">
        <w:rPr>
          <w:color w:val="000000"/>
          <w:sz w:val="28"/>
          <w:szCs w:val="28"/>
        </w:rPr>
        <w:t>Составляется таблица исходных данных по данному варианту согласно приложения 1</w:t>
      </w:r>
      <w:r>
        <w:rPr>
          <w:color w:val="000000"/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3158B">
        <w:rPr>
          <w:color w:val="000000"/>
          <w:sz w:val="28"/>
          <w:szCs w:val="28"/>
        </w:rPr>
        <w:t>Таблица 1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3158B">
        <w:rPr>
          <w:color w:val="000000"/>
          <w:sz w:val="28"/>
          <w:szCs w:val="28"/>
        </w:rPr>
        <w:t>Исходные данные для использования автотранспорта</w:t>
      </w:r>
    </w:p>
    <w:p w:rsidR="00650AFE" w:rsidRPr="00B3158B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6"/>
        <w:gridCol w:w="1577"/>
        <w:gridCol w:w="761"/>
        <w:gridCol w:w="748"/>
        <w:gridCol w:w="598"/>
      </w:tblGrid>
      <w:tr w:rsidR="00650AFE" w:rsidRPr="00B3158B">
        <w:trPr>
          <w:trHeight w:val="626"/>
        </w:trPr>
        <w:tc>
          <w:tcPr>
            <w:tcW w:w="5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Условное </w:t>
            </w:r>
          </w:p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Отчетный </w:t>
            </w:r>
          </w:p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</w:t>
            </w:r>
          </w:p>
        </w:tc>
      </w:tr>
      <w:tr w:rsidR="00650AFE" w:rsidRPr="00B3158B">
        <w:trPr>
          <w:trHeight w:val="478"/>
        </w:trPr>
        <w:tc>
          <w:tcPr>
            <w:tcW w:w="5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+,-</w:t>
            </w:r>
          </w:p>
        </w:tc>
      </w:tr>
      <w:tr w:rsidR="00650AFE" w:rsidRPr="00B3158B">
        <w:trPr>
          <w:trHeight w:val="338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Default="00650AFE" w:rsidP="00650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0AFE" w:rsidRPr="00B3158B">
        <w:trPr>
          <w:trHeight w:val="348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годовое количество машин, шт.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</w:rPr>
            </w:pPr>
            <w:r w:rsidRPr="00766ECB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396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тоннаж машины, т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0D435E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125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8154C7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машино-дней пребывания в хозяйстве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766ECB">
              <w:rPr>
                <w:i/>
                <w:sz w:val="28"/>
                <w:szCs w:val="28"/>
              </w:rPr>
              <w:t>АД</w:t>
            </w:r>
            <w:r w:rsidRPr="00766ECB">
              <w:rPr>
                <w:i/>
                <w:sz w:val="28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410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ч. в работе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</w:rPr>
              <w:t>АД</w:t>
            </w:r>
            <w:r w:rsidRPr="00766ECB">
              <w:rPr>
                <w:i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418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пробег машин, км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L</w:t>
            </w:r>
            <w:r w:rsidRPr="00766ECB">
              <w:rPr>
                <w:i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418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ч. с грузом, км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457CB9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i/>
                <w:sz w:val="28"/>
                <w:szCs w:val="28"/>
                <w:vertAlign w:val="subscript"/>
              </w:rPr>
              <w:t>гр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324"/>
        </w:trPr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Перевезено грузов, 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324"/>
        </w:trPr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FE" w:rsidRPr="00F42009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 тонно-километров, т-км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</w:rPr>
            </w:pPr>
            <w:r w:rsidRPr="00766ECB">
              <w:rPr>
                <w:i/>
                <w:sz w:val="28"/>
                <w:szCs w:val="28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130"/>
        </w:trPr>
        <w:tc>
          <w:tcPr>
            <w:tcW w:w="5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Среднесуточный пробег одной автомашины, км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L</w:t>
            </w:r>
            <w:r w:rsidRPr="00766ECB">
              <w:rPr>
                <w:i/>
                <w:sz w:val="28"/>
                <w:szCs w:val="28"/>
                <w:vertAlign w:val="subscript"/>
              </w:rPr>
              <w:t>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428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продолжительность рабочего дня, 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  <w:lang w:val="en-US"/>
              </w:rPr>
              <w:t>t</w:t>
            </w:r>
            <w:r w:rsidRPr="00766ECB">
              <w:rPr>
                <w:i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766ECB">
              <w:rPr>
                <w:i/>
                <w:sz w:val="28"/>
                <w:szCs w:val="28"/>
                <w:vertAlign w:val="subscript"/>
              </w:rPr>
              <w:t>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B3158B">
        <w:trPr>
          <w:trHeight w:val="662"/>
        </w:trPr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FE" w:rsidRPr="00F42009" w:rsidRDefault="00650AFE" w:rsidP="00650A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работу грузового автотранспорта, тыс. руб.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766ECB" w:rsidRDefault="00650AFE" w:rsidP="00650AFE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66ECB">
              <w:rPr>
                <w:i/>
                <w:sz w:val="28"/>
                <w:szCs w:val="28"/>
              </w:rPr>
              <w:t>З</w:t>
            </w:r>
            <w:r w:rsidRPr="00766ECB">
              <w:rPr>
                <w:i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B3158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812DD">
        <w:rPr>
          <w:b/>
          <w:color w:val="000000"/>
          <w:sz w:val="28"/>
          <w:szCs w:val="28"/>
        </w:rPr>
        <w:t>Методика расчета коэффициентов и показателей</w:t>
      </w:r>
    </w:p>
    <w:p w:rsidR="00650AFE" w:rsidRPr="00E812DD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2DD">
        <w:rPr>
          <w:b/>
          <w:color w:val="000000"/>
          <w:sz w:val="28"/>
          <w:szCs w:val="28"/>
        </w:rPr>
        <w:t>использования грузового транспорта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AA7">
        <w:rPr>
          <w:color w:val="000000"/>
          <w:sz w:val="28"/>
          <w:szCs w:val="28"/>
        </w:rPr>
        <w:t>Отработано одной машиной за отчетный период (месяц) дней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0346E4">
        <w:rPr>
          <w:position w:val="-32"/>
          <w:sz w:val="28"/>
          <w:szCs w:val="28"/>
        </w:rPr>
        <w:object w:dxaOrig="144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1pt" o:ole="">
            <v:imagedata r:id="rId4" o:title=""/>
          </v:shape>
          <o:OLEObject Type="Embed" ProgID="Equation.3" ShapeID="_x0000_i1025" DrawAspect="Content" ObjectID="_1458441283" r:id="rId5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F22AA7">
        <w:rPr>
          <w:i/>
          <w:iCs/>
          <w:color w:val="000000"/>
          <w:sz w:val="28"/>
          <w:szCs w:val="28"/>
        </w:rPr>
        <w:t>А</w:t>
      </w:r>
      <w:r>
        <w:rPr>
          <w:i/>
          <w:iCs/>
          <w:color w:val="000000"/>
          <w:sz w:val="28"/>
          <w:szCs w:val="28"/>
        </w:rPr>
        <w:t>Д</w:t>
      </w:r>
      <w:r>
        <w:rPr>
          <w:i/>
          <w:iCs/>
          <w:color w:val="000000"/>
          <w:sz w:val="28"/>
          <w:szCs w:val="28"/>
          <w:vertAlign w:val="subscript"/>
        </w:rPr>
        <w:t>р</w:t>
      </w:r>
      <w:r>
        <w:rPr>
          <w:i/>
          <w:iCs/>
          <w:color w:val="000000"/>
          <w:sz w:val="28"/>
          <w:szCs w:val="28"/>
        </w:rPr>
        <w:t xml:space="preserve"> –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количество машино-дней пребывания в работе, дней;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left="707" w:firstLine="13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  <w:r w:rsidRPr="00766ECB"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–</w:t>
      </w:r>
      <w:r w:rsidRPr="00F22AA7">
        <w:rPr>
          <w:color w:val="000000"/>
          <w:sz w:val="28"/>
          <w:szCs w:val="28"/>
        </w:rPr>
        <w:t xml:space="preserve"> среднегодовое количество машин, шт.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Средняя техническая скорость, км/час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0A452F">
        <w:rPr>
          <w:position w:val="-54"/>
          <w:sz w:val="28"/>
          <w:szCs w:val="28"/>
        </w:rPr>
        <w:object w:dxaOrig="1300" w:dyaOrig="1219">
          <v:shape id="_x0000_i1026" type="#_x0000_t75" style="width:65.25pt;height:60.75pt" o:ole="">
            <v:imagedata r:id="rId6" o:title=""/>
          </v:shape>
          <o:OLEObject Type="Embed" ProgID="Equation.3" ShapeID="_x0000_i1026" DrawAspect="Content" ObjectID="_1458441284" r:id="rId7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0346E4">
        <w:rPr>
          <w:i/>
          <w:color w:val="000000"/>
          <w:sz w:val="28"/>
          <w:szCs w:val="28"/>
          <w:lang w:val="en-US"/>
        </w:rPr>
        <w:t>L</w:t>
      </w:r>
      <w:r w:rsidRPr="000346E4">
        <w:rPr>
          <w:i/>
          <w:color w:val="000000"/>
          <w:sz w:val="28"/>
          <w:szCs w:val="28"/>
          <w:vertAlign w:val="subscript"/>
        </w:rPr>
        <w:t>сут</w:t>
      </w:r>
      <w:r>
        <w:rPr>
          <w:i/>
          <w:iCs/>
          <w:color w:val="000000"/>
          <w:sz w:val="28"/>
          <w:szCs w:val="28"/>
        </w:rPr>
        <w:t xml:space="preserve"> –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среднесуточный пробег одной автомашины, км;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left="707" w:firstLine="13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0346E4">
        <w:rPr>
          <w:i/>
          <w:color w:val="000000"/>
          <w:sz w:val="28"/>
          <w:szCs w:val="28"/>
          <w:lang w:val="en-US"/>
        </w:rPr>
        <w:t>L</w:t>
      </w:r>
      <w:r w:rsidRPr="000346E4">
        <w:rPr>
          <w:i/>
          <w:color w:val="000000"/>
          <w:sz w:val="28"/>
          <w:szCs w:val="28"/>
          <w:vertAlign w:val="subscript"/>
        </w:rPr>
        <w:t>см</w:t>
      </w:r>
      <w:r w:rsidRPr="00F22A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F22AA7">
        <w:rPr>
          <w:color w:val="000000"/>
          <w:sz w:val="28"/>
          <w:szCs w:val="28"/>
        </w:rPr>
        <w:t>средняя продолжительность рабочего дня, час.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нахождения машины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а) в наряде; ч: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0346E4">
        <w:rPr>
          <w:position w:val="-20"/>
          <w:sz w:val="28"/>
          <w:szCs w:val="28"/>
        </w:rPr>
        <w:object w:dxaOrig="1980" w:dyaOrig="440">
          <v:shape id="_x0000_i1027" type="#_x0000_t75" style="width:99pt;height:21.75pt" o:ole="">
            <v:imagedata r:id="rId8" o:title=""/>
          </v:shape>
          <o:OLEObject Type="Embed" ProgID="Equation.3" ShapeID="_x0000_i1027" DrawAspect="Content" ObjectID="_1458441285" r:id="rId9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ab/>
      </w:r>
      <w:r w:rsidRPr="00F22AA7">
        <w:rPr>
          <w:i/>
          <w:iCs/>
          <w:color w:val="000000"/>
          <w:sz w:val="28"/>
          <w:szCs w:val="28"/>
        </w:rPr>
        <w:t>АД</w:t>
      </w:r>
      <w:r w:rsidRPr="00F22AA7">
        <w:rPr>
          <w:i/>
          <w:iCs/>
          <w:color w:val="000000"/>
          <w:sz w:val="28"/>
          <w:szCs w:val="28"/>
          <w:vertAlign w:val="subscript"/>
        </w:rPr>
        <w:t>Х</w:t>
      </w:r>
      <w:r>
        <w:rPr>
          <w:i/>
          <w:iCs/>
          <w:color w:val="000000"/>
          <w:sz w:val="28"/>
          <w:szCs w:val="28"/>
        </w:rPr>
        <w:t xml:space="preserve"> –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количество машино-дней нахождения в хозяйстве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б) в пробеге,</w:t>
      </w:r>
      <w:r>
        <w:rPr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ч.: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0346E4">
        <w:rPr>
          <w:position w:val="-24"/>
          <w:sz w:val="28"/>
          <w:szCs w:val="28"/>
        </w:rPr>
        <w:object w:dxaOrig="2060" w:dyaOrig="480">
          <v:shape id="_x0000_i1028" type="#_x0000_t75" style="width:102.75pt;height:24pt" o:ole="">
            <v:imagedata r:id="rId10" o:title=""/>
          </v:shape>
          <o:OLEObject Type="Embed" ProgID="Equation.3" ShapeID="_x0000_i1028" DrawAspect="Content" ObjectID="_1458441286" r:id="rId11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F22AA7">
        <w:rPr>
          <w:i/>
          <w:iCs/>
          <w:color w:val="000000"/>
          <w:sz w:val="28"/>
          <w:szCs w:val="28"/>
        </w:rPr>
        <w:t>АД</w:t>
      </w:r>
      <w:r w:rsidRPr="00F22AA7">
        <w:rPr>
          <w:i/>
          <w:iCs/>
          <w:color w:val="000000"/>
          <w:sz w:val="28"/>
          <w:szCs w:val="28"/>
          <w:vertAlign w:val="subscript"/>
        </w:rPr>
        <w:t>р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F22AA7">
        <w:rPr>
          <w:color w:val="000000"/>
          <w:sz w:val="28"/>
          <w:szCs w:val="28"/>
        </w:rPr>
        <w:t>количество машино-дней нахождения в работе.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Средняя загруженность машины,</w:t>
      </w:r>
      <w:r>
        <w:rPr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т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A37D4">
        <w:rPr>
          <w:position w:val="-38"/>
          <w:sz w:val="28"/>
          <w:szCs w:val="28"/>
        </w:rPr>
        <w:object w:dxaOrig="1240" w:dyaOrig="780">
          <v:shape id="_x0000_i1029" type="#_x0000_t75" style="width:62.25pt;height:39pt" o:ole="">
            <v:imagedata r:id="rId12" o:title=""/>
          </v:shape>
          <o:OLEObject Type="Embed" ProgID="Equation.3" ShapeID="_x0000_i1029" DrawAspect="Content" ObjectID="_1458441287" r:id="rId13"/>
        </w:object>
      </w:r>
      <w:r>
        <w:rPr>
          <w:sz w:val="28"/>
          <w:szCs w:val="28"/>
        </w:rPr>
        <w:t>,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4A37D4">
        <w:rPr>
          <w:i/>
          <w:color w:val="000000"/>
          <w:sz w:val="28"/>
          <w:szCs w:val="28"/>
        </w:rPr>
        <w:t>Р</w:t>
      </w:r>
      <w:r w:rsidRPr="00F22A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F22AA7">
        <w:rPr>
          <w:color w:val="000000"/>
          <w:sz w:val="28"/>
          <w:szCs w:val="28"/>
        </w:rPr>
        <w:t>выполнено тонно-километров (грузооборот),т-км</w:t>
      </w:r>
      <w:r>
        <w:rPr>
          <w:color w:val="000000"/>
          <w:sz w:val="28"/>
          <w:szCs w:val="28"/>
        </w:rPr>
        <w:t>;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en-US"/>
        </w:rPr>
        <w:t>L</w:t>
      </w:r>
      <w:r>
        <w:rPr>
          <w:i/>
          <w:iCs/>
          <w:color w:val="000000"/>
          <w:sz w:val="28"/>
          <w:szCs w:val="28"/>
          <w:vertAlign w:val="subscript"/>
        </w:rPr>
        <w:t>гр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F22AA7">
        <w:rPr>
          <w:color w:val="000000"/>
          <w:sz w:val="28"/>
          <w:szCs w:val="28"/>
        </w:rPr>
        <w:t>общий пробег машин с грузом, км.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Коэффициент использования в работе: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A37D4">
        <w:rPr>
          <w:position w:val="-38"/>
          <w:sz w:val="28"/>
          <w:szCs w:val="28"/>
        </w:rPr>
        <w:object w:dxaOrig="1400" w:dyaOrig="900">
          <v:shape id="_x0000_i1030" type="#_x0000_t75" style="width:69.75pt;height:45pt" o:ole="">
            <v:imagedata r:id="rId14" o:title=""/>
          </v:shape>
          <o:OLEObject Type="Embed" ProgID="Equation.3" ShapeID="_x0000_i1030" DrawAspect="Content" ObjectID="_1458441288" r:id="rId15"/>
        </w:object>
      </w:r>
      <w:r>
        <w:rPr>
          <w:sz w:val="28"/>
          <w:szCs w:val="28"/>
        </w:rPr>
        <w:t>,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Коэффициент использования пробега: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2D70D3">
        <w:rPr>
          <w:position w:val="-44"/>
          <w:sz w:val="28"/>
          <w:szCs w:val="28"/>
        </w:rPr>
        <w:object w:dxaOrig="1260" w:dyaOrig="900">
          <v:shape id="_x0000_i1031" type="#_x0000_t75" style="width:63pt;height:45pt" o:ole="">
            <v:imagedata r:id="rId16" o:title=""/>
          </v:shape>
          <o:OLEObject Type="Embed" ProgID="Equation.3" ShapeID="_x0000_i1031" DrawAspect="Content" ObjectID="_1458441289" r:id="rId17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ab/>
      </w:r>
      <w:r w:rsidRPr="002D70D3">
        <w:rPr>
          <w:i/>
          <w:color w:val="000000"/>
          <w:sz w:val="28"/>
          <w:szCs w:val="28"/>
          <w:lang w:val="en-US"/>
        </w:rPr>
        <w:t>L</w:t>
      </w:r>
      <w:r w:rsidRPr="002D70D3">
        <w:rPr>
          <w:i/>
          <w:color w:val="000000"/>
          <w:sz w:val="28"/>
          <w:szCs w:val="28"/>
          <w:vertAlign w:val="subscript"/>
        </w:rPr>
        <w:t>общ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F22AA7">
        <w:rPr>
          <w:i/>
          <w:iCs/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общий пробег машин,</w:t>
      </w:r>
      <w:r w:rsidRPr="00B231E2">
        <w:rPr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км.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AA7">
        <w:rPr>
          <w:color w:val="000000"/>
          <w:sz w:val="28"/>
          <w:szCs w:val="28"/>
        </w:rPr>
        <w:t>Коэффициент использования тонна</w:t>
      </w:r>
      <w:r>
        <w:rPr>
          <w:color w:val="000000"/>
          <w:sz w:val="28"/>
          <w:szCs w:val="28"/>
        </w:rPr>
        <w:t>жа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231E2">
        <w:rPr>
          <w:color w:val="000000"/>
          <w:position w:val="-38"/>
          <w:sz w:val="28"/>
          <w:szCs w:val="28"/>
        </w:rPr>
        <w:object w:dxaOrig="1660" w:dyaOrig="760">
          <v:shape id="_x0000_i1032" type="#_x0000_t75" style="width:83.25pt;height:38.25pt" o:ole="">
            <v:imagedata r:id="rId18" o:title=""/>
          </v:shape>
          <o:OLEObject Type="Embed" ProgID="Equation.3" ShapeID="_x0000_i1032" DrawAspect="Content" ObjectID="_1458441290" r:id="rId19"/>
        </w:object>
      </w:r>
      <w:r>
        <w:rPr>
          <w:color w:val="000000"/>
          <w:sz w:val="28"/>
          <w:szCs w:val="28"/>
        </w:rPr>
        <w:t>,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B231E2">
        <w:rPr>
          <w:i/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 xml:space="preserve"> – </w:t>
      </w:r>
      <w:r w:rsidRPr="00F22AA7">
        <w:rPr>
          <w:color w:val="000000"/>
          <w:sz w:val="28"/>
          <w:szCs w:val="28"/>
        </w:rPr>
        <w:t>средний тоннаж машины,</w:t>
      </w:r>
      <w:r w:rsidRPr="00B231E2">
        <w:rPr>
          <w:color w:val="000000"/>
          <w:sz w:val="28"/>
          <w:szCs w:val="28"/>
        </w:rPr>
        <w:t xml:space="preserve"> </w:t>
      </w:r>
      <w:r w:rsidRPr="00F22AA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Себестоимость 1 т-км.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231E2">
        <w:rPr>
          <w:position w:val="-30"/>
          <w:sz w:val="28"/>
          <w:szCs w:val="28"/>
        </w:rPr>
        <w:object w:dxaOrig="1780" w:dyaOrig="840">
          <v:shape id="_x0000_i1033" type="#_x0000_t75" style="width:89.25pt;height:42pt" o:ole="">
            <v:imagedata r:id="rId20" o:title=""/>
          </v:shape>
          <o:OLEObject Type="Embed" ProgID="Equation.3" ShapeID="_x0000_i1033" DrawAspect="Content" ObjectID="_1458441291" r:id="rId21"/>
        </w:object>
      </w:r>
      <w:r>
        <w:rPr>
          <w:sz w:val="28"/>
          <w:szCs w:val="28"/>
        </w:rPr>
        <w:t>,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2AA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ab/>
      </w:r>
      <w:r w:rsidRPr="00F22AA7">
        <w:rPr>
          <w:i/>
          <w:iCs/>
          <w:color w:val="000000"/>
          <w:sz w:val="28"/>
          <w:szCs w:val="28"/>
        </w:rPr>
        <w:t>З</w:t>
      </w:r>
      <w:r>
        <w:rPr>
          <w:i/>
          <w:iCs/>
          <w:color w:val="000000"/>
          <w:sz w:val="28"/>
          <w:szCs w:val="28"/>
          <w:vertAlign w:val="subscript"/>
        </w:rPr>
        <w:t>общ</w:t>
      </w:r>
      <w:r>
        <w:rPr>
          <w:iCs/>
          <w:color w:val="000000"/>
          <w:sz w:val="28"/>
          <w:szCs w:val="28"/>
        </w:rPr>
        <w:t xml:space="preserve"> – </w:t>
      </w:r>
      <w:r w:rsidRPr="00F22AA7">
        <w:rPr>
          <w:color w:val="000000"/>
          <w:sz w:val="28"/>
          <w:szCs w:val="28"/>
        </w:rPr>
        <w:t>затраты на работу грузового автотранспорта</w:t>
      </w:r>
      <w:r>
        <w:rPr>
          <w:color w:val="000000"/>
          <w:sz w:val="28"/>
          <w:szCs w:val="28"/>
        </w:rPr>
        <w:t>.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AA7">
        <w:rPr>
          <w:color w:val="000000"/>
          <w:sz w:val="28"/>
          <w:szCs w:val="28"/>
        </w:rPr>
        <w:t xml:space="preserve">Себестоимость </w:t>
      </w:r>
      <w:smartTag w:uri="urn:schemas-microsoft-com:office:smarttags" w:element="metricconverter">
        <w:smartTagPr>
          <w:attr w:name="ProductID" w:val="1 км"/>
        </w:smartTagPr>
        <w:r w:rsidRPr="00F22AA7">
          <w:rPr>
            <w:color w:val="000000"/>
            <w:sz w:val="28"/>
            <w:szCs w:val="28"/>
          </w:rPr>
          <w:t>1 км</w:t>
        </w:r>
      </w:smartTag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 w:rsidRPr="00B231E2">
        <w:rPr>
          <w:position w:val="-44"/>
          <w:sz w:val="28"/>
          <w:szCs w:val="28"/>
        </w:rPr>
        <w:object w:dxaOrig="1540" w:dyaOrig="980">
          <v:shape id="_x0000_i1034" type="#_x0000_t75" style="width:77.25pt;height:48.75pt" o:ole="">
            <v:imagedata r:id="rId22" o:title=""/>
          </v:shape>
          <o:OLEObject Type="Embed" ProgID="Equation.3" ShapeID="_x0000_i1034" DrawAspect="Content" ObjectID="_1458441292" r:id="rId23"/>
        </w:object>
      </w:r>
      <w:r>
        <w:rPr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Среднее расстояние перевозок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231E2">
        <w:rPr>
          <w:position w:val="-30"/>
          <w:sz w:val="28"/>
          <w:szCs w:val="28"/>
        </w:rPr>
        <w:object w:dxaOrig="900" w:dyaOrig="700">
          <v:shape id="_x0000_i1035" type="#_x0000_t75" style="width:45pt;height:35.25pt" o:ole="">
            <v:imagedata r:id="rId24" o:title=""/>
          </v:shape>
          <o:OLEObject Type="Embed" ProgID="Equation.3" ShapeID="_x0000_i1035" DrawAspect="Content" ObjectID="_1458441293" r:id="rId25"/>
        </w:object>
      </w:r>
      <w:r>
        <w:rPr>
          <w:sz w:val="28"/>
          <w:szCs w:val="28"/>
        </w:rPr>
        <w:t>,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ab/>
      </w:r>
      <w:r w:rsidRPr="00B231E2">
        <w:rPr>
          <w:i/>
          <w:color w:val="000000"/>
          <w:sz w:val="28"/>
          <w:szCs w:val="28"/>
          <w:lang w:val="en-US"/>
        </w:rPr>
        <w:t>Q</w:t>
      </w:r>
      <w:r w:rsidRPr="00F22A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F22AA7">
        <w:rPr>
          <w:color w:val="000000"/>
          <w:sz w:val="28"/>
          <w:szCs w:val="28"/>
        </w:rPr>
        <w:t xml:space="preserve"> общий объем перевозок, т</w:t>
      </w:r>
    </w:p>
    <w:p w:rsidR="00650AFE" w:rsidRPr="00F22AA7" w:rsidRDefault="00650AFE" w:rsidP="00650AFE">
      <w:pPr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 xml:space="preserve">Производительность на среднесписочную </w:t>
      </w:r>
      <w:r>
        <w:rPr>
          <w:color w:val="000000"/>
          <w:sz w:val="28"/>
          <w:szCs w:val="28"/>
        </w:rPr>
        <w:t>машино</w:t>
      </w:r>
      <w:r w:rsidRPr="00F22AA7">
        <w:rPr>
          <w:color w:val="000000"/>
          <w:sz w:val="28"/>
          <w:szCs w:val="28"/>
        </w:rPr>
        <w:t>-тонну пребывания в хозяйстве</w:t>
      </w:r>
    </w:p>
    <w:p w:rsidR="00650AFE" w:rsidRPr="00F22AA7" w:rsidRDefault="00650AFE" w:rsidP="00650AFE">
      <w:pPr>
        <w:jc w:val="center"/>
        <w:rPr>
          <w:color w:val="000000"/>
          <w:sz w:val="28"/>
          <w:szCs w:val="28"/>
        </w:rPr>
      </w:pPr>
      <w:r w:rsidRPr="007B0517">
        <w:rPr>
          <w:color w:val="000000"/>
          <w:position w:val="-44"/>
          <w:sz w:val="28"/>
          <w:szCs w:val="28"/>
        </w:rPr>
        <w:object w:dxaOrig="1340" w:dyaOrig="859">
          <v:shape id="_x0000_i1036" type="#_x0000_t75" style="width:66.75pt;height:42.75pt" o:ole="">
            <v:imagedata r:id="rId26" o:title=""/>
          </v:shape>
          <o:OLEObject Type="Embed" ProgID="Equation.3" ShapeID="_x0000_i1036" DrawAspect="Content" ObjectID="_1458441294" r:id="rId27"/>
        </w:object>
      </w:r>
      <w:r>
        <w:rPr>
          <w:color w:val="000000"/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Месячная производительность на среднесписочную машину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B0517">
        <w:rPr>
          <w:color w:val="000000"/>
          <w:position w:val="-28"/>
          <w:sz w:val="28"/>
          <w:szCs w:val="28"/>
        </w:rPr>
        <w:object w:dxaOrig="1400" w:dyaOrig="700">
          <v:shape id="_x0000_i1037" type="#_x0000_t75" style="width:69.75pt;height:35.25pt" o:ole="">
            <v:imagedata r:id="rId28" o:title=""/>
          </v:shape>
          <o:OLEObject Type="Embed" ProgID="Equation.3" ShapeID="_x0000_i1037" DrawAspect="Content" ObjectID="_1458441295" r:id="rId29"/>
        </w:object>
      </w:r>
      <w:r>
        <w:rPr>
          <w:color w:val="000000"/>
          <w:sz w:val="28"/>
          <w:szCs w:val="28"/>
        </w:rPr>
        <w:t>.</w:t>
      </w:r>
    </w:p>
    <w:p w:rsidR="00650AFE" w:rsidRPr="00F22AA7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AA7">
        <w:rPr>
          <w:color w:val="000000"/>
          <w:sz w:val="28"/>
          <w:szCs w:val="28"/>
        </w:rPr>
        <w:t>Дневная производительность одного списочного автомобиля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B0517">
        <w:rPr>
          <w:color w:val="000000"/>
          <w:position w:val="-48"/>
          <w:sz w:val="28"/>
          <w:szCs w:val="28"/>
        </w:rPr>
        <w:object w:dxaOrig="1700" w:dyaOrig="900">
          <v:shape id="_x0000_i1038" type="#_x0000_t75" style="width:84.75pt;height:45pt" o:ole="">
            <v:imagedata r:id="rId30" o:title=""/>
          </v:shape>
          <o:OLEObject Type="Embed" ProgID="Equation.3" ShapeID="_x0000_i1038" DrawAspect="Content" ObjectID="_1458441296" r:id="rId31"/>
        </w:object>
      </w:r>
      <w:r>
        <w:rPr>
          <w:color w:val="000000"/>
          <w:sz w:val="28"/>
          <w:szCs w:val="28"/>
        </w:rPr>
        <w:t>.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 xml:space="preserve">Показатели использования подвижного грузового состава сводятся в таблицу </w:t>
      </w:r>
      <w:r>
        <w:rPr>
          <w:color w:val="000000"/>
          <w:sz w:val="28"/>
          <w:szCs w:val="28"/>
        </w:rPr>
        <w:t>1.</w:t>
      </w:r>
      <w:r w:rsidRPr="00F22AA7">
        <w:rPr>
          <w:color w:val="000000"/>
          <w:sz w:val="28"/>
          <w:szCs w:val="28"/>
        </w:rPr>
        <w:t xml:space="preserve">2, рассчитывая согласно методики расчета на основании данных таблицы </w:t>
      </w:r>
      <w:r>
        <w:rPr>
          <w:color w:val="000000"/>
          <w:sz w:val="28"/>
          <w:szCs w:val="28"/>
        </w:rPr>
        <w:t>1.</w:t>
      </w:r>
      <w:r w:rsidRPr="00F22AA7">
        <w:rPr>
          <w:color w:val="000000"/>
          <w:sz w:val="28"/>
          <w:szCs w:val="28"/>
        </w:rPr>
        <w:t>1.</w:t>
      </w:r>
    </w:p>
    <w:p w:rsidR="00650AFE" w:rsidRPr="006B38EF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По результатам расчета таблицы </w:t>
      </w:r>
      <w:r>
        <w:rPr>
          <w:color w:val="000000"/>
          <w:sz w:val="28"/>
          <w:szCs w:val="28"/>
        </w:rPr>
        <w:t>1.</w:t>
      </w:r>
      <w:r w:rsidRPr="006B38EF">
        <w:rPr>
          <w:color w:val="000000"/>
          <w:sz w:val="28"/>
          <w:szCs w:val="28"/>
        </w:rPr>
        <w:t>2 необходимо провести анализ использования автомобилей по всем расчетным показателям и наметить пути по выявлению резерва улучшения использования автомашин как за счет эк</w:t>
      </w:r>
      <w:r>
        <w:rPr>
          <w:color w:val="000000"/>
          <w:sz w:val="28"/>
          <w:szCs w:val="28"/>
        </w:rPr>
        <w:t>с</w:t>
      </w:r>
      <w:r w:rsidRPr="006B38EF">
        <w:rPr>
          <w:color w:val="000000"/>
          <w:sz w:val="28"/>
          <w:szCs w:val="28"/>
        </w:rPr>
        <w:t>тенсификации увеличения занятости машин за отчетный период, так и за счет интенсификации. Наметить мероприятия и сделать заключение.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Далее из таблицы </w:t>
      </w:r>
      <w:r>
        <w:rPr>
          <w:color w:val="000000"/>
          <w:sz w:val="28"/>
          <w:szCs w:val="28"/>
        </w:rPr>
        <w:t>1.</w:t>
      </w:r>
      <w:r w:rsidRPr="006B38EF">
        <w:rPr>
          <w:color w:val="000000"/>
          <w:sz w:val="28"/>
          <w:szCs w:val="28"/>
        </w:rPr>
        <w:t>1 необходимо установить, как изменяются плановые показатели по сравнению с фактическими и определить неиспользованные резервы увеличения объема грузооборота, проведя факторный анализ этого показателя.</w:t>
      </w:r>
    </w:p>
    <w:p w:rsidR="00C50EEF" w:rsidRDefault="00C50EEF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>Детерминированная модель факторной системы объема грузооборота имеет следующий вид: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0A452F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32" o:title=""/>
          </v:shape>
          <o:OLEObject Type="Embed" ProgID="Equation.3" ShapeID="_x0000_i1039" DrawAspect="Content" ObjectID="_1458441297" r:id="rId33"/>
        </w:object>
      </w:r>
      <w:r w:rsidRPr="001816FB">
        <w:rPr>
          <w:position w:val="-24"/>
          <w:sz w:val="28"/>
          <w:szCs w:val="28"/>
        </w:rPr>
        <w:object w:dxaOrig="4459" w:dyaOrig="480">
          <v:shape id="_x0000_i1040" type="#_x0000_t75" style="width:222.75pt;height:24pt" o:ole="">
            <v:imagedata r:id="rId34" o:title=""/>
          </v:shape>
          <o:OLEObject Type="Embed" ProgID="Equation.3" ShapeID="_x0000_i1040" DrawAspect="Content" ObjectID="_1458441298" r:id="rId35"/>
        </w:object>
      </w:r>
      <w:r w:rsidR="00C50EEF">
        <w:rPr>
          <w:sz w:val="28"/>
          <w:szCs w:val="28"/>
        </w:rPr>
        <w:t>.</w:t>
      </w:r>
    </w:p>
    <w:p w:rsidR="00C50EEF" w:rsidRDefault="00650AFE" w:rsidP="00C50EE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1.</w:t>
      </w:r>
      <w:r w:rsidRPr="00F22AA7">
        <w:rPr>
          <w:color w:val="000000"/>
          <w:sz w:val="28"/>
          <w:szCs w:val="28"/>
        </w:rPr>
        <w:t>2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22AA7">
        <w:rPr>
          <w:color w:val="000000"/>
          <w:sz w:val="28"/>
          <w:szCs w:val="28"/>
        </w:rPr>
        <w:t>Эффективность использования автомобильного транспорта</w:t>
      </w:r>
    </w:p>
    <w:p w:rsidR="00C50EEF" w:rsidRPr="00F22AA7" w:rsidRDefault="00C50EEF" w:rsidP="00650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94"/>
        <w:gridCol w:w="1581"/>
        <w:gridCol w:w="899"/>
        <w:gridCol w:w="758"/>
        <w:gridCol w:w="403"/>
      </w:tblGrid>
      <w:tr w:rsidR="00650AFE" w:rsidRPr="007B0517">
        <w:trPr>
          <w:trHeight w:val="360"/>
        </w:trPr>
        <w:tc>
          <w:tcPr>
            <w:tcW w:w="3119" w:type="pct"/>
            <w:vMerge w:val="restar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92" w:type="pct"/>
            <w:vMerge w:val="restart"/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Услов</w:t>
            </w:r>
            <w:r>
              <w:rPr>
                <w:color w:val="000000"/>
                <w:sz w:val="28"/>
                <w:szCs w:val="28"/>
              </w:rPr>
              <w:t>-</w:t>
            </w:r>
          </w:p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ные обозначения</w:t>
            </w:r>
          </w:p>
        </w:tc>
        <w:tc>
          <w:tcPr>
            <w:tcW w:w="1190" w:type="pct"/>
            <w:gridSpan w:val="3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650AFE" w:rsidRPr="007B0517">
        <w:trPr>
          <w:trHeight w:val="386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b/>
                <w:bCs/>
                <w:color w:val="000000"/>
                <w:sz w:val="28"/>
                <w:szCs w:val="28"/>
              </w:rPr>
              <w:t>+,-</w:t>
            </w:r>
          </w:p>
        </w:tc>
      </w:tr>
      <w:tr w:rsidR="00650AFE" w:rsidRPr="007B0517">
        <w:trPr>
          <w:trHeight w:val="324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91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Коэффициент использования пробега</w:t>
            </w: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7B0517">
              <w:rPr>
                <w:i/>
                <w:sz w:val="28"/>
                <w:szCs w:val="28"/>
              </w:rPr>
              <w:t>β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32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Коэффициент использования грузоподъемности</w:t>
            </w: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B0517">
              <w:rPr>
                <w:i/>
                <w:sz w:val="28"/>
                <w:szCs w:val="28"/>
              </w:rPr>
              <w:t>γ</w:t>
            </w:r>
            <w:r w:rsidRPr="007B0517">
              <w:rPr>
                <w:i/>
                <w:sz w:val="28"/>
                <w:szCs w:val="28"/>
                <w:vertAlign w:val="subscript"/>
              </w:rPr>
              <w:t>СТ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41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Коэффициент использования в работе</w:t>
            </w: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7B0517">
              <w:rPr>
                <w:i/>
                <w:sz w:val="28"/>
                <w:szCs w:val="28"/>
              </w:rPr>
              <w:t>К</w:t>
            </w:r>
            <w:r w:rsidRPr="007B0517">
              <w:rPr>
                <w:i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634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Отработано одной машиной за отчетный период, дней</w:t>
            </w:r>
          </w:p>
        </w:tc>
        <w:tc>
          <w:tcPr>
            <w:tcW w:w="692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bscript"/>
              </w:rPr>
            </w:pPr>
            <w:r w:rsidRPr="007B0517">
              <w:rPr>
                <w:i/>
                <w:sz w:val="28"/>
                <w:szCs w:val="28"/>
              </w:rPr>
              <w:t>Д</w:t>
            </w:r>
            <w:r w:rsidRPr="007B0517">
              <w:rPr>
                <w:i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74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Среднее расстояние перевозок, км</w:t>
            </w:r>
          </w:p>
        </w:tc>
        <w:tc>
          <w:tcPr>
            <w:tcW w:w="692" w:type="pct"/>
            <w:shd w:val="clear" w:color="auto" w:fill="FFFFFF"/>
          </w:tcPr>
          <w:p w:rsidR="00650AFE" w:rsidRPr="00457CB9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bscript"/>
              </w:rPr>
            </w:pPr>
            <w:r w:rsidRPr="006A51BC"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i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216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Средняя техническая скорость, км/ч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V</w:t>
            </w:r>
            <w:r w:rsidRPr="006A51BC">
              <w:rPr>
                <w:i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239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Время нахождения машины в наряде, ч.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A51BC">
              <w:rPr>
                <w:bCs/>
                <w:i/>
                <w:iCs/>
                <w:color w:val="000000"/>
                <w:sz w:val="28"/>
                <w:szCs w:val="28"/>
              </w:rPr>
              <w:t>АЧ</w:t>
            </w:r>
            <w:r w:rsidRPr="006A51BC">
              <w:rPr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278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Время нахождения машины в пробеге, ч.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A51BC">
              <w:rPr>
                <w:bCs/>
                <w:i/>
                <w:iCs/>
                <w:color w:val="000000"/>
                <w:sz w:val="28"/>
                <w:szCs w:val="28"/>
              </w:rPr>
              <w:t>АЧ</w:t>
            </w:r>
            <w:r w:rsidRPr="006A51BC">
              <w:rPr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74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Средняя загруженность машины</w:t>
            </w:r>
            <w:r>
              <w:rPr>
                <w:color w:val="000000"/>
                <w:sz w:val="28"/>
                <w:szCs w:val="28"/>
              </w:rPr>
              <w:t>, т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 w:rsidRPr="006A51BC">
              <w:rPr>
                <w:sz w:val="28"/>
                <w:szCs w:val="28"/>
                <w:lang w:val="en-US"/>
              </w:rPr>
              <w:t>q</w:t>
            </w:r>
            <w:r w:rsidRPr="006A51BC">
              <w:rPr>
                <w:sz w:val="28"/>
                <w:szCs w:val="28"/>
                <w:vertAlign w:val="subscript"/>
              </w:rPr>
              <w:t>ср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643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Производительность на среднесписочную машин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7B0517">
              <w:rPr>
                <w:color w:val="000000"/>
                <w:sz w:val="28"/>
                <w:szCs w:val="28"/>
              </w:rPr>
              <w:t>-тонну нахождения в хозяйстве ,т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 w:rsidRPr="006A51BC"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т-км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Месячная производительность, т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т-км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Дневная производительность 1-го списочного автомобиля, т</w:t>
            </w:r>
          </w:p>
        </w:tc>
        <w:tc>
          <w:tcPr>
            <w:tcW w:w="692" w:type="pct"/>
            <w:shd w:val="clear" w:color="auto" w:fill="FFFFFF"/>
          </w:tcPr>
          <w:p w:rsidR="00650AFE" w:rsidRPr="001816FB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  <w:vertAlign w:val="subscript"/>
              </w:rPr>
              <w:t>ДН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т-км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Себестоимость, руб. км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</w:rPr>
              <w:t>км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7B0517">
        <w:trPr>
          <w:trHeight w:val="360"/>
        </w:trPr>
        <w:tc>
          <w:tcPr>
            <w:tcW w:w="3119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517">
              <w:rPr>
                <w:color w:val="000000"/>
                <w:sz w:val="28"/>
                <w:szCs w:val="28"/>
              </w:rPr>
              <w:t>т-км</w:t>
            </w:r>
          </w:p>
        </w:tc>
        <w:tc>
          <w:tcPr>
            <w:tcW w:w="692" w:type="pct"/>
            <w:shd w:val="clear" w:color="auto" w:fill="FFFFFF"/>
          </w:tcPr>
          <w:p w:rsidR="00650AFE" w:rsidRPr="006A51BC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</w:rPr>
              <w:t>т-км</w:t>
            </w:r>
          </w:p>
        </w:tc>
        <w:tc>
          <w:tcPr>
            <w:tcW w:w="525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/>
          </w:tcPr>
          <w:p w:rsidR="00650AFE" w:rsidRPr="007B0517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влияния этих факторов на объем грузооборота можно выполнить с помощью способа абсолютных разниц: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16FB">
        <w:rPr>
          <w:position w:val="-24"/>
          <w:sz w:val="28"/>
          <w:szCs w:val="28"/>
        </w:rPr>
        <w:object w:dxaOrig="5980" w:dyaOrig="620">
          <v:shape id="_x0000_i1041" type="#_x0000_t75" style="width:299.25pt;height:30.75pt" o:ole="">
            <v:imagedata r:id="rId36" o:title=""/>
          </v:shape>
          <o:OLEObject Type="Embed" ProgID="Equation.3" ShapeID="_x0000_i1041" DrawAspect="Content" ObjectID="_1458441299" r:id="rId37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543">
        <w:rPr>
          <w:position w:val="-20"/>
          <w:sz w:val="28"/>
          <w:szCs w:val="28"/>
        </w:rPr>
        <w:object w:dxaOrig="5920" w:dyaOrig="440">
          <v:shape id="_x0000_i1042" type="#_x0000_t75" style="width:296.25pt;height:21.75pt" o:ole="">
            <v:imagedata r:id="rId38" o:title=""/>
          </v:shape>
          <o:OLEObject Type="Embed" ProgID="Equation.3" ShapeID="_x0000_i1042" DrawAspect="Content" ObjectID="_1458441300" r:id="rId39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8E7">
        <w:rPr>
          <w:position w:val="-40"/>
          <w:sz w:val="28"/>
          <w:szCs w:val="28"/>
        </w:rPr>
        <w:object w:dxaOrig="5720" w:dyaOrig="780">
          <v:shape id="_x0000_i1043" type="#_x0000_t75" style="width:285.75pt;height:39pt" o:ole="">
            <v:imagedata r:id="rId40" o:title=""/>
          </v:shape>
          <o:OLEObject Type="Embed" ProgID="Equation.3" ShapeID="_x0000_i1043" DrawAspect="Content" ObjectID="_1458441301" r:id="rId41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8E7">
        <w:rPr>
          <w:position w:val="-40"/>
          <w:sz w:val="28"/>
          <w:szCs w:val="28"/>
        </w:rPr>
        <w:object w:dxaOrig="7740" w:dyaOrig="639">
          <v:shape id="_x0000_i1044" type="#_x0000_t75" style="width:387pt;height:32.25pt" o:ole="">
            <v:imagedata r:id="rId42" o:title=""/>
          </v:shape>
          <o:OLEObject Type="Embed" ProgID="Equation.3" ShapeID="_x0000_i1044" DrawAspect="Content" ObjectID="_1458441302" r:id="rId43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734">
        <w:rPr>
          <w:position w:val="-34"/>
          <w:sz w:val="28"/>
          <w:szCs w:val="28"/>
        </w:rPr>
        <w:object w:dxaOrig="5880" w:dyaOrig="720">
          <v:shape id="_x0000_i1045" type="#_x0000_t75" style="width:294pt;height:36pt" o:ole="">
            <v:imagedata r:id="rId44" o:title=""/>
          </v:shape>
          <o:OLEObject Type="Embed" ProgID="Equation.3" ShapeID="_x0000_i1045" DrawAspect="Content" ObjectID="_1458441303" r:id="rId45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734">
        <w:rPr>
          <w:position w:val="-34"/>
          <w:sz w:val="28"/>
          <w:szCs w:val="28"/>
        </w:rPr>
        <w:object w:dxaOrig="6180" w:dyaOrig="580">
          <v:shape id="_x0000_i1046" type="#_x0000_t75" style="width:309pt;height:29.25pt" o:ole="">
            <v:imagedata r:id="rId46" o:title=""/>
          </v:shape>
          <o:OLEObject Type="Embed" ProgID="Equation.3" ShapeID="_x0000_i1046" DrawAspect="Content" ObjectID="_1458441304" r:id="rId47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734">
        <w:rPr>
          <w:position w:val="-40"/>
          <w:sz w:val="28"/>
          <w:szCs w:val="28"/>
        </w:rPr>
        <w:object w:dxaOrig="6060" w:dyaOrig="780">
          <v:shape id="_x0000_i1047" type="#_x0000_t75" style="width:303pt;height:39pt" o:ole="">
            <v:imagedata r:id="rId48" o:title=""/>
          </v:shape>
          <o:OLEObject Type="Embed" ProgID="Equation.3" ShapeID="_x0000_i1047" DrawAspect="Content" ObjectID="_1458441305" r:id="rId49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40"/>
          <w:sz w:val="28"/>
          <w:szCs w:val="28"/>
        </w:rPr>
        <w:object w:dxaOrig="7960" w:dyaOrig="639">
          <v:shape id="_x0000_i1048" type="#_x0000_t75" style="width:398.25pt;height:32.25pt" o:ole="">
            <v:imagedata r:id="rId50" o:title=""/>
          </v:shape>
          <o:OLEObject Type="Embed" ProgID="Equation.3" ShapeID="_x0000_i1048" DrawAspect="Content" ObjectID="_1458441306" r:id="rId51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34"/>
          <w:sz w:val="28"/>
          <w:szCs w:val="28"/>
        </w:rPr>
        <w:object w:dxaOrig="5980" w:dyaOrig="720">
          <v:shape id="_x0000_i1049" type="#_x0000_t75" style="width:299.25pt;height:36pt" o:ole="">
            <v:imagedata r:id="rId52" o:title=""/>
          </v:shape>
          <o:OLEObject Type="Embed" ProgID="Equation.3" ShapeID="_x0000_i1049" DrawAspect="Content" ObjectID="_1458441307" r:id="rId53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34"/>
          <w:sz w:val="28"/>
          <w:szCs w:val="28"/>
        </w:rPr>
        <w:object w:dxaOrig="7960" w:dyaOrig="580">
          <v:shape id="_x0000_i1050" type="#_x0000_t75" style="width:398.25pt;height:29.25pt" o:ole="">
            <v:imagedata r:id="rId54" o:title=""/>
          </v:shape>
          <o:OLEObject Type="Embed" ProgID="Equation.3" ShapeID="_x0000_i1050" DrawAspect="Content" ObjectID="_1458441308" r:id="rId55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26"/>
          <w:sz w:val="28"/>
          <w:szCs w:val="28"/>
        </w:rPr>
        <w:object w:dxaOrig="6000" w:dyaOrig="639">
          <v:shape id="_x0000_i1051" type="#_x0000_t75" style="width:300pt;height:32.25pt" o:ole="">
            <v:imagedata r:id="rId56" o:title=""/>
          </v:shape>
          <o:OLEObject Type="Embed" ProgID="Equation.3" ShapeID="_x0000_i1051" DrawAspect="Content" ObjectID="_1458441309" r:id="rId57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26"/>
          <w:sz w:val="28"/>
          <w:szCs w:val="28"/>
        </w:rPr>
        <w:object w:dxaOrig="7640" w:dyaOrig="499">
          <v:shape id="_x0000_i1052" type="#_x0000_t75" style="width:381.75pt;height:24.75pt" o:ole="">
            <v:imagedata r:id="rId58" o:title=""/>
          </v:shape>
          <o:OLEObject Type="Embed" ProgID="Equation.3" ShapeID="_x0000_i1052" DrawAspect="Content" ObjectID="_1458441310" r:id="rId59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24"/>
          <w:sz w:val="28"/>
          <w:szCs w:val="28"/>
        </w:rPr>
        <w:object w:dxaOrig="6140" w:dyaOrig="580">
          <v:shape id="_x0000_i1053" type="#_x0000_t75" style="width:306.75pt;height:29.25pt" o:ole="">
            <v:imagedata r:id="rId60" o:title=""/>
          </v:shape>
          <o:OLEObject Type="Embed" ProgID="Equation.3" ShapeID="_x0000_i1053" DrawAspect="Content" ObjectID="_1458441311" r:id="rId61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24"/>
          <w:sz w:val="28"/>
          <w:szCs w:val="28"/>
        </w:rPr>
        <w:object w:dxaOrig="6100" w:dyaOrig="480">
          <v:shape id="_x0000_i1054" type="#_x0000_t75" style="width:305.25pt;height:24pt" o:ole="">
            <v:imagedata r:id="rId62" o:title=""/>
          </v:shape>
          <o:OLEObject Type="Embed" ProgID="Equation.3" ShapeID="_x0000_i1054" DrawAspect="Content" ObjectID="_1458441312" r:id="rId63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34"/>
          <w:sz w:val="28"/>
          <w:szCs w:val="28"/>
        </w:rPr>
        <w:object w:dxaOrig="6180" w:dyaOrig="720">
          <v:shape id="_x0000_i1055" type="#_x0000_t75" style="width:309pt;height:36pt" o:ole="">
            <v:imagedata r:id="rId64" o:title=""/>
          </v:shape>
          <o:OLEObject Type="Embed" ProgID="Equation.3" ShapeID="_x0000_i1055" DrawAspect="Content" ObjectID="_1458441313" r:id="rId65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48A1">
        <w:rPr>
          <w:position w:val="-34"/>
          <w:sz w:val="28"/>
          <w:szCs w:val="28"/>
        </w:rPr>
        <w:object w:dxaOrig="7339" w:dyaOrig="580">
          <v:shape id="_x0000_i1056" type="#_x0000_t75" style="width:366.75pt;height:29.25pt" o:ole="">
            <v:imagedata r:id="rId66" o:title=""/>
          </v:shape>
          <o:OLEObject Type="Embed" ProgID="Equation.3" ShapeID="_x0000_i1056" DrawAspect="Content" ObjectID="_1458441314" r:id="rId67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6E4">
        <w:rPr>
          <w:position w:val="-24"/>
          <w:sz w:val="28"/>
          <w:szCs w:val="28"/>
        </w:rPr>
        <w:object w:dxaOrig="5539" w:dyaOrig="620">
          <v:shape id="_x0000_i1057" type="#_x0000_t75" style="width:276.75pt;height:30.75pt" o:ole="">
            <v:imagedata r:id="rId68" o:title=""/>
          </v:shape>
          <o:OLEObject Type="Embed" ProgID="Equation.3" ShapeID="_x0000_i1057" DrawAspect="Content" ObjectID="_1458441315" r:id="rId69"/>
        </w:object>
      </w:r>
      <w:r>
        <w:rPr>
          <w:sz w:val="28"/>
          <w:szCs w:val="28"/>
        </w:rPr>
        <w:t>;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6E4">
        <w:rPr>
          <w:position w:val="-10"/>
          <w:sz w:val="28"/>
          <w:szCs w:val="28"/>
        </w:rPr>
        <w:object w:dxaOrig="6039" w:dyaOrig="480">
          <v:shape id="_x0000_i1058" type="#_x0000_t75" style="width:302.25pt;height:24pt" o:ole="">
            <v:imagedata r:id="rId70" o:title=""/>
          </v:shape>
          <o:OLEObject Type="Embed" ProgID="Equation.3" ShapeID="_x0000_i1058" DrawAspect="Content" ObjectID="_1458441316" r:id="rId71"/>
        </w:object>
      </w:r>
      <w:r>
        <w:rPr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0AFE" w:rsidRPr="006B38EF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Выводы: </w:t>
      </w:r>
      <w:r w:rsidRPr="006B38EF">
        <w:rPr>
          <w:color w:val="000000"/>
          <w:sz w:val="28"/>
          <w:szCs w:val="28"/>
        </w:rPr>
        <w:t>* Необходимо сделать анализ влияния каждого фактора на увеличение или снижени</w:t>
      </w:r>
      <w:r>
        <w:rPr>
          <w:color w:val="000000"/>
          <w:sz w:val="28"/>
          <w:szCs w:val="28"/>
        </w:rPr>
        <w:t>е</w:t>
      </w:r>
      <w:r w:rsidRPr="006B38EF">
        <w:rPr>
          <w:color w:val="000000"/>
          <w:sz w:val="28"/>
          <w:szCs w:val="28"/>
        </w:rPr>
        <w:t xml:space="preserve"> объёма грузооборота и почему.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*Выявить на анализируемом предприятии используемые резервы увеличения объёма грузооборота за счёт сверхплановых целодневных и внутри-сменных простоев автомашин, а также сверхплановые холостые пробеги (таблица </w:t>
      </w:r>
      <w:r>
        <w:rPr>
          <w:color w:val="000000"/>
          <w:sz w:val="28"/>
          <w:szCs w:val="28"/>
        </w:rPr>
        <w:t>1.</w:t>
      </w:r>
      <w:r w:rsidRPr="006B38EF">
        <w:rPr>
          <w:color w:val="000000"/>
          <w:sz w:val="28"/>
          <w:szCs w:val="28"/>
        </w:rPr>
        <w:t>1).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812DD">
        <w:rPr>
          <w:b/>
          <w:color w:val="000000"/>
          <w:sz w:val="28"/>
          <w:szCs w:val="28"/>
        </w:rPr>
        <w:t xml:space="preserve">Определение структуры </w:t>
      </w:r>
      <w:r>
        <w:rPr>
          <w:b/>
          <w:color w:val="000000"/>
          <w:sz w:val="28"/>
          <w:szCs w:val="28"/>
        </w:rPr>
        <w:t>себестоимости перевозки грузов</w:t>
      </w:r>
    </w:p>
    <w:p w:rsidR="00650AFE" w:rsidRPr="00E812DD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50AFE" w:rsidRPr="006B38EF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38EF">
        <w:rPr>
          <w:color w:val="000000"/>
          <w:sz w:val="28"/>
          <w:szCs w:val="28"/>
        </w:rPr>
        <w:t>Необходимо рассчитать структуру себестоимости 1 т. и 1 т. км. перевозки грузов заданного варианта.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Данные для исчисления структуры себестоимости берутся из </w:t>
      </w:r>
      <w:r>
        <w:rPr>
          <w:color w:val="000000"/>
          <w:sz w:val="28"/>
          <w:szCs w:val="28"/>
        </w:rPr>
        <w:t>пр</w:t>
      </w:r>
      <w:r w:rsidRPr="006B38EF">
        <w:rPr>
          <w:color w:val="000000"/>
          <w:sz w:val="28"/>
          <w:szCs w:val="28"/>
        </w:rPr>
        <w:t>иложения 2 (табл</w:t>
      </w:r>
      <w:r w:rsidR="00C50EEF">
        <w:rPr>
          <w:color w:val="000000"/>
          <w:sz w:val="28"/>
          <w:szCs w:val="28"/>
        </w:rPr>
        <w:t>.</w:t>
      </w:r>
      <w:r w:rsidRPr="006B38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Pr="006B38EF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>.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50EEF" w:rsidRDefault="00650AFE" w:rsidP="00C50EEF">
      <w:pPr>
        <w:jc w:val="right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1.</w:t>
      </w:r>
      <w:r w:rsidRPr="006B38EF">
        <w:rPr>
          <w:color w:val="000000"/>
          <w:sz w:val="28"/>
          <w:szCs w:val="28"/>
        </w:rPr>
        <w:t>3</w:t>
      </w:r>
    </w:p>
    <w:p w:rsidR="00650AFE" w:rsidRDefault="00650AFE" w:rsidP="00C50EEF">
      <w:pPr>
        <w:spacing w:line="360" w:lineRule="auto"/>
        <w:jc w:val="center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>Исходные данные для определения структуры</w:t>
      </w:r>
    </w:p>
    <w:p w:rsidR="00650AFE" w:rsidRDefault="00650AFE" w:rsidP="00C50EEF">
      <w:pPr>
        <w:spacing w:line="360" w:lineRule="auto"/>
        <w:jc w:val="center"/>
        <w:rPr>
          <w:color w:val="000000"/>
          <w:sz w:val="28"/>
          <w:szCs w:val="28"/>
        </w:rPr>
      </w:pPr>
      <w:r w:rsidRPr="006B38EF">
        <w:rPr>
          <w:color w:val="000000"/>
          <w:sz w:val="28"/>
          <w:szCs w:val="28"/>
        </w:rPr>
        <w:t xml:space="preserve">себестоимости </w:t>
      </w:r>
      <w:smartTag w:uri="urn:schemas-microsoft-com:office:smarttags" w:element="metricconverter">
        <w:smartTagPr>
          <w:attr w:name="ProductID" w:val="1 км"/>
        </w:smartTagPr>
        <w:r w:rsidRPr="006B38EF">
          <w:rPr>
            <w:color w:val="000000"/>
            <w:sz w:val="28"/>
            <w:szCs w:val="28"/>
          </w:rPr>
          <w:t>1 км</w:t>
        </w:r>
      </w:smartTag>
      <w:r>
        <w:rPr>
          <w:color w:val="000000"/>
          <w:sz w:val="28"/>
          <w:szCs w:val="28"/>
        </w:rPr>
        <w:t xml:space="preserve"> и 1 т. км. перевозки грузов</w:t>
      </w:r>
    </w:p>
    <w:p w:rsidR="00C50EEF" w:rsidRPr="006B38EF" w:rsidRDefault="00C50EEF" w:rsidP="00C50EEF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8"/>
        <w:gridCol w:w="2198"/>
        <w:gridCol w:w="780"/>
        <w:gridCol w:w="780"/>
        <w:gridCol w:w="409"/>
      </w:tblGrid>
      <w:tr w:rsidR="00650AFE" w:rsidRPr="006B38EF">
        <w:trPr>
          <w:trHeight w:val="511"/>
        </w:trPr>
        <w:tc>
          <w:tcPr>
            <w:tcW w:w="27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8EF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8EF">
              <w:rPr>
                <w:bCs/>
                <w:color w:val="000000"/>
                <w:sz w:val="28"/>
                <w:szCs w:val="28"/>
              </w:rPr>
              <w:t>Условные обозначения</w:t>
            </w:r>
          </w:p>
        </w:tc>
        <w:tc>
          <w:tcPr>
            <w:tcW w:w="10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0AFE" w:rsidRPr="006B38EF">
        <w:trPr>
          <w:trHeight w:val="468"/>
        </w:trPr>
        <w:tc>
          <w:tcPr>
            <w:tcW w:w="27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50AFE" w:rsidRPr="006B38EF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50AFE" w:rsidRPr="006B38EF" w:rsidRDefault="00650AFE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8EF">
              <w:rPr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8EF">
              <w:rPr>
                <w:bCs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8EF">
              <w:rPr>
                <w:bCs/>
                <w:color w:val="000000"/>
                <w:sz w:val="28"/>
                <w:szCs w:val="28"/>
              </w:rPr>
              <w:t>+,-</w:t>
            </w:r>
          </w:p>
        </w:tc>
      </w:tr>
      <w:tr w:rsidR="00650AFE" w:rsidRPr="006B38EF">
        <w:trPr>
          <w:trHeight w:val="318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Перевезено грузов, т.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CB06E4">
              <w:rPr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6500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3832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342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Выполнено т. км., км.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CB06E4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85000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22317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518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Затраты на работу грузового транспорта,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z w:val="28"/>
                <w:szCs w:val="28"/>
                <w:vertAlign w:val="subscript"/>
              </w:rPr>
            </w:pPr>
            <w:r w:rsidRPr="00CB06E4">
              <w:rPr>
                <w:i/>
                <w:sz w:val="28"/>
                <w:szCs w:val="28"/>
              </w:rPr>
              <w:t>З</w:t>
            </w:r>
            <w:r w:rsidRPr="00CB06E4">
              <w:rPr>
                <w:i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255,0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198,7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277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в т.ч. зарплата с начислениями,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80,7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41,5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314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Горюч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B38EF">
              <w:rPr>
                <w:color w:val="000000"/>
                <w:sz w:val="28"/>
                <w:szCs w:val="28"/>
              </w:rPr>
              <w:t>смазочные материалы,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74,0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90,9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+</w:t>
            </w:r>
          </w:p>
        </w:tc>
      </w:tr>
      <w:tr w:rsidR="00650AFE" w:rsidRPr="006B38EF">
        <w:trPr>
          <w:trHeight w:val="367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Амортизация машин и гаража,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321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Текущий ремонт гаража,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55,2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38,6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6B38EF">
        <w:trPr>
          <w:trHeight w:val="321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Резина (ремонт), тыс.руб.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0AFE" w:rsidRPr="006B38EF">
        <w:trPr>
          <w:trHeight w:val="321"/>
        </w:trPr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38EF">
              <w:rPr>
                <w:color w:val="000000"/>
                <w:sz w:val="28"/>
                <w:szCs w:val="28"/>
              </w:rPr>
              <w:t>Мероприятия по технике безопасности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B38EF">
              <w:rPr>
                <w:color w:val="000000"/>
                <w:sz w:val="28"/>
                <w:szCs w:val="28"/>
              </w:rPr>
              <w:t xml:space="preserve"> прочие расходы, тыс. руб.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6B38EF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650AFE" w:rsidRDefault="00650AFE" w:rsidP="00650A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06E4">
        <w:rPr>
          <w:color w:val="000000"/>
          <w:sz w:val="28"/>
          <w:szCs w:val="28"/>
        </w:rPr>
        <w:t>Затраты на 1 т, т</w:t>
      </w:r>
      <w:r>
        <w:rPr>
          <w:color w:val="000000"/>
          <w:sz w:val="28"/>
          <w:szCs w:val="28"/>
        </w:rPr>
        <w:t>-</w:t>
      </w:r>
      <w:r w:rsidRPr="00CB06E4">
        <w:rPr>
          <w:color w:val="000000"/>
          <w:sz w:val="28"/>
          <w:szCs w:val="28"/>
        </w:rPr>
        <w:t>км перевозки грузов определяется делением их суммы</w:t>
      </w:r>
      <w:r>
        <w:rPr>
          <w:color w:val="000000"/>
          <w:sz w:val="28"/>
          <w:szCs w:val="28"/>
        </w:rPr>
        <w:t xml:space="preserve"> </w:t>
      </w:r>
      <w:r w:rsidRPr="00CB06E4">
        <w:rPr>
          <w:color w:val="000000"/>
          <w:sz w:val="28"/>
          <w:szCs w:val="28"/>
        </w:rPr>
        <w:t>по отдельным статьям на велич</w:t>
      </w:r>
      <w:r>
        <w:rPr>
          <w:color w:val="000000"/>
          <w:sz w:val="28"/>
          <w:szCs w:val="28"/>
        </w:rPr>
        <w:t>ину</w:t>
      </w:r>
      <w:r w:rsidRPr="00CB06E4">
        <w:rPr>
          <w:color w:val="000000"/>
          <w:sz w:val="28"/>
          <w:szCs w:val="28"/>
        </w:rPr>
        <w:t xml:space="preserve"> перевезённых грузов и</w:t>
      </w:r>
      <w:r>
        <w:rPr>
          <w:color w:val="000000"/>
          <w:sz w:val="28"/>
          <w:szCs w:val="28"/>
        </w:rPr>
        <w:t xml:space="preserve"> </w:t>
      </w:r>
      <w:r w:rsidRPr="00CB06E4">
        <w:rPr>
          <w:color w:val="000000"/>
          <w:sz w:val="28"/>
          <w:szCs w:val="28"/>
        </w:rPr>
        <w:t>выполнено т</w:t>
      </w:r>
      <w:r>
        <w:rPr>
          <w:color w:val="000000"/>
          <w:sz w:val="28"/>
          <w:szCs w:val="28"/>
        </w:rPr>
        <w:t>-</w:t>
      </w:r>
      <w:r w:rsidRPr="00CB06E4">
        <w:rPr>
          <w:color w:val="000000"/>
          <w:sz w:val="28"/>
          <w:szCs w:val="28"/>
        </w:rPr>
        <w:t>км. соответственно. Результаты расчётов приведены в таблиц</w:t>
      </w:r>
      <w:r>
        <w:rPr>
          <w:color w:val="000000"/>
          <w:sz w:val="28"/>
          <w:szCs w:val="28"/>
        </w:rPr>
        <w:t>ах</w:t>
      </w:r>
      <w:r w:rsidRPr="00CB06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Pr="00CB06E4">
        <w:rPr>
          <w:color w:val="000000"/>
          <w:sz w:val="28"/>
          <w:szCs w:val="28"/>
        </w:rPr>
        <w:t xml:space="preserve">4 и </w:t>
      </w:r>
      <w:r>
        <w:rPr>
          <w:color w:val="000000"/>
          <w:sz w:val="28"/>
          <w:szCs w:val="28"/>
        </w:rPr>
        <w:t>1.</w:t>
      </w:r>
      <w:r w:rsidRPr="00CB06E4">
        <w:rPr>
          <w:color w:val="000000"/>
          <w:sz w:val="28"/>
          <w:szCs w:val="28"/>
        </w:rPr>
        <w:t>5.</w:t>
      </w:r>
    </w:p>
    <w:p w:rsidR="00C50EEF" w:rsidRDefault="00650AFE" w:rsidP="00C50EE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C436CF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1.</w:t>
      </w:r>
      <w:r w:rsidRPr="00C436CF">
        <w:rPr>
          <w:color w:val="000000"/>
          <w:sz w:val="28"/>
          <w:szCs w:val="28"/>
        </w:rPr>
        <w:t>4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436CF">
        <w:rPr>
          <w:color w:val="000000"/>
          <w:sz w:val="28"/>
          <w:szCs w:val="28"/>
        </w:rPr>
        <w:t>Себестоимость 1 т. перевезенно</w:t>
      </w:r>
      <w:r>
        <w:rPr>
          <w:color w:val="000000"/>
          <w:sz w:val="28"/>
          <w:szCs w:val="28"/>
        </w:rPr>
        <w:t>го груза и её структура</w:t>
      </w:r>
    </w:p>
    <w:p w:rsidR="00C50EEF" w:rsidRDefault="00C50EEF" w:rsidP="00650A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0"/>
        <w:gridCol w:w="1038"/>
        <w:gridCol w:w="713"/>
        <w:gridCol w:w="813"/>
        <w:gridCol w:w="711"/>
      </w:tblGrid>
      <w:tr w:rsidR="00C50EEF" w:rsidRPr="00CB06E4">
        <w:trPr>
          <w:trHeight w:val="497"/>
        </w:trPr>
        <w:tc>
          <w:tcPr>
            <w:tcW w:w="32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EEF" w:rsidRPr="00CB06E4" w:rsidRDefault="00C50EEF" w:rsidP="00C50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Статьи затрат</w:t>
            </w:r>
          </w:p>
        </w:tc>
        <w:tc>
          <w:tcPr>
            <w:tcW w:w="9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C50EEF" w:rsidRPr="00CB06E4">
        <w:trPr>
          <w:trHeight w:val="482"/>
        </w:trPr>
        <w:tc>
          <w:tcPr>
            <w:tcW w:w="32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bCs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%</w:t>
            </w:r>
          </w:p>
        </w:tc>
      </w:tr>
      <w:tr w:rsidR="00C50EEF" w:rsidRPr="00CB06E4">
        <w:trPr>
          <w:trHeight w:val="300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Зарплата с начислением,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12,42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31,66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10,83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20,89</w:t>
            </w:r>
          </w:p>
        </w:tc>
      </w:tr>
      <w:tr w:rsidR="00C50EEF" w:rsidRPr="00CB06E4">
        <w:trPr>
          <w:trHeight w:val="337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Горюче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B06E4">
              <w:rPr>
                <w:color w:val="000000"/>
                <w:sz w:val="28"/>
                <w:szCs w:val="28"/>
              </w:rPr>
              <w:t>смазочные материалы,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11,38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29,01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23,72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45,75</w:t>
            </w:r>
          </w:p>
        </w:tc>
      </w:tr>
      <w:tr w:rsidR="00C50EEF" w:rsidRPr="00CB06E4">
        <w:trPr>
          <w:trHeight w:val="373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Амор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CB06E4">
              <w:rPr>
                <w:color w:val="000000"/>
                <w:sz w:val="28"/>
                <w:szCs w:val="28"/>
              </w:rPr>
              <w:t>изация машин и гаража,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0,40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1,02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1,50</w:t>
            </w:r>
          </w:p>
        </w:tc>
      </w:tr>
      <w:tr w:rsidR="00C50EEF" w:rsidRPr="00CB06E4">
        <w:trPr>
          <w:trHeight w:val="408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Текущий ремонт гаража,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8,49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21,64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10,07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19,42</w:t>
            </w:r>
          </w:p>
        </w:tc>
      </w:tr>
      <w:tr w:rsidR="00C50EEF" w:rsidRPr="00CB06E4">
        <w:trPr>
          <w:trHeight w:val="278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Резина (ремонт),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1,57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4,00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0EEF" w:rsidRPr="00CB06E4" w:rsidRDefault="00C50EEF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-</w:t>
            </w:r>
          </w:p>
        </w:tc>
      </w:tr>
      <w:tr w:rsidR="00650AFE" w:rsidRPr="00CB06E4">
        <w:trPr>
          <w:trHeight w:val="588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Мероприятия по технике безопасности и прочие расходы, руб.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4,97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12,67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6,45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12,44</w:t>
            </w:r>
          </w:p>
        </w:tc>
      </w:tr>
      <w:tr w:rsidR="00650AFE" w:rsidRPr="00CB06E4">
        <w:trPr>
          <w:trHeight w:val="274"/>
        </w:trPr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39,23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51,85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AFE" w:rsidRPr="00CB06E4" w:rsidRDefault="00650AFE" w:rsidP="00C50E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B06E4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650AFE" w:rsidRDefault="00650AFE" w:rsidP="00650A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0EEF" w:rsidRDefault="00650AFE" w:rsidP="00C50EE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1.5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Себестоимость 1 т.-км перевозок и её структура</w:t>
      </w:r>
    </w:p>
    <w:p w:rsidR="00650AFE" w:rsidRDefault="00650AFE" w:rsidP="00650AFE">
      <w:pPr>
        <w:shd w:val="clear" w:color="auto" w:fill="FFFFFF"/>
        <w:autoSpaceDE w:val="0"/>
        <w:autoSpaceDN w:val="0"/>
        <w:adjustRightInd w:val="0"/>
      </w:pPr>
    </w:p>
    <w:tbl>
      <w:tblPr>
        <w:tblW w:w="95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979"/>
        <w:gridCol w:w="1584"/>
        <w:gridCol w:w="1577"/>
        <w:gridCol w:w="1606"/>
      </w:tblGrid>
      <w:tr w:rsidR="00650AFE" w:rsidRPr="00C436CF">
        <w:trPr>
          <w:trHeight w:val="497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650AFE" w:rsidRPr="00C436CF">
        <w:trPr>
          <w:trHeight w:val="482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6"/>
                <w:szCs w:val="26"/>
              </w:rPr>
              <w:t>%</w:t>
            </w:r>
          </w:p>
        </w:tc>
      </w:tr>
      <w:tr w:rsidR="00650AFE">
        <w:trPr>
          <w:trHeight w:val="6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З/плата с начислением,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31,67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1,86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20,90</w:t>
            </w:r>
          </w:p>
        </w:tc>
      </w:tr>
      <w:tr w:rsidR="00650AFE">
        <w:trPr>
          <w:trHeight w:val="70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Горючесмазочные материалы,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0,87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45,73</w:t>
            </w:r>
          </w:p>
        </w:tc>
      </w:tr>
      <w:tr w:rsidR="00650AFE">
        <w:trPr>
          <w:trHeight w:val="69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Амортизация машин и гаража,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1,46</w:t>
            </w:r>
          </w:p>
        </w:tc>
      </w:tr>
      <w:tr w:rsidR="00650AFE">
        <w:trPr>
          <w:trHeight w:val="70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Текущий ремонт гаража,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21,67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1,73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19,44</w:t>
            </w:r>
          </w:p>
        </w:tc>
      </w:tr>
      <w:tr w:rsidR="00650AFE">
        <w:trPr>
          <w:trHeight w:val="47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Резина (ремонт),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0AFE">
        <w:trPr>
          <w:trHeight w:val="84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Default="00650AFE" w:rsidP="00650AF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8"/>
                <w:szCs w:val="28"/>
              </w:rPr>
              <w:t>Мероприятия по технике безопасности и прочие расходы, руб.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12,67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1,11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C436CF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36CF">
              <w:rPr>
                <w:color w:val="000000"/>
                <w:sz w:val="28"/>
                <w:szCs w:val="28"/>
              </w:rPr>
              <w:t>12,47</w:t>
            </w:r>
          </w:p>
        </w:tc>
      </w:tr>
      <w:tr w:rsidR="00650AFE" w:rsidRPr="00D046C2">
        <w:trPr>
          <w:trHeight w:val="50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AFE" w:rsidRPr="00D046C2" w:rsidRDefault="00650AFE" w:rsidP="00650AFE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046C2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D046C2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6C2">
              <w:rPr>
                <w:b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D046C2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6C2">
              <w:rPr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D046C2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6C2">
              <w:rPr>
                <w:b/>
                <w:color w:val="000000"/>
                <w:sz w:val="26"/>
                <w:szCs w:val="26"/>
              </w:rPr>
              <w:t>8,9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AFE" w:rsidRPr="00D046C2" w:rsidRDefault="00650AFE" w:rsidP="00650A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6C2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</w:tbl>
    <w:p w:rsidR="00650AFE" w:rsidRPr="00C436CF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36CF">
        <w:rPr>
          <w:color w:val="000000"/>
          <w:sz w:val="28"/>
          <w:szCs w:val="28"/>
        </w:rPr>
        <w:t>Наибольшая доля затрат на перевозки 1 т. груза приходится на з/плату, ГСМ, текущий ремонт гаража и мероприятия по ТБ и прочие расходы.</w:t>
      </w:r>
    </w:p>
    <w:p w:rsidR="00650AFE" w:rsidRPr="00851F72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851F72">
        <w:rPr>
          <w:color w:val="000000"/>
          <w:spacing w:val="-6"/>
          <w:sz w:val="28"/>
          <w:szCs w:val="28"/>
        </w:rPr>
        <w:t>В себестоимость 1 т. км. затраты на з/плату и ГСМ составляют более 60 %.</w:t>
      </w:r>
    </w:p>
    <w:p w:rsidR="00650AFE" w:rsidRPr="00C436CF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36CF">
        <w:rPr>
          <w:color w:val="000000"/>
          <w:sz w:val="28"/>
          <w:szCs w:val="28"/>
        </w:rPr>
        <w:t>В себестоимости перевозки 1 т. груза почти в 2 раза увеличились фактические расходы на ГСМ по сравнению плановыми, а заработная плата в действительности снизилась почти на 11 %. Аналогичная картина наблюдается и при анализе структуры себестоимости 1 т</w:t>
      </w:r>
      <w:r>
        <w:rPr>
          <w:color w:val="000000"/>
          <w:sz w:val="28"/>
          <w:szCs w:val="28"/>
        </w:rPr>
        <w:t>-</w:t>
      </w:r>
      <w:r w:rsidRPr="00C436CF">
        <w:rPr>
          <w:color w:val="000000"/>
          <w:sz w:val="28"/>
          <w:szCs w:val="28"/>
        </w:rPr>
        <w:t>км</w:t>
      </w:r>
      <w:r>
        <w:rPr>
          <w:color w:val="000000"/>
          <w:sz w:val="28"/>
          <w:szCs w:val="28"/>
        </w:rPr>
        <w:t>.</w:t>
      </w:r>
    </w:p>
    <w:p w:rsidR="00650AFE" w:rsidRDefault="00650AFE" w:rsidP="00C50E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36CF">
        <w:rPr>
          <w:color w:val="000000"/>
          <w:sz w:val="28"/>
          <w:szCs w:val="28"/>
        </w:rPr>
        <w:t>Итак, на себестоимость 1 т. и 1 т</w:t>
      </w:r>
      <w:r>
        <w:rPr>
          <w:color w:val="000000"/>
          <w:sz w:val="28"/>
          <w:szCs w:val="28"/>
        </w:rPr>
        <w:t>-км</w:t>
      </w:r>
      <w:r w:rsidRPr="00C436CF">
        <w:rPr>
          <w:color w:val="000000"/>
          <w:sz w:val="28"/>
          <w:szCs w:val="28"/>
        </w:rPr>
        <w:t xml:space="preserve"> перевоз</w:t>
      </w:r>
      <w:r>
        <w:rPr>
          <w:color w:val="000000"/>
          <w:sz w:val="28"/>
          <w:szCs w:val="28"/>
        </w:rPr>
        <w:t>ки влияю</w:t>
      </w:r>
      <w:r w:rsidRPr="00C436CF">
        <w:rPr>
          <w:color w:val="000000"/>
          <w:sz w:val="28"/>
          <w:szCs w:val="28"/>
        </w:rPr>
        <w:t>т наиболее затраты на ГСМ и текущий ремонт и т.д., согласно результатов своего задания.</w:t>
      </w:r>
    </w:p>
    <w:p w:rsidR="005C14F3" w:rsidRDefault="005C14F3">
      <w:bookmarkStart w:id="0" w:name="_GoBack"/>
      <w:bookmarkEnd w:id="0"/>
    </w:p>
    <w:sectPr w:rsidR="005C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AFE"/>
    <w:rsid w:val="003A1BB4"/>
    <w:rsid w:val="004E3886"/>
    <w:rsid w:val="005C14F3"/>
    <w:rsid w:val="00650AFE"/>
    <w:rsid w:val="006C0D17"/>
    <w:rsid w:val="00C04E2E"/>
    <w:rsid w:val="00C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702CBE5C-4773-40A0-A151-E927A8D1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 Определение эффективности использования транспорта</vt:lpstr>
    </vt:vector>
  </TitlesOfParts>
  <Company>achgaa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Определение эффективности использования транспорта</dc:title>
  <dc:subject/>
  <dc:creator>semenenko</dc:creator>
  <cp:keywords/>
  <dc:description/>
  <cp:lastModifiedBy>admin</cp:lastModifiedBy>
  <cp:revision>2</cp:revision>
  <dcterms:created xsi:type="dcterms:W3CDTF">2014-04-08T02:47:00Z</dcterms:created>
  <dcterms:modified xsi:type="dcterms:W3CDTF">2014-04-08T02:47:00Z</dcterms:modified>
</cp:coreProperties>
</file>