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08" w:rsidRDefault="00AD3208" w:rsidP="0012377D">
      <w:pPr>
        <w:ind w:left="360"/>
        <w:jc w:val="center"/>
        <w:rPr>
          <w:b/>
          <w:i/>
        </w:rPr>
      </w:pPr>
    </w:p>
    <w:p w:rsidR="00616032" w:rsidRDefault="00616032" w:rsidP="0012377D">
      <w:pPr>
        <w:ind w:left="360"/>
        <w:jc w:val="center"/>
      </w:pPr>
      <w:r w:rsidRPr="00616032">
        <w:rPr>
          <w:b/>
          <w:i/>
        </w:rPr>
        <w:t>Анализ макроэкономических показателей</w:t>
      </w:r>
      <w:r>
        <w:rPr>
          <w:b/>
          <w:i/>
        </w:rPr>
        <w:t>Кыргызстана.</w:t>
      </w:r>
    </w:p>
    <w:p w:rsidR="00052C19" w:rsidRPr="00E73F5A" w:rsidRDefault="00E73F5A" w:rsidP="00E73F5A">
      <w:pPr>
        <w:numPr>
          <w:ilvl w:val="0"/>
          <w:numId w:val="8"/>
        </w:numPr>
      </w:pPr>
      <w:r w:rsidRPr="00E73F5A">
        <w:t>Валовой внутренний продукт - совокупная стоимость всех товаров и услуг, произведенных в течение года на территории страны без разделения ресурсов, использованных на их производство, на импортные и внутренние.</w:t>
      </w:r>
    </w:p>
    <w:p w:rsidR="00E73F5A" w:rsidRPr="00512322" w:rsidRDefault="00616032" w:rsidP="00E73F5A">
      <w:r>
        <w:t>Р</w:t>
      </w:r>
      <w:r w:rsidR="00512322">
        <w:t>ассмотрим динамику изменения номинального ВВП в Кыргызстане.</w:t>
      </w:r>
    </w:p>
    <w:p w:rsidR="00E73F5A" w:rsidRPr="00512322" w:rsidRDefault="00E73F5A" w:rsidP="00E73F5A"/>
    <w:tbl>
      <w:tblPr>
        <w:tblW w:w="4117" w:type="dxa"/>
        <w:tblInd w:w="93" w:type="dxa"/>
        <w:tblLook w:val="0000" w:firstRow="0" w:lastRow="0" w:firstColumn="0" w:lastColumn="0" w:noHBand="0" w:noVBand="0"/>
      </w:tblPr>
      <w:tblGrid>
        <w:gridCol w:w="1085"/>
        <w:gridCol w:w="1536"/>
        <w:gridCol w:w="1570"/>
      </w:tblGrid>
      <w:tr w:rsidR="00E73F5A">
        <w:trPr>
          <w:trHeight w:val="986"/>
        </w:trPr>
        <w:tc>
          <w:tcPr>
            <w:tcW w:w="1085" w:type="dxa"/>
            <w:tcBorders>
              <w:top w:val="single" w:sz="8" w:space="0" w:color="auto"/>
              <w:left w:val="single" w:sz="8" w:space="0" w:color="auto"/>
              <w:bottom w:val="single" w:sz="4" w:space="0" w:color="auto"/>
              <w:right w:val="single" w:sz="4" w:space="0" w:color="auto"/>
            </w:tcBorders>
            <w:shd w:val="clear" w:color="000000" w:fill="FFFFFF"/>
            <w:noWrap/>
            <w:vAlign w:val="bottom"/>
          </w:tcPr>
          <w:p w:rsidR="00E73F5A" w:rsidRDefault="00E73F5A">
            <w:pPr>
              <w:rPr>
                <w:rFonts w:ascii="Calibri" w:hAnsi="Calibri"/>
                <w:color w:val="000000"/>
                <w:sz w:val="22"/>
                <w:szCs w:val="22"/>
              </w:rPr>
            </w:pPr>
            <w:r>
              <w:rPr>
                <w:rFonts w:ascii="Calibri" w:hAnsi="Calibri"/>
                <w:color w:val="000000"/>
                <w:sz w:val="22"/>
                <w:szCs w:val="22"/>
              </w:rPr>
              <w:t> </w:t>
            </w:r>
          </w:p>
        </w:tc>
        <w:tc>
          <w:tcPr>
            <w:tcW w:w="1536" w:type="dxa"/>
            <w:tcBorders>
              <w:top w:val="single" w:sz="8" w:space="0" w:color="auto"/>
              <w:left w:val="nil"/>
              <w:bottom w:val="single" w:sz="4" w:space="0" w:color="auto"/>
              <w:right w:val="single" w:sz="4" w:space="0" w:color="auto"/>
            </w:tcBorders>
            <w:shd w:val="clear" w:color="000000" w:fill="FFFFFF"/>
            <w:vAlign w:val="bottom"/>
          </w:tcPr>
          <w:p w:rsidR="00E73F5A" w:rsidRDefault="00E73F5A">
            <w:pPr>
              <w:rPr>
                <w:rFonts w:ascii="Calibri" w:hAnsi="Calibri"/>
                <w:color w:val="000000"/>
                <w:sz w:val="22"/>
                <w:szCs w:val="22"/>
              </w:rPr>
            </w:pPr>
            <w:r>
              <w:rPr>
                <w:rFonts w:ascii="Calibri" w:hAnsi="Calibri"/>
                <w:color w:val="000000"/>
                <w:sz w:val="22"/>
                <w:szCs w:val="22"/>
              </w:rPr>
              <w:t>ВВП, мл</w:t>
            </w:r>
            <w:r w:rsidR="00512322">
              <w:rPr>
                <w:rFonts w:ascii="Calibri" w:hAnsi="Calibri"/>
                <w:color w:val="000000"/>
                <w:sz w:val="22"/>
                <w:szCs w:val="22"/>
              </w:rPr>
              <w:t>н. сом</w:t>
            </w:r>
          </w:p>
        </w:tc>
        <w:tc>
          <w:tcPr>
            <w:tcW w:w="1496" w:type="dxa"/>
            <w:tcBorders>
              <w:top w:val="single" w:sz="8" w:space="0" w:color="auto"/>
              <w:left w:val="nil"/>
              <w:bottom w:val="single" w:sz="4" w:space="0" w:color="auto"/>
              <w:right w:val="single" w:sz="8" w:space="0" w:color="auto"/>
            </w:tcBorders>
            <w:shd w:val="clear" w:color="000000" w:fill="FFFFFF"/>
            <w:vAlign w:val="bottom"/>
          </w:tcPr>
          <w:p w:rsidR="00E73F5A" w:rsidRDefault="00E73F5A">
            <w:pPr>
              <w:rPr>
                <w:rFonts w:ascii="Calibri" w:hAnsi="Calibri"/>
                <w:color w:val="000000"/>
                <w:sz w:val="22"/>
                <w:szCs w:val="22"/>
              </w:rPr>
            </w:pPr>
            <w:r>
              <w:rPr>
                <w:rFonts w:ascii="Calibri" w:hAnsi="Calibri"/>
                <w:color w:val="000000"/>
                <w:sz w:val="22"/>
                <w:szCs w:val="22"/>
              </w:rPr>
              <w:t>Темпы роста ВВП (в % к предыдущему году)</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616032">
            <w:pPr>
              <w:jc w:val="right"/>
              <w:rPr>
                <w:rFonts w:ascii="Calibri" w:hAnsi="Calibri"/>
                <w:color w:val="000000"/>
                <w:sz w:val="22"/>
                <w:szCs w:val="22"/>
              </w:rPr>
            </w:pPr>
            <w:r>
              <w:rPr>
                <w:rFonts w:ascii="Calibri" w:hAnsi="Calibri"/>
                <w:color w:val="000000"/>
                <w:sz w:val="22"/>
                <w:szCs w:val="22"/>
              </w:rPr>
              <w:t xml:space="preserve">  </w:t>
            </w:r>
            <w:r w:rsidR="00E73F5A">
              <w:rPr>
                <w:rFonts w:ascii="Calibri" w:hAnsi="Calibri"/>
                <w:color w:val="000000"/>
                <w:sz w:val="22"/>
                <w:szCs w:val="22"/>
              </w:rPr>
              <w:t>1992</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741,3</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rPr>
                <w:rFonts w:ascii="Calibri" w:hAnsi="Calibri"/>
                <w:color w:val="000000"/>
                <w:sz w:val="22"/>
                <w:szCs w:val="22"/>
              </w:rPr>
            </w:pPr>
            <w:r>
              <w:rPr>
                <w:rFonts w:ascii="Calibri" w:hAnsi="Calibri"/>
                <w:color w:val="000000"/>
                <w:sz w:val="22"/>
                <w:szCs w:val="22"/>
              </w:rPr>
              <w:t> </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1993</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5354,7</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1994</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12019,2</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224,5</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1995</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16145,1</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134,3</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1996</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23399,3</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144,9</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1997</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30685,7</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131,1</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1998</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34181,4</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111,4</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1999</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48321,1</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141,4</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2000</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65357,9</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135,3</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2001</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73883,3</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113,0</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2002</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75366,7</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102,0</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2003</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83871,6</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111,3</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2004</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94078,4</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112,2</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2005</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100899,2</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107,3</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2006</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113800,1</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112,8</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2007</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141897,7</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124,7</w:t>
            </w:r>
          </w:p>
        </w:tc>
      </w:tr>
      <w:tr w:rsidR="00E73F5A">
        <w:trPr>
          <w:trHeight w:val="253"/>
        </w:trPr>
        <w:tc>
          <w:tcPr>
            <w:tcW w:w="1085" w:type="dxa"/>
            <w:tcBorders>
              <w:top w:val="nil"/>
              <w:left w:val="single" w:sz="8" w:space="0" w:color="auto"/>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2008</w:t>
            </w:r>
          </w:p>
        </w:tc>
        <w:tc>
          <w:tcPr>
            <w:tcW w:w="1536" w:type="dxa"/>
            <w:tcBorders>
              <w:top w:val="nil"/>
              <w:left w:val="nil"/>
              <w:bottom w:val="single" w:sz="4"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185013,6</w:t>
            </w:r>
          </w:p>
        </w:tc>
        <w:tc>
          <w:tcPr>
            <w:tcW w:w="1496" w:type="dxa"/>
            <w:tcBorders>
              <w:top w:val="nil"/>
              <w:left w:val="nil"/>
              <w:bottom w:val="single" w:sz="4"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130,4</w:t>
            </w:r>
          </w:p>
        </w:tc>
      </w:tr>
      <w:tr w:rsidR="00E73F5A">
        <w:trPr>
          <w:trHeight w:val="266"/>
        </w:trPr>
        <w:tc>
          <w:tcPr>
            <w:tcW w:w="1085" w:type="dxa"/>
            <w:tcBorders>
              <w:top w:val="nil"/>
              <w:left w:val="single" w:sz="8" w:space="0" w:color="auto"/>
              <w:bottom w:val="single" w:sz="8"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2009</w:t>
            </w:r>
          </w:p>
        </w:tc>
        <w:tc>
          <w:tcPr>
            <w:tcW w:w="1536" w:type="dxa"/>
            <w:tcBorders>
              <w:top w:val="nil"/>
              <w:left w:val="nil"/>
              <w:bottom w:val="single" w:sz="8" w:space="0" w:color="auto"/>
              <w:right w:val="single" w:sz="4"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196423,1</w:t>
            </w:r>
          </w:p>
        </w:tc>
        <w:tc>
          <w:tcPr>
            <w:tcW w:w="1496" w:type="dxa"/>
            <w:tcBorders>
              <w:top w:val="nil"/>
              <w:left w:val="nil"/>
              <w:bottom w:val="single" w:sz="8" w:space="0" w:color="auto"/>
              <w:right w:val="single" w:sz="8" w:space="0" w:color="auto"/>
            </w:tcBorders>
            <w:shd w:val="clear" w:color="000000" w:fill="FFFFFF"/>
            <w:noWrap/>
            <w:vAlign w:val="bottom"/>
          </w:tcPr>
          <w:p w:rsidR="00E73F5A" w:rsidRDefault="00E73F5A">
            <w:pPr>
              <w:jc w:val="right"/>
              <w:rPr>
                <w:rFonts w:ascii="Calibri" w:hAnsi="Calibri"/>
                <w:color w:val="000000"/>
                <w:sz w:val="22"/>
                <w:szCs w:val="22"/>
              </w:rPr>
            </w:pPr>
            <w:r>
              <w:rPr>
                <w:rFonts w:ascii="Calibri" w:hAnsi="Calibri"/>
                <w:color w:val="000000"/>
                <w:sz w:val="22"/>
                <w:szCs w:val="22"/>
              </w:rPr>
              <w:t>106,2</w:t>
            </w:r>
          </w:p>
        </w:tc>
      </w:tr>
    </w:tbl>
    <w:p w:rsidR="00E73F5A" w:rsidRDefault="00E73F5A" w:rsidP="00E73F5A">
      <w:pPr>
        <w:rPr>
          <w:lang w:val="en-US"/>
        </w:rPr>
      </w:pPr>
    </w:p>
    <w:p w:rsidR="00512322" w:rsidRDefault="00512322" w:rsidP="00E73F5A">
      <w:r>
        <w:t>Представим данные графически:</w:t>
      </w:r>
    </w:p>
    <w:p w:rsidR="00512322" w:rsidRDefault="00512322" w:rsidP="00E73F5A"/>
    <w:bookmarkStart w:id="0" w:name="_MON_1359582845"/>
    <w:bookmarkEnd w:id="0"/>
    <w:p w:rsidR="00512322" w:rsidRDefault="00616032" w:rsidP="00E73F5A">
      <w:r>
        <w:object w:dxaOrig="8415" w:dyaOrig="5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61.75pt" o:ole="">
            <v:imagedata r:id="rId5" o:title=""/>
          </v:shape>
          <o:OLEObject Type="Embed" ProgID="Excel.Sheet.8" ShapeID="_x0000_i1025" DrawAspect="Content" ObjectID="_1460915338" r:id="rId6">
            <o:FieldCodes>\s</o:FieldCodes>
          </o:OLEObject>
        </w:object>
      </w:r>
    </w:p>
    <w:p w:rsidR="009C304E" w:rsidRDefault="009C304E" w:rsidP="00E73F5A"/>
    <w:p w:rsidR="009C304E" w:rsidRDefault="00BE2FEE" w:rsidP="00616032">
      <w:pPr>
        <w:numPr>
          <w:ilvl w:val="0"/>
          <w:numId w:val="8"/>
        </w:numPr>
      </w:pPr>
      <w:r>
        <w:t xml:space="preserve">Показатель, который </w:t>
      </w:r>
      <w:r w:rsidR="00616032">
        <w:t>является значительной</w:t>
      </w:r>
      <w:r>
        <w:t xml:space="preserve"> частью</w:t>
      </w:r>
      <w:r w:rsidR="009C304E">
        <w:t xml:space="preserve"> ВВП – объем </w:t>
      </w:r>
      <w:r>
        <w:t xml:space="preserve">промышленной продукции. </w:t>
      </w:r>
    </w:p>
    <w:p w:rsidR="00616032" w:rsidRDefault="00616032" w:rsidP="00616032">
      <w:r>
        <w:t>Динамика объема промышленной продукции имеет вид:</w:t>
      </w:r>
    </w:p>
    <w:p w:rsidR="009C304E" w:rsidRDefault="009C304E" w:rsidP="00E73F5A"/>
    <w:tbl>
      <w:tblPr>
        <w:tblW w:w="3640" w:type="dxa"/>
        <w:tblInd w:w="93" w:type="dxa"/>
        <w:tblLook w:val="0000" w:firstRow="0" w:lastRow="0" w:firstColumn="0" w:lastColumn="0" w:noHBand="0" w:noVBand="0"/>
      </w:tblPr>
      <w:tblGrid>
        <w:gridCol w:w="832"/>
        <w:gridCol w:w="1989"/>
        <w:gridCol w:w="843"/>
      </w:tblGrid>
      <w:tr w:rsidR="009C304E">
        <w:trPr>
          <w:trHeight w:val="772"/>
        </w:trPr>
        <w:tc>
          <w:tcPr>
            <w:tcW w:w="832" w:type="dxa"/>
            <w:tcBorders>
              <w:top w:val="single" w:sz="8" w:space="0" w:color="auto"/>
              <w:left w:val="single" w:sz="8" w:space="0" w:color="auto"/>
              <w:bottom w:val="single" w:sz="4" w:space="0" w:color="auto"/>
              <w:right w:val="single" w:sz="4" w:space="0" w:color="auto"/>
            </w:tcBorders>
            <w:shd w:val="clear" w:color="auto" w:fill="auto"/>
            <w:noWrap/>
            <w:vAlign w:val="bottom"/>
          </w:tcPr>
          <w:p w:rsidR="009C304E" w:rsidRDefault="009C304E">
            <w:pPr>
              <w:rPr>
                <w:rFonts w:ascii="Calibri" w:hAnsi="Calibri"/>
                <w:sz w:val="22"/>
                <w:szCs w:val="22"/>
              </w:rPr>
            </w:pPr>
            <w:r>
              <w:rPr>
                <w:rFonts w:ascii="Calibri" w:hAnsi="Calibri"/>
                <w:sz w:val="22"/>
                <w:szCs w:val="22"/>
              </w:rPr>
              <w:t> </w:t>
            </w:r>
          </w:p>
        </w:tc>
        <w:tc>
          <w:tcPr>
            <w:tcW w:w="1989" w:type="dxa"/>
            <w:tcBorders>
              <w:top w:val="single" w:sz="8" w:space="0" w:color="auto"/>
              <w:left w:val="nil"/>
              <w:bottom w:val="single" w:sz="4" w:space="0" w:color="auto"/>
              <w:right w:val="single" w:sz="4" w:space="0" w:color="auto"/>
            </w:tcBorders>
            <w:shd w:val="clear" w:color="auto" w:fill="auto"/>
            <w:vAlign w:val="bottom"/>
          </w:tcPr>
          <w:p w:rsidR="009C304E" w:rsidRDefault="009C304E">
            <w:pPr>
              <w:rPr>
                <w:rFonts w:ascii="Calibri" w:hAnsi="Calibri"/>
                <w:sz w:val="22"/>
                <w:szCs w:val="22"/>
              </w:rPr>
            </w:pPr>
            <w:r>
              <w:rPr>
                <w:rFonts w:ascii="Calibri" w:hAnsi="Calibri"/>
                <w:sz w:val="22"/>
                <w:szCs w:val="22"/>
              </w:rPr>
              <w:t>Объем промышленной продукции, млн. сом</w:t>
            </w:r>
          </w:p>
        </w:tc>
        <w:tc>
          <w:tcPr>
            <w:tcW w:w="819" w:type="dxa"/>
            <w:tcBorders>
              <w:top w:val="single" w:sz="8" w:space="0" w:color="auto"/>
              <w:left w:val="nil"/>
              <w:bottom w:val="single" w:sz="4" w:space="0" w:color="auto"/>
              <w:right w:val="nil"/>
            </w:tcBorders>
            <w:shd w:val="clear" w:color="auto" w:fill="auto"/>
            <w:noWrap/>
            <w:vAlign w:val="bottom"/>
          </w:tcPr>
          <w:p w:rsidR="009C304E" w:rsidRDefault="009C304E">
            <w:pPr>
              <w:rPr>
                <w:rFonts w:ascii="Calibri" w:hAnsi="Calibri"/>
                <w:sz w:val="22"/>
                <w:szCs w:val="22"/>
              </w:rPr>
            </w:pPr>
            <w:r>
              <w:rPr>
                <w:rFonts w:ascii="Calibri" w:hAnsi="Calibri"/>
                <w:sz w:val="22"/>
                <w:szCs w:val="22"/>
              </w:rPr>
              <w:t>Темпы роста</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1992</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577.6</w:t>
            </w:r>
          </w:p>
        </w:tc>
        <w:tc>
          <w:tcPr>
            <w:tcW w:w="819" w:type="dxa"/>
            <w:tcBorders>
              <w:top w:val="nil"/>
              <w:left w:val="nil"/>
              <w:bottom w:val="single" w:sz="4" w:space="0" w:color="auto"/>
              <w:right w:val="nil"/>
            </w:tcBorders>
            <w:shd w:val="clear" w:color="auto" w:fill="auto"/>
            <w:noWrap/>
            <w:vAlign w:val="bottom"/>
          </w:tcPr>
          <w:p w:rsidR="009C304E" w:rsidRDefault="009C304E">
            <w:pPr>
              <w:rPr>
                <w:rFonts w:ascii="Calibri" w:hAnsi="Calibri"/>
                <w:sz w:val="22"/>
                <w:szCs w:val="22"/>
              </w:rPr>
            </w:pPr>
            <w:r>
              <w:rPr>
                <w:rFonts w:ascii="Calibri" w:hAnsi="Calibri"/>
                <w:sz w:val="22"/>
                <w:szCs w:val="22"/>
              </w:rPr>
              <w:t> </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1993</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3423.9</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592.8</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1994</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6570.1</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191.9</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1995</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7126.4</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108.5</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1996</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9997.9</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140.3</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1997</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18052.6</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180.6</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1998</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21276.7</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117.9</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1999</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33725</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158.5</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2000</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44816.7</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132.9</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2001</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48772.6</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108.8</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2002</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46809</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96.0</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2003</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48940.1</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104.6</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2004</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55118.7</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112.6</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2005</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4965.7</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9.0</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2006</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54423.9</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1096.0</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2007</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59823.3</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109.9</w:t>
            </w:r>
          </w:p>
        </w:tc>
      </w:tr>
      <w:tr w:rsidR="009C304E">
        <w:trPr>
          <w:trHeight w:val="266"/>
        </w:trPr>
        <w:tc>
          <w:tcPr>
            <w:tcW w:w="832" w:type="dxa"/>
            <w:tcBorders>
              <w:top w:val="nil"/>
              <w:left w:val="single" w:sz="8" w:space="0" w:color="auto"/>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2008</w:t>
            </w:r>
          </w:p>
        </w:tc>
        <w:tc>
          <w:tcPr>
            <w:tcW w:w="1989" w:type="dxa"/>
            <w:tcBorders>
              <w:top w:val="nil"/>
              <w:left w:val="nil"/>
              <w:bottom w:val="single" w:sz="4"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85868.2</w:t>
            </w:r>
          </w:p>
        </w:tc>
        <w:tc>
          <w:tcPr>
            <w:tcW w:w="819" w:type="dxa"/>
            <w:tcBorders>
              <w:top w:val="nil"/>
              <w:left w:val="nil"/>
              <w:bottom w:val="single" w:sz="4" w:space="0" w:color="auto"/>
              <w:right w:val="nil"/>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143.5</w:t>
            </w:r>
          </w:p>
        </w:tc>
      </w:tr>
      <w:tr w:rsidR="009C304E">
        <w:trPr>
          <w:trHeight w:val="280"/>
        </w:trPr>
        <w:tc>
          <w:tcPr>
            <w:tcW w:w="832" w:type="dxa"/>
            <w:tcBorders>
              <w:top w:val="nil"/>
              <w:left w:val="single" w:sz="8" w:space="0" w:color="auto"/>
              <w:bottom w:val="single" w:sz="8" w:space="0" w:color="auto"/>
              <w:right w:val="single" w:sz="4" w:space="0" w:color="auto"/>
            </w:tcBorders>
            <w:shd w:val="clear" w:color="auto" w:fill="auto"/>
            <w:noWrap/>
            <w:vAlign w:val="bottom"/>
          </w:tcPr>
          <w:p w:rsidR="009C304E" w:rsidRDefault="009C304E">
            <w:pPr>
              <w:jc w:val="right"/>
              <w:rPr>
                <w:rFonts w:ascii="Calibri" w:hAnsi="Calibri"/>
                <w:sz w:val="22"/>
                <w:szCs w:val="22"/>
              </w:rPr>
            </w:pPr>
            <w:r>
              <w:rPr>
                <w:rFonts w:ascii="Calibri" w:hAnsi="Calibri"/>
                <w:sz w:val="22"/>
                <w:szCs w:val="22"/>
              </w:rPr>
              <w:t>2009</w:t>
            </w:r>
          </w:p>
        </w:tc>
        <w:tc>
          <w:tcPr>
            <w:tcW w:w="1989" w:type="dxa"/>
            <w:tcBorders>
              <w:top w:val="nil"/>
              <w:left w:val="nil"/>
              <w:bottom w:val="single" w:sz="8" w:space="0" w:color="auto"/>
              <w:right w:val="single" w:sz="4" w:space="0" w:color="auto"/>
            </w:tcBorders>
            <w:shd w:val="clear" w:color="auto" w:fill="auto"/>
            <w:noWrap/>
            <w:vAlign w:val="bottom"/>
          </w:tcPr>
          <w:p w:rsidR="009C304E" w:rsidRDefault="009C304E">
            <w:pPr>
              <w:rPr>
                <w:rFonts w:ascii="Calibri" w:hAnsi="Calibri"/>
                <w:sz w:val="22"/>
                <w:szCs w:val="22"/>
              </w:rPr>
            </w:pPr>
            <w:r>
              <w:rPr>
                <w:rFonts w:ascii="Calibri" w:hAnsi="Calibri"/>
                <w:sz w:val="22"/>
                <w:szCs w:val="22"/>
              </w:rPr>
              <w:t> </w:t>
            </w:r>
          </w:p>
        </w:tc>
        <w:tc>
          <w:tcPr>
            <w:tcW w:w="819" w:type="dxa"/>
            <w:tcBorders>
              <w:top w:val="nil"/>
              <w:left w:val="nil"/>
              <w:bottom w:val="single" w:sz="8" w:space="0" w:color="auto"/>
              <w:right w:val="nil"/>
            </w:tcBorders>
            <w:shd w:val="clear" w:color="auto" w:fill="auto"/>
            <w:noWrap/>
            <w:vAlign w:val="bottom"/>
          </w:tcPr>
          <w:p w:rsidR="009C304E" w:rsidRDefault="009C304E">
            <w:pPr>
              <w:rPr>
                <w:rFonts w:ascii="Calibri" w:hAnsi="Calibri"/>
                <w:sz w:val="22"/>
                <w:szCs w:val="22"/>
              </w:rPr>
            </w:pPr>
            <w:r>
              <w:rPr>
                <w:rFonts w:ascii="Calibri" w:hAnsi="Calibri"/>
                <w:sz w:val="22"/>
                <w:szCs w:val="22"/>
              </w:rPr>
              <w:t> </w:t>
            </w:r>
          </w:p>
        </w:tc>
      </w:tr>
    </w:tbl>
    <w:p w:rsidR="009C304E" w:rsidRDefault="009C304E" w:rsidP="00E73F5A"/>
    <w:p w:rsidR="00BE2FEE" w:rsidRDefault="00BE2FEE" w:rsidP="00E73F5A"/>
    <w:bookmarkStart w:id="1" w:name="_MON_1359582861"/>
    <w:bookmarkEnd w:id="1"/>
    <w:p w:rsidR="00BE2FEE" w:rsidRDefault="00616032" w:rsidP="00E73F5A">
      <w:r>
        <w:object w:dxaOrig="8715" w:dyaOrig="5415">
          <v:shape id="_x0000_i1026" type="#_x0000_t75" style="width:435.75pt;height:270.75pt" o:ole="">
            <v:imagedata r:id="rId7" o:title=""/>
          </v:shape>
          <o:OLEObject Type="Embed" ProgID="Excel.Sheet.8" ShapeID="_x0000_i1026" DrawAspect="Content" ObjectID="_1460915339" r:id="rId8">
            <o:FieldCodes>\s</o:FieldCodes>
          </o:OLEObject>
        </w:object>
      </w:r>
    </w:p>
    <w:p w:rsidR="004625D6" w:rsidRDefault="004625D6" w:rsidP="004625D6">
      <w:pPr>
        <w:numPr>
          <w:ilvl w:val="0"/>
          <w:numId w:val="9"/>
        </w:numPr>
      </w:pPr>
      <w:r w:rsidRPr="004625D6">
        <w:t>Инфляция - переполнение каналов обращения денежной массы сверх потребностей товарооборота, что вызывает обесценивание денежной единицы и рост цен. Как правило,</w:t>
      </w:r>
      <w:r>
        <w:t xml:space="preserve"> </w:t>
      </w:r>
      <w:r w:rsidRPr="004625D6">
        <w:t>для инфляции характерна постоянная повышательная тенденция в динамике среднего уровня цен. Основными показателями инфляции во всех странах являются индекс потребительских цен и индекс цен производителей.</w:t>
      </w:r>
    </w:p>
    <w:p w:rsidR="004625D6" w:rsidRDefault="004625D6" w:rsidP="004625D6">
      <w:r>
        <w:t>Рассмотрим динамику индекса потребительских цен.</w:t>
      </w:r>
    </w:p>
    <w:p w:rsidR="004625D6" w:rsidRDefault="004625D6" w:rsidP="004625D6"/>
    <w:tbl>
      <w:tblPr>
        <w:tblW w:w="2323" w:type="dxa"/>
        <w:tblInd w:w="93" w:type="dxa"/>
        <w:tblLook w:val="0000" w:firstRow="0" w:lastRow="0" w:firstColumn="0" w:lastColumn="0" w:noHBand="0" w:noVBand="0"/>
      </w:tblPr>
      <w:tblGrid>
        <w:gridCol w:w="1144"/>
        <w:gridCol w:w="1179"/>
      </w:tblGrid>
      <w:tr w:rsidR="004625D6">
        <w:trPr>
          <w:trHeight w:val="677"/>
        </w:trPr>
        <w:tc>
          <w:tcPr>
            <w:tcW w:w="1144" w:type="dxa"/>
            <w:tcBorders>
              <w:top w:val="single" w:sz="8" w:space="0" w:color="auto"/>
              <w:left w:val="single" w:sz="8" w:space="0" w:color="auto"/>
              <w:bottom w:val="single" w:sz="4" w:space="0" w:color="auto"/>
              <w:right w:val="single" w:sz="4" w:space="0" w:color="auto"/>
            </w:tcBorders>
            <w:shd w:val="clear" w:color="auto" w:fill="auto"/>
            <w:noWrap/>
            <w:vAlign w:val="bottom"/>
          </w:tcPr>
          <w:p w:rsidR="004625D6" w:rsidRDefault="004625D6">
            <w:pPr>
              <w:rPr>
                <w:rFonts w:ascii="Calibri" w:hAnsi="Calibri"/>
                <w:b/>
                <w:bCs/>
                <w:sz w:val="22"/>
                <w:szCs w:val="22"/>
              </w:rPr>
            </w:pPr>
            <w:r>
              <w:rPr>
                <w:rFonts w:ascii="Calibri" w:hAnsi="Calibri"/>
                <w:b/>
                <w:bCs/>
                <w:sz w:val="22"/>
                <w:szCs w:val="22"/>
              </w:rPr>
              <w:t>ИПЦ</w:t>
            </w:r>
          </w:p>
        </w:tc>
        <w:tc>
          <w:tcPr>
            <w:tcW w:w="1179" w:type="dxa"/>
            <w:tcBorders>
              <w:top w:val="single" w:sz="8" w:space="0" w:color="auto"/>
              <w:left w:val="nil"/>
              <w:bottom w:val="single" w:sz="4" w:space="0" w:color="auto"/>
              <w:right w:val="single" w:sz="8" w:space="0" w:color="auto"/>
            </w:tcBorders>
            <w:shd w:val="clear" w:color="auto" w:fill="auto"/>
            <w:noWrap/>
            <w:vAlign w:val="bottom"/>
          </w:tcPr>
          <w:p w:rsidR="004625D6" w:rsidRDefault="004625D6">
            <w:pPr>
              <w:rPr>
                <w:rFonts w:ascii="Calibri" w:hAnsi="Calibri"/>
                <w:sz w:val="22"/>
                <w:szCs w:val="22"/>
              </w:rPr>
            </w:pPr>
            <w:r>
              <w:rPr>
                <w:rFonts w:ascii="Calibri" w:hAnsi="Calibri"/>
                <w:sz w:val="22"/>
                <w:szCs w:val="22"/>
              </w:rPr>
              <w:t>Темпы роста</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1992</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rPr>
                <w:rFonts w:ascii="Calibri" w:hAnsi="Calibri"/>
                <w:sz w:val="22"/>
                <w:szCs w:val="22"/>
              </w:rPr>
            </w:pPr>
            <w:r>
              <w:rPr>
                <w:rFonts w:ascii="Calibri" w:hAnsi="Calibri"/>
                <w:sz w:val="22"/>
                <w:szCs w:val="22"/>
              </w:rPr>
              <w:t> </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1993</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rPr>
                <w:rFonts w:ascii="Calibri" w:hAnsi="Calibri"/>
                <w:sz w:val="22"/>
                <w:szCs w:val="22"/>
              </w:rPr>
            </w:pPr>
            <w:r>
              <w:rPr>
                <w:rFonts w:ascii="Calibri" w:hAnsi="Calibri"/>
                <w:sz w:val="22"/>
                <w:szCs w:val="22"/>
              </w:rPr>
              <w:t> </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1994</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12.9</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1995</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68.4</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1996</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100.0</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1997</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84.6</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1998</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109.1</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1999</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116.7</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2000</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109.6</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2001</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103.7</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2002</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102.3</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2003</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105.6</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2004</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102.8</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2005</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104.9</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2006</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105.1</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2007</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120.1</w:t>
            </w:r>
          </w:p>
        </w:tc>
      </w:tr>
      <w:tr w:rsidR="004625D6">
        <w:trPr>
          <w:trHeight w:val="233"/>
        </w:trPr>
        <w:tc>
          <w:tcPr>
            <w:tcW w:w="1144"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2008</w:t>
            </w:r>
          </w:p>
        </w:tc>
        <w:tc>
          <w:tcPr>
            <w:tcW w:w="1179" w:type="dxa"/>
            <w:tcBorders>
              <w:top w:val="nil"/>
              <w:left w:val="nil"/>
              <w:bottom w:val="single" w:sz="4" w:space="0" w:color="auto"/>
              <w:right w:val="single" w:sz="8"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120</w:t>
            </w:r>
          </w:p>
        </w:tc>
      </w:tr>
      <w:tr w:rsidR="004625D6">
        <w:trPr>
          <w:trHeight w:val="245"/>
        </w:trPr>
        <w:tc>
          <w:tcPr>
            <w:tcW w:w="1144" w:type="dxa"/>
            <w:tcBorders>
              <w:top w:val="nil"/>
              <w:left w:val="single" w:sz="8" w:space="0" w:color="auto"/>
              <w:bottom w:val="single" w:sz="8"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2009</w:t>
            </w:r>
          </w:p>
        </w:tc>
        <w:tc>
          <w:tcPr>
            <w:tcW w:w="1179" w:type="dxa"/>
            <w:tcBorders>
              <w:top w:val="nil"/>
              <w:left w:val="nil"/>
              <w:bottom w:val="single" w:sz="8" w:space="0" w:color="auto"/>
              <w:right w:val="single" w:sz="8" w:space="0" w:color="auto"/>
            </w:tcBorders>
            <w:shd w:val="clear" w:color="auto" w:fill="auto"/>
            <w:noWrap/>
            <w:vAlign w:val="bottom"/>
          </w:tcPr>
          <w:p w:rsidR="004625D6" w:rsidRDefault="004625D6">
            <w:pPr>
              <w:rPr>
                <w:rFonts w:ascii="Calibri" w:hAnsi="Calibri"/>
                <w:sz w:val="22"/>
                <w:szCs w:val="22"/>
              </w:rPr>
            </w:pPr>
            <w:r>
              <w:rPr>
                <w:rFonts w:ascii="Calibri" w:hAnsi="Calibri"/>
                <w:sz w:val="22"/>
                <w:szCs w:val="22"/>
              </w:rPr>
              <w:t> </w:t>
            </w:r>
          </w:p>
        </w:tc>
      </w:tr>
    </w:tbl>
    <w:p w:rsidR="004625D6" w:rsidRDefault="004625D6" w:rsidP="004625D6"/>
    <w:p w:rsidR="004625D6" w:rsidRDefault="004625D6" w:rsidP="004625D6">
      <w:r>
        <w:object w:dxaOrig="9525" w:dyaOrig="5925">
          <v:shape id="_x0000_i1027" type="#_x0000_t75" style="width:476.25pt;height:296.25pt" o:ole="">
            <v:imagedata r:id="rId9" o:title=""/>
          </v:shape>
          <o:OLEObject Type="Embed" ProgID="Excel.Sheet.8" ShapeID="_x0000_i1027" DrawAspect="Content" ObjectID="_1460915340" r:id="rId10">
            <o:FieldCodes>\s</o:FieldCodes>
          </o:OLEObject>
        </w:object>
      </w:r>
    </w:p>
    <w:p w:rsidR="004625D6" w:rsidRDefault="004625D6" w:rsidP="004625D6"/>
    <w:p w:rsidR="004625D6" w:rsidRDefault="004625D6" w:rsidP="004625D6">
      <w:pPr>
        <w:numPr>
          <w:ilvl w:val="0"/>
          <w:numId w:val="9"/>
        </w:numPr>
      </w:pPr>
      <w:r w:rsidRPr="004625D6">
        <w:t>Безработица - социально-экономическая ситуация, при которой часть активного, трудоспособного населения не может найти работу, которую эти люди способны выполнить.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w:t>
      </w:r>
    </w:p>
    <w:p w:rsidR="004625D6" w:rsidRDefault="004625D6" w:rsidP="004625D6">
      <w:r>
        <w:t>Рассмотрим динамику уровня безработицы.</w:t>
      </w:r>
    </w:p>
    <w:p w:rsidR="004625D6" w:rsidRDefault="004625D6" w:rsidP="004625D6"/>
    <w:tbl>
      <w:tblPr>
        <w:tblW w:w="3995" w:type="dxa"/>
        <w:tblInd w:w="93" w:type="dxa"/>
        <w:tblLook w:val="0000" w:firstRow="0" w:lastRow="0" w:firstColumn="0" w:lastColumn="0" w:noHBand="0" w:noVBand="0"/>
      </w:tblPr>
      <w:tblGrid>
        <w:gridCol w:w="826"/>
        <w:gridCol w:w="1947"/>
        <w:gridCol w:w="1222"/>
      </w:tblGrid>
      <w:tr w:rsidR="004625D6">
        <w:trPr>
          <w:trHeight w:val="375"/>
        </w:trPr>
        <w:tc>
          <w:tcPr>
            <w:tcW w:w="826" w:type="dxa"/>
            <w:tcBorders>
              <w:top w:val="single" w:sz="8" w:space="0" w:color="auto"/>
              <w:left w:val="single" w:sz="8" w:space="0" w:color="auto"/>
              <w:bottom w:val="single" w:sz="4" w:space="0" w:color="auto"/>
              <w:right w:val="single" w:sz="4" w:space="0" w:color="auto"/>
            </w:tcBorders>
            <w:shd w:val="clear" w:color="auto" w:fill="auto"/>
            <w:noWrap/>
            <w:vAlign w:val="bottom"/>
          </w:tcPr>
          <w:p w:rsidR="004625D6" w:rsidRDefault="004625D6">
            <w:pPr>
              <w:rPr>
                <w:rFonts w:ascii="Calibri" w:hAnsi="Calibri"/>
                <w:color w:val="000000"/>
                <w:sz w:val="22"/>
                <w:szCs w:val="22"/>
              </w:rPr>
            </w:pPr>
            <w:r>
              <w:rPr>
                <w:rFonts w:ascii="Calibri" w:hAnsi="Calibri"/>
                <w:color w:val="000000"/>
                <w:sz w:val="22"/>
                <w:szCs w:val="22"/>
              </w:rPr>
              <w:t> </w:t>
            </w:r>
          </w:p>
        </w:tc>
        <w:tc>
          <w:tcPr>
            <w:tcW w:w="1947" w:type="dxa"/>
            <w:tcBorders>
              <w:top w:val="single" w:sz="8" w:space="0" w:color="auto"/>
              <w:left w:val="nil"/>
              <w:bottom w:val="single" w:sz="4" w:space="0" w:color="auto"/>
              <w:right w:val="single" w:sz="4" w:space="0" w:color="auto"/>
            </w:tcBorders>
            <w:shd w:val="clear" w:color="auto" w:fill="auto"/>
            <w:noWrap/>
            <w:vAlign w:val="bottom"/>
          </w:tcPr>
          <w:p w:rsidR="004625D6" w:rsidRDefault="004625D6">
            <w:pPr>
              <w:rPr>
                <w:rFonts w:ascii="Calibri" w:hAnsi="Calibri"/>
                <w:sz w:val="22"/>
                <w:szCs w:val="22"/>
              </w:rPr>
            </w:pPr>
            <w:r>
              <w:rPr>
                <w:rFonts w:ascii="Calibri" w:hAnsi="Calibri"/>
                <w:sz w:val="22"/>
                <w:szCs w:val="22"/>
              </w:rPr>
              <w:t>Уровень безработицы</w:t>
            </w:r>
          </w:p>
        </w:tc>
        <w:tc>
          <w:tcPr>
            <w:tcW w:w="1222" w:type="dxa"/>
            <w:tcBorders>
              <w:top w:val="single" w:sz="8" w:space="0" w:color="auto"/>
              <w:left w:val="nil"/>
              <w:bottom w:val="single" w:sz="4" w:space="0" w:color="auto"/>
              <w:right w:val="nil"/>
            </w:tcBorders>
            <w:shd w:val="clear" w:color="auto" w:fill="auto"/>
            <w:noWrap/>
            <w:vAlign w:val="bottom"/>
          </w:tcPr>
          <w:p w:rsidR="004625D6" w:rsidRDefault="004625D6">
            <w:pPr>
              <w:rPr>
                <w:rFonts w:ascii="Calibri" w:hAnsi="Calibri"/>
                <w:color w:val="000000"/>
                <w:sz w:val="22"/>
                <w:szCs w:val="22"/>
              </w:rPr>
            </w:pPr>
            <w:r>
              <w:rPr>
                <w:rFonts w:ascii="Calibri" w:hAnsi="Calibri"/>
                <w:color w:val="000000"/>
                <w:sz w:val="22"/>
                <w:szCs w:val="22"/>
              </w:rPr>
              <w:t>Темпы роста</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1992</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rPr>
                <w:rFonts w:ascii="Calibri" w:hAnsi="Calibri"/>
                <w:color w:val="000000"/>
                <w:sz w:val="22"/>
                <w:szCs w:val="22"/>
              </w:rPr>
            </w:pPr>
            <w:r>
              <w:rPr>
                <w:rFonts w:ascii="Calibri" w:hAnsi="Calibri"/>
                <w:color w:val="000000"/>
                <w:sz w:val="22"/>
                <w:szCs w:val="22"/>
              </w:rPr>
              <w:t> </w:t>
            </w:r>
          </w:p>
        </w:tc>
        <w:tc>
          <w:tcPr>
            <w:tcW w:w="1222" w:type="dxa"/>
            <w:tcBorders>
              <w:top w:val="nil"/>
              <w:left w:val="nil"/>
              <w:bottom w:val="single" w:sz="4" w:space="0" w:color="auto"/>
              <w:right w:val="nil"/>
            </w:tcBorders>
            <w:shd w:val="clear" w:color="auto" w:fill="auto"/>
            <w:noWrap/>
            <w:vAlign w:val="bottom"/>
          </w:tcPr>
          <w:p w:rsidR="004625D6" w:rsidRDefault="004625D6">
            <w:pPr>
              <w:rPr>
                <w:rFonts w:ascii="Calibri" w:hAnsi="Calibri"/>
                <w:color w:val="000000"/>
                <w:sz w:val="22"/>
                <w:szCs w:val="22"/>
              </w:rPr>
            </w:pPr>
            <w:r>
              <w:rPr>
                <w:rFonts w:ascii="Calibri" w:hAnsi="Calibri"/>
                <w:color w:val="000000"/>
                <w:sz w:val="22"/>
                <w:szCs w:val="22"/>
              </w:rPr>
              <w:t> </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1993</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0.17</w:t>
            </w:r>
          </w:p>
        </w:tc>
        <w:tc>
          <w:tcPr>
            <w:tcW w:w="1222" w:type="dxa"/>
            <w:tcBorders>
              <w:top w:val="nil"/>
              <w:left w:val="nil"/>
              <w:bottom w:val="single" w:sz="4" w:space="0" w:color="auto"/>
              <w:right w:val="nil"/>
            </w:tcBorders>
            <w:shd w:val="clear" w:color="auto" w:fill="auto"/>
            <w:noWrap/>
            <w:vAlign w:val="bottom"/>
          </w:tcPr>
          <w:p w:rsidR="004625D6" w:rsidRDefault="004625D6">
            <w:pPr>
              <w:rPr>
                <w:rFonts w:ascii="Calibri" w:hAnsi="Calibri"/>
                <w:color w:val="000000"/>
                <w:sz w:val="22"/>
                <w:szCs w:val="22"/>
              </w:rPr>
            </w:pPr>
            <w:r>
              <w:rPr>
                <w:rFonts w:ascii="Calibri" w:hAnsi="Calibri"/>
                <w:color w:val="000000"/>
                <w:sz w:val="22"/>
                <w:szCs w:val="22"/>
              </w:rPr>
              <w:t> </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1994</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0.74</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428.38</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1995</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2.89</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393.73</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1996</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4.31</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148.89</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1997</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3.04</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70.64</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1998</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3.09</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101.40</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1999</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2.88</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93.30</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2000</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3.05</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105.89</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2001</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3.12</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102.35</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2002</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2.85</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91.23</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2003</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2.68</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94.12</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2004</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2.67</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99.73</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2005</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3.01</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112.54</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2006</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3.21</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106.72</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2007</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3.04</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94.71</w:t>
            </w:r>
          </w:p>
        </w:tc>
      </w:tr>
      <w:tr w:rsidR="004625D6">
        <w:trPr>
          <w:trHeight w:val="129"/>
        </w:trPr>
        <w:tc>
          <w:tcPr>
            <w:tcW w:w="826"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2008</w:t>
            </w:r>
          </w:p>
        </w:tc>
        <w:tc>
          <w:tcPr>
            <w:tcW w:w="1947"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2.82</w:t>
            </w:r>
          </w:p>
        </w:tc>
        <w:tc>
          <w:tcPr>
            <w:tcW w:w="1222"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92.83</w:t>
            </w:r>
          </w:p>
        </w:tc>
      </w:tr>
      <w:tr w:rsidR="004625D6">
        <w:trPr>
          <w:trHeight w:val="136"/>
        </w:trPr>
        <w:tc>
          <w:tcPr>
            <w:tcW w:w="826" w:type="dxa"/>
            <w:tcBorders>
              <w:top w:val="nil"/>
              <w:left w:val="single" w:sz="8" w:space="0" w:color="auto"/>
              <w:bottom w:val="single" w:sz="8"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2009</w:t>
            </w:r>
          </w:p>
        </w:tc>
        <w:tc>
          <w:tcPr>
            <w:tcW w:w="1947" w:type="dxa"/>
            <w:tcBorders>
              <w:top w:val="nil"/>
              <w:left w:val="nil"/>
              <w:bottom w:val="single" w:sz="8" w:space="0" w:color="auto"/>
              <w:right w:val="single" w:sz="4" w:space="0" w:color="auto"/>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2.54</w:t>
            </w:r>
          </w:p>
        </w:tc>
        <w:tc>
          <w:tcPr>
            <w:tcW w:w="1222" w:type="dxa"/>
            <w:tcBorders>
              <w:top w:val="nil"/>
              <w:left w:val="nil"/>
              <w:bottom w:val="single" w:sz="8" w:space="0" w:color="auto"/>
              <w:right w:val="nil"/>
            </w:tcBorders>
            <w:shd w:val="clear" w:color="auto" w:fill="auto"/>
            <w:noWrap/>
            <w:vAlign w:val="bottom"/>
          </w:tcPr>
          <w:p w:rsidR="004625D6" w:rsidRDefault="004625D6">
            <w:pPr>
              <w:jc w:val="right"/>
              <w:rPr>
                <w:rFonts w:ascii="Calibri" w:hAnsi="Calibri"/>
                <w:color w:val="000000"/>
                <w:sz w:val="22"/>
                <w:szCs w:val="22"/>
              </w:rPr>
            </w:pPr>
            <w:r>
              <w:rPr>
                <w:rFonts w:ascii="Calibri" w:hAnsi="Calibri"/>
                <w:color w:val="000000"/>
                <w:sz w:val="22"/>
                <w:szCs w:val="22"/>
              </w:rPr>
              <w:t>89.85</w:t>
            </w:r>
          </w:p>
        </w:tc>
      </w:tr>
    </w:tbl>
    <w:p w:rsidR="004625D6" w:rsidRDefault="004625D6" w:rsidP="004625D6"/>
    <w:p w:rsidR="004625D6" w:rsidRPr="004625D6" w:rsidRDefault="004625D6" w:rsidP="004625D6">
      <w:r>
        <w:object w:dxaOrig="9525" w:dyaOrig="5925">
          <v:shape id="_x0000_i1028" type="#_x0000_t75" style="width:476.25pt;height:296.25pt" o:ole="">
            <v:imagedata r:id="rId11" o:title=""/>
          </v:shape>
          <o:OLEObject Type="Embed" ProgID="Excel.Sheet.8" ShapeID="_x0000_i1028" DrawAspect="Content" ObjectID="_1460915341" r:id="rId12">
            <o:FieldCodes>\s</o:FieldCodes>
          </o:OLEObject>
        </w:object>
      </w:r>
    </w:p>
    <w:p w:rsidR="004625D6" w:rsidRDefault="004625D6" w:rsidP="004625D6"/>
    <w:p w:rsidR="004625D6" w:rsidRDefault="004625D6" w:rsidP="004625D6">
      <w:pPr>
        <w:numPr>
          <w:ilvl w:val="0"/>
          <w:numId w:val="9"/>
        </w:numPr>
      </w:pPr>
      <w:r>
        <w:t xml:space="preserve">Инвестиции в основной капитал – </w:t>
      </w:r>
      <w:r w:rsidR="00616032">
        <w:t>показатель, чрезвычайно важный для поддержания экономики Кыргызстана. Рассмотрим его динамику:</w:t>
      </w:r>
    </w:p>
    <w:p w:rsidR="004625D6" w:rsidRDefault="004625D6" w:rsidP="004625D6"/>
    <w:tbl>
      <w:tblPr>
        <w:tblW w:w="4220" w:type="dxa"/>
        <w:tblInd w:w="93" w:type="dxa"/>
        <w:tblLook w:val="0000" w:firstRow="0" w:lastRow="0" w:firstColumn="0" w:lastColumn="0" w:noHBand="0" w:noVBand="0"/>
      </w:tblPr>
      <w:tblGrid>
        <w:gridCol w:w="960"/>
        <w:gridCol w:w="1900"/>
        <w:gridCol w:w="1360"/>
      </w:tblGrid>
      <w:tr w:rsidR="004625D6">
        <w:trPr>
          <w:trHeight w:val="87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4625D6" w:rsidRDefault="004625D6">
            <w:pPr>
              <w:rPr>
                <w:rFonts w:ascii="Calibri" w:hAnsi="Calibri"/>
                <w:sz w:val="22"/>
                <w:szCs w:val="22"/>
              </w:rPr>
            </w:pPr>
            <w:r>
              <w:rPr>
                <w:rFonts w:ascii="Calibri" w:hAnsi="Calibri"/>
                <w:sz w:val="22"/>
                <w:szCs w:val="22"/>
              </w:rPr>
              <w:t> </w:t>
            </w:r>
          </w:p>
        </w:tc>
        <w:tc>
          <w:tcPr>
            <w:tcW w:w="1900" w:type="dxa"/>
            <w:tcBorders>
              <w:top w:val="single" w:sz="8" w:space="0" w:color="auto"/>
              <w:left w:val="nil"/>
              <w:bottom w:val="single" w:sz="4" w:space="0" w:color="auto"/>
              <w:right w:val="single" w:sz="4" w:space="0" w:color="auto"/>
            </w:tcBorders>
            <w:shd w:val="clear" w:color="auto" w:fill="auto"/>
            <w:vAlign w:val="bottom"/>
          </w:tcPr>
          <w:p w:rsidR="004625D6" w:rsidRDefault="004625D6">
            <w:pPr>
              <w:rPr>
                <w:rFonts w:ascii="Calibri" w:hAnsi="Calibri"/>
                <w:b/>
                <w:bCs/>
                <w:sz w:val="22"/>
                <w:szCs w:val="22"/>
              </w:rPr>
            </w:pPr>
            <w:r>
              <w:rPr>
                <w:rFonts w:ascii="Calibri" w:hAnsi="Calibri"/>
                <w:b/>
                <w:bCs/>
                <w:sz w:val="22"/>
                <w:szCs w:val="22"/>
              </w:rPr>
              <w:t>Инвестиции в основной капитал</w:t>
            </w:r>
          </w:p>
        </w:tc>
        <w:tc>
          <w:tcPr>
            <w:tcW w:w="1360" w:type="dxa"/>
            <w:tcBorders>
              <w:top w:val="single" w:sz="8" w:space="0" w:color="auto"/>
              <w:left w:val="nil"/>
              <w:bottom w:val="single" w:sz="4" w:space="0" w:color="auto"/>
              <w:right w:val="nil"/>
            </w:tcBorders>
            <w:shd w:val="clear" w:color="auto" w:fill="auto"/>
            <w:noWrap/>
            <w:vAlign w:val="bottom"/>
          </w:tcPr>
          <w:p w:rsidR="004625D6" w:rsidRDefault="004625D6">
            <w:pPr>
              <w:rPr>
                <w:rFonts w:ascii="Calibri" w:hAnsi="Calibri"/>
                <w:sz w:val="22"/>
                <w:szCs w:val="22"/>
              </w:rPr>
            </w:pPr>
            <w:r>
              <w:rPr>
                <w:rFonts w:ascii="Calibri" w:hAnsi="Calibri"/>
                <w:sz w:val="22"/>
                <w:szCs w:val="22"/>
              </w:rPr>
              <w:t>Темпы роста</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1992</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76.4</w:t>
            </w:r>
          </w:p>
        </w:tc>
        <w:tc>
          <w:tcPr>
            <w:tcW w:w="1360" w:type="dxa"/>
            <w:tcBorders>
              <w:top w:val="nil"/>
              <w:left w:val="nil"/>
              <w:bottom w:val="single" w:sz="4" w:space="0" w:color="auto"/>
              <w:right w:val="nil"/>
            </w:tcBorders>
            <w:shd w:val="clear" w:color="auto" w:fill="auto"/>
            <w:noWrap/>
            <w:vAlign w:val="bottom"/>
          </w:tcPr>
          <w:p w:rsidR="004625D6" w:rsidRDefault="004625D6">
            <w:pPr>
              <w:rPr>
                <w:rFonts w:ascii="Calibri" w:hAnsi="Calibri"/>
                <w:sz w:val="22"/>
                <w:szCs w:val="22"/>
              </w:rPr>
            </w:pPr>
            <w:r>
              <w:rPr>
                <w:rFonts w:ascii="Calibri" w:hAnsi="Calibri"/>
                <w:sz w:val="22"/>
                <w:szCs w:val="22"/>
              </w:rPr>
              <w:t> </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1993</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597.9</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782.6</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1994</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1313.8</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219.7</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1995</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3221</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245.2</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1996</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4766.2</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148.0</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1997</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5692.2</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119.4</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1998</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4214.5</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74.0</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1999</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6708.2</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159.2</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2000</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10855</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161.8</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2001</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9842.2</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90.7</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2002</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9377.9</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95.3</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2003</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8950.5</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95.4</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2004</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10218.6</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114.2</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2005</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10631.8</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104.0</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2006</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18771.3</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176.6</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2007</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24087.5</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128.3</w:t>
            </w:r>
          </w:p>
        </w:tc>
      </w:tr>
      <w:tr w:rsidR="004625D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2008</w:t>
            </w:r>
          </w:p>
        </w:tc>
        <w:tc>
          <w:tcPr>
            <w:tcW w:w="1900" w:type="dxa"/>
            <w:tcBorders>
              <w:top w:val="nil"/>
              <w:left w:val="nil"/>
              <w:bottom w:val="single" w:sz="4" w:space="0" w:color="auto"/>
              <w:right w:val="single" w:sz="4" w:space="0" w:color="auto"/>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29208</w:t>
            </w:r>
          </w:p>
        </w:tc>
        <w:tc>
          <w:tcPr>
            <w:tcW w:w="1360" w:type="dxa"/>
            <w:tcBorders>
              <w:top w:val="nil"/>
              <w:left w:val="nil"/>
              <w:bottom w:val="single" w:sz="4" w:space="0" w:color="auto"/>
              <w:right w:val="nil"/>
            </w:tcBorders>
            <w:shd w:val="clear" w:color="auto" w:fill="auto"/>
            <w:noWrap/>
            <w:vAlign w:val="bottom"/>
          </w:tcPr>
          <w:p w:rsidR="004625D6" w:rsidRDefault="004625D6">
            <w:pPr>
              <w:jc w:val="right"/>
              <w:rPr>
                <w:rFonts w:ascii="Calibri" w:hAnsi="Calibri"/>
                <w:sz w:val="22"/>
                <w:szCs w:val="22"/>
              </w:rPr>
            </w:pPr>
            <w:r>
              <w:rPr>
                <w:rFonts w:ascii="Calibri" w:hAnsi="Calibri"/>
                <w:sz w:val="22"/>
                <w:szCs w:val="22"/>
              </w:rPr>
              <w:t>121.3</w:t>
            </w:r>
          </w:p>
        </w:tc>
      </w:tr>
    </w:tbl>
    <w:p w:rsidR="00616032" w:rsidRDefault="006231D5" w:rsidP="004625D6">
      <w:r>
        <w:object w:dxaOrig="9525" w:dyaOrig="5910">
          <v:shape id="_x0000_i1029" type="#_x0000_t75" style="width:476.25pt;height:295.5pt" o:ole="">
            <v:imagedata r:id="rId13" o:title=""/>
          </v:shape>
          <o:OLEObject Type="Embed" ProgID="Excel.Sheet.8" ShapeID="_x0000_i1029" DrawAspect="Content" ObjectID="_1460915342" r:id="rId14">
            <o:FieldCodes>\s</o:FieldCodes>
          </o:OLEObject>
        </w:object>
      </w:r>
    </w:p>
    <w:p w:rsidR="00616032" w:rsidRDefault="00616032" w:rsidP="004625D6"/>
    <w:p w:rsidR="00616032" w:rsidRDefault="00616032" w:rsidP="004625D6"/>
    <w:p w:rsidR="00616032" w:rsidRPr="00616032" w:rsidRDefault="00616032" w:rsidP="00616032">
      <w:pPr>
        <w:jc w:val="center"/>
        <w:rPr>
          <w:b/>
          <w:i/>
        </w:rPr>
      </w:pPr>
      <w:r w:rsidRPr="00616032">
        <w:rPr>
          <w:b/>
          <w:i/>
        </w:rPr>
        <w:t>Выводы:</w:t>
      </w:r>
    </w:p>
    <w:p w:rsidR="00616032" w:rsidRPr="00415943" w:rsidRDefault="00616032" w:rsidP="00616032">
      <w:pPr>
        <w:jc w:val="both"/>
      </w:pPr>
      <w:r>
        <w:t>С</w:t>
      </w:r>
      <w:r w:rsidRPr="00415943">
        <w:t xml:space="preserve"> 1991 по 1995 гг. в стране наблюдалось острое сокращение производства и доходов. Оно совпало с резким ростом числа людей, достигших черты бедности (около 50% населения), неравенством и гиперинфляцией.</w:t>
      </w:r>
    </w:p>
    <w:p w:rsidR="00616032" w:rsidRPr="00415943" w:rsidRDefault="00616032" w:rsidP="00616032">
      <w:pPr>
        <w:jc w:val="both"/>
      </w:pPr>
      <w:r w:rsidRPr="00415943">
        <w:t xml:space="preserve">1994-1995 г. наблюдается резкое снижение темпов роста ВВП, однако темпы роста промышленной продукции снизились незначительно. Следовательно, снижение произошло засчет непродовольственных товаров и услуг. </w:t>
      </w:r>
    </w:p>
    <w:p w:rsidR="00616032" w:rsidRPr="00415943" w:rsidRDefault="00616032" w:rsidP="00616032">
      <w:pPr>
        <w:jc w:val="both"/>
      </w:pPr>
      <w:r w:rsidRPr="00415943">
        <w:t>Уровень безработицы к 1995 году начал снижаться, и эта тенденция устойчиво продолжалась до 1997 года.</w:t>
      </w:r>
    </w:p>
    <w:p w:rsidR="00616032" w:rsidRPr="00415943" w:rsidRDefault="00616032" w:rsidP="00616032">
      <w:pPr>
        <w:jc w:val="both"/>
      </w:pPr>
      <w:r w:rsidRPr="00415943">
        <w:t>Также в период с 1994 по 1995 г. наблюдался незначительный рост инвестиций в основной капитал, но с 1996 года капиталовложения продолжали устойчиво снижаться вплоть до 1999г.</w:t>
      </w:r>
    </w:p>
    <w:p w:rsidR="00616032" w:rsidRPr="00415943" w:rsidRDefault="00616032" w:rsidP="00616032">
      <w:pPr>
        <w:jc w:val="both"/>
      </w:pPr>
    </w:p>
    <w:p w:rsidR="00616032" w:rsidRPr="00415943" w:rsidRDefault="00616032" w:rsidP="00616032">
      <w:pPr>
        <w:autoSpaceDE w:val="0"/>
        <w:autoSpaceDN w:val="0"/>
        <w:adjustRightInd w:val="0"/>
        <w:jc w:val="both"/>
      </w:pPr>
      <w:r w:rsidRPr="00415943">
        <w:t>С 1996 по 1999 гг. наблюдалась экономическая стабилизация, рост происходил в ограниченных секторах (сельское хозяйство, золотодобыча и энергетика). Тем не менее, высокий бюджет и покрытие бюджетного дефицита сделали экономику чрезвычайно уязвимой. Происшедший в 1998 - 1999 гг. кризис возник в основном по причине обвала российского рубля.</w:t>
      </w:r>
    </w:p>
    <w:p w:rsidR="00616032" w:rsidRPr="00415943" w:rsidRDefault="00616032" w:rsidP="00616032">
      <w:pPr>
        <w:autoSpaceDE w:val="0"/>
        <w:autoSpaceDN w:val="0"/>
        <w:adjustRightInd w:val="0"/>
        <w:jc w:val="both"/>
      </w:pPr>
      <w:r w:rsidRPr="00415943">
        <w:t xml:space="preserve">В 1998 г. снизились темпы роста ВВП, промышленной продукции, возросла инфляция и безработица. </w:t>
      </w:r>
    </w:p>
    <w:p w:rsidR="00616032" w:rsidRPr="00415943" w:rsidRDefault="00616032" w:rsidP="00616032">
      <w:pPr>
        <w:autoSpaceDE w:val="0"/>
        <w:autoSpaceDN w:val="0"/>
        <w:adjustRightInd w:val="0"/>
        <w:jc w:val="both"/>
      </w:pPr>
    </w:p>
    <w:p w:rsidR="00616032" w:rsidRPr="00415943" w:rsidRDefault="00616032" w:rsidP="00616032">
      <w:pPr>
        <w:autoSpaceDE w:val="0"/>
        <w:autoSpaceDN w:val="0"/>
        <w:adjustRightInd w:val="0"/>
        <w:jc w:val="both"/>
      </w:pPr>
      <w:r w:rsidRPr="00415943">
        <w:t xml:space="preserve">С 2000 по 2002 гг. наблюдается замедление инфляции, сокращение дефицита бюджета, стабилизация курса обмена валют, но при этом нарастает проблема внешнего долга. </w:t>
      </w:r>
    </w:p>
    <w:p w:rsidR="00616032" w:rsidRPr="00415943" w:rsidRDefault="00616032" w:rsidP="00616032">
      <w:pPr>
        <w:autoSpaceDE w:val="0"/>
        <w:autoSpaceDN w:val="0"/>
        <w:adjustRightInd w:val="0"/>
        <w:jc w:val="both"/>
      </w:pPr>
      <w:r w:rsidRPr="00415943">
        <w:t>Также в 1999-2000 г. заметно возрастание вливания инвестиций в бюджет страны.</w:t>
      </w:r>
    </w:p>
    <w:p w:rsidR="00616032" w:rsidRPr="00415943" w:rsidRDefault="00616032" w:rsidP="00616032">
      <w:pPr>
        <w:autoSpaceDE w:val="0"/>
        <w:autoSpaceDN w:val="0"/>
        <w:adjustRightInd w:val="0"/>
        <w:jc w:val="both"/>
      </w:pPr>
    </w:p>
    <w:p w:rsidR="00616032" w:rsidRPr="00415943" w:rsidRDefault="00616032" w:rsidP="00616032">
      <w:pPr>
        <w:autoSpaceDE w:val="0"/>
        <w:autoSpaceDN w:val="0"/>
        <w:adjustRightInd w:val="0"/>
        <w:jc w:val="both"/>
      </w:pPr>
      <w:r w:rsidRPr="00415943">
        <w:t>Сохранение темпов роста ВВП в 2002г. на уровне 2001г. обусловлено аварией на месторождении «Кумтор», без его учета прирост ВВП составил 3,1 процента, аналогично сложилась ситуация и в 2005г.</w:t>
      </w:r>
    </w:p>
    <w:p w:rsidR="00616032" w:rsidRPr="00415943" w:rsidRDefault="00616032" w:rsidP="00616032">
      <w:pPr>
        <w:autoSpaceDE w:val="0"/>
        <w:autoSpaceDN w:val="0"/>
        <w:adjustRightInd w:val="0"/>
        <w:jc w:val="both"/>
      </w:pPr>
    </w:p>
    <w:p w:rsidR="00616032" w:rsidRPr="00415943" w:rsidRDefault="00616032" w:rsidP="00616032">
      <w:pPr>
        <w:autoSpaceDE w:val="0"/>
        <w:autoSpaceDN w:val="0"/>
        <w:adjustRightInd w:val="0"/>
        <w:jc w:val="both"/>
      </w:pPr>
      <w:r w:rsidRPr="00415943">
        <w:t>В целом, в 2001-2005 г. все показатели оставались почти на постоянном уровне, то есть в экономике не наблюдалось ни значительного роста, ни спадов.</w:t>
      </w:r>
    </w:p>
    <w:p w:rsidR="00616032" w:rsidRPr="00415943" w:rsidRDefault="00616032" w:rsidP="00616032">
      <w:pPr>
        <w:autoSpaceDE w:val="0"/>
        <w:autoSpaceDN w:val="0"/>
        <w:adjustRightInd w:val="0"/>
        <w:jc w:val="both"/>
      </w:pPr>
    </w:p>
    <w:p w:rsidR="00616032" w:rsidRPr="00415943" w:rsidRDefault="00616032" w:rsidP="00616032">
      <w:pPr>
        <w:autoSpaceDE w:val="0"/>
        <w:autoSpaceDN w:val="0"/>
        <w:adjustRightInd w:val="0"/>
        <w:jc w:val="both"/>
      </w:pPr>
      <w:r w:rsidRPr="00415943">
        <w:t>В 2006 г. наблюдался резкий рост объемов промышленной продукции, однако он незначительно повлиял на ВВП. В это же время возросли инвестиции в основной капитал, и под их влиянием в 2006-2008 гг. ВВП продолжал возрастать, однако это привело  к росту инфляции.</w:t>
      </w:r>
    </w:p>
    <w:p w:rsidR="00616032" w:rsidRPr="00415943" w:rsidRDefault="00616032" w:rsidP="00616032">
      <w:pPr>
        <w:autoSpaceDE w:val="0"/>
        <w:autoSpaceDN w:val="0"/>
        <w:adjustRightInd w:val="0"/>
        <w:jc w:val="both"/>
      </w:pPr>
      <w:r w:rsidRPr="00415943">
        <w:t>В 2008г. все базовые отрасли экономики превысили уровень 2000 и 2005гг. При этом</w:t>
      </w:r>
    </w:p>
    <w:p w:rsidR="00616032" w:rsidRDefault="00616032" w:rsidP="00616032">
      <w:pPr>
        <w:autoSpaceDE w:val="0"/>
        <w:autoSpaceDN w:val="0"/>
        <w:adjustRightInd w:val="0"/>
        <w:jc w:val="both"/>
      </w:pPr>
      <w:r w:rsidRPr="00415943">
        <w:t>наиболее динамично развивались такие виды деятельности как торговля, ремонт автомобилей, бытовых изделий и предметов личного пользования. Однако в 2009 г. вновь произошло снижение ВВП.</w:t>
      </w:r>
    </w:p>
    <w:p w:rsidR="00616032" w:rsidRDefault="00616032" w:rsidP="00616032">
      <w:pPr>
        <w:autoSpaceDE w:val="0"/>
        <w:autoSpaceDN w:val="0"/>
        <w:adjustRightInd w:val="0"/>
        <w:jc w:val="both"/>
      </w:pPr>
    </w:p>
    <w:p w:rsidR="00616032" w:rsidRPr="00616032" w:rsidRDefault="00616032" w:rsidP="004625D6">
      <w:pPr>
        <w:rPr>
          <w:b/>
          <w:i/>
        </w:rPr>
      </w:pPr>
      <w:r>
        <w:br w:type="page"/>
      </w:r>
      <w:r w:rsidRPr="00616032">
        <w:rPr>
          <w:b/>
          <w:i/>
        </w:rPr>
        <w:t>Анализ макроэкономических показателей России.</w:t>
      </w:r>
    </w:p>
    <w:tbl>
      <w:tblPr>
        <w:tblpPr w:leftFromText="180" w:rightFromText="180" w:vertAnchor="page" w:horzAnchor="margin" w:tblpXSpec="center" w:tblpY="2139"/>
        <w:tblW w:w="9761" w:type="dxa"/>
        <w:tblLayout w:type="fixed"/>
        <w:tblLook w:val="0000" w:firstRow="0" w:lastRow="0" w:firstColumn="0" w:lastColumn="0" w:noHBand="0" w:noVBand="0"/>
      </w:tblPr>
      <w:tblGrid>
        <w:gridCol w:w="855"/>
        <w:gridCol w:w="1200"/>
        <w:gridCol w:w="755"/>
        <w:gridCol w:w="1165"/>
        <w:gridCol w:w="1320"/>
        <w:gridCol w:w="1440"/>
        <w:gridCol w:w="1200"/>
        <w:gridCol w:w="960"/>
        <w:gridCol w:w="866"/>
      </w:tblGrid>
      <w:tr w:rsidR="00840F5F">
        <w:trPr>
          <w:trHeight w:val="1766"/>
        </w:trPr>
        <w:tc>
          <w:tcPr>
            <w:tcW w:w="855" w:type="dxa"/>
            <w:tcBorders>
              <w:top w:val="single" w:sz="8" w:space="0" w:color="auto"/>
              <w:left w:val="single" w:sz="8" w:space="0" w:color="auto"/>
              <w:bottom w:val="single" w:sz="4" w:space="0" w:color="auto"/>
              <w:right w:val="single" w:sz="4" w:space="0" w:color="auto"/>
            </w:tcBorders>
            <w:shd w:val="clear" w:color="auto" w:fill="auto"/>
            <w:vAlign w:val="bottom"/>
          </w:tcPr>
          <w:p w:rsidR="00840F5F" w:rsidRDefault="00840F5F" w:rsidP="00840F5F">
            <w:pPr>
              <w:rPr>
                <w:rFonts w:ascii="Calibri" w:hAnsi="Calibri"/>
                <w:b/>
                <w:bCs/>
                <w:sz w:val="22"/>
                <w:szCs w:val="22"/>
              </w:rPr>
            </w:pPr>
            <w:r>
              <w:rPr>
                <w:rFonts w:ascii="Calibri" w:hAnsi="Calibri"/>
                <w:b/>
                <w:bCs/>
                <w:sz w:val="22"/>
                <w:szCs w:val="22"/>
              </w:rPr>
              <w:t> </w:t>
            </w:r>
          </w:p>
        </w:tc>
        <w:tc>
          <w:tcPr>
            <w:tcW w:w="1200" w:type="dxa"/>
            <w:tcBorders>
              <w:top w:val="single" w:sz="8" w:space="0" w:color="auto"/>
              <w:left w:val="nil"/>
              <w:bottom w:val="single" w:sz="4" w:space="0" w:color="auto"/>
              <w:right w:val="single" w:sz="4" w:space="0" w:color="auto"/>
            </w:tcBorders>
            <w:shd w:val="clear" w:color="auto" w:fill="C0C0C0"/>
            <w:vAlign w:val="bottom"/>
          </w:tcPr>
          <w:p w:rsidR="00840F5F" w:rsidRDefault="00840F5F" w:rsidP="00840F5F">
            <w:pPr>
              <w:rPr>
                <w:rFonts w:ascii="Calibri" w:hAnsi="Calibri"/>
                <w:color w:val="000000"/>
                <w:sz w:val="22"/>
                <w:szCs w:val="22"/>
              </w:rPr>
            </w:pPr>
            <w:r>
              <w:rPr>
                <w:rFonts w:ascii="Calibri" w:hAnsi="Calibri"/>
                <w:color w:val="000000"/>
                <w:sz w:val="22"/>
                <w:szCs w:val="22"/>
              </w:rPr>
              <w:t>Темпы роста ВВП (в пост. ценах)</w:t>
            </w:r>
          </w:p>
        </w:tc>
        <w:tc>
          <w:tcPr>
            <w:tcW w:w="755" w:type="dxa"/>
            <w:tcBorders>
              <w:top w:val="single" w:sz="8" w:space="0" w:color="auto"/>
              <w:left w:val="nil"/>
              <w:bottom w:val="single" w:sz="4" w:space="0" w:color="auto"/>
              <w:right w:val="single" w:sz="4" w:space="0" w:color="auto"/>
            </w:tcBorders>
            <w:shd w:val="clear" w:color="auto" w:fill="auto"/>
            <w:vAlign w:val="bottom"/>
          </w:tcPr>
          <w:p w:rsidR="00840F5F" w:rsidRDefault="00840F5F" w:rsidP="00840F5F">
            <w:pPr>
              <w:rPr>
                <w:rFonts w:ascii="Calibri" w:hAnsi="Calibri"/>
                <w:color w:val="000000"/>
                <w:sz w:val="22"/>
                <w:szCs w:val="22"/>
              </w:rPr>
            </w:pPr>
            <w:r>
              <w:rPr>
                <w:rFonts w:ascii="Calibri" w:hAnsi="Calibri"/>
                <w:color w:val="000000"/>
                <w:sz w:val="22"/>
                <w:szCs w:val="22"/>
              </w:rPr>
              <w:t>Уровень безработицы</w:t>
            </w:r>
          </w:p>
        </w:tc>
        <w:tc>
          <w:tcPr>
            <w:tcW w:w="1165" w:type="dxa"/>
            <w:tcBorders>
              <w:top w:val="single" w:sz="8" w:space="0" w:color="auto"/>
              <w:left w:val="nil"/>
              <w:bottom w:val="single" w:sz="4" w:space="0" w:color="auto"/>
              <w:right w:val="single" w:sz="4" w:space="0" w:color="auto"/>
            </w:tcBorders>
            <w:shd w:val="clear" w:color="auto" w:fill="C0C0C0"/>
            <w:vAlign w:val="bottom"/>
          </w:tcPr>
          <w:p w:rsidR="00840F5F" w:rsidRDefault="00840F5F" w:rsidP="00840F5F">
            <w:pPr>
              <w:rPr>
                <w:rFonts w:ascii="Calibri" w:hAnsi="Calibri"/>
                <w:color w:val="000000"/>
                <w:sz w:val="22"/>
                <w:szCs w:val="22"/>
              </w:rPr>
            </w:pPr>
            <w:r>
              <w:rPr>
                <w:rFonts w:ascii="Calibri" w:hAnsi="Calibri"/>
                <w:color w:val="000000"/>
                <w:sz w:val="22"/>
                <w:szCs w:val="22"/>
              </w:rPr>
              <w:t>Темпы роста уровня безработицы</w:t>
            </w:r>
          </w:p>
        </w:tc>
        <w:tc>
          <w:tcPr>
            <w:tcW w:w="1320" w:type="dxa"/>
            <w:tcBorders>
              <w:top w:val="single" w:sz="8" w:space="0" w:color="auto"/>
              <w:left w:val="nil"/>
              <w:bottom w:val="single" w:sz="4" w:space="0" w:color="auto"/>
              <w:right w:val="single" w:sz="4" w:space="0" w:color="auto"/>
            </w:tcBorders>
            <w:shd w:val="clear" w:color="auto" w:fill="auto"/>
            <w:vAlign w:val="bottom"/>
          </w:tcPr>
          <w:p w:rsidR="00840F5F" w:rsidRDefault="00840F5F" w:rsidP="00840F5F">
            <w:pPr>
              <w:rPr>
                <w:rFonts w:ascii="Calibri" w:hAnsi="Calibri"/>
                <w:color w:val="000000"/>
                <w:sz w:val="22"/>
                <w:szCs w:val="22"/>
              </w:rPr>
            </w:pPr>
            <w:r>
              <w:rPr>
                <w:rFonts w:ascii="Calibri" w:hAnsi="Calibri"/>
                <w:color w:val="000000"/>
                <w:sz w:val="22"/>
                <w:szCs w:val="22"/>
              </w:rPr>
              <w:t>Объем промышленной продукции</w:t>
            </w:r>
          </w:p>
        </w:tc>
        <w:tc>
          <w:tcPr>
            <w:tcW w:w="1440" w:type="dxa"/>
            <w:tcBorders>
              <w:top w:val="single" w:sz="8" w:space="0" w:color="auto"/>
              <w:left w:val="nil"/>
              <w:bottom w:val="single" w:sz="4" w:space="0" w:color="auto"/>
              <w:right w:val="single" w:sz="4" w:space="0" w:color="auto"/>
            </w:tcBorders>
            <w:shd w:val="clear" w:color="auto" w:fill="C0C0C0"/>
            <w:vAlign w:val="bottom"/>
          </w:tcPr>
          <w:p w:rsidR="00840F5F" w:rsidRDefault="00840F5F" w:rsidP="00840F5F">
            <w:pPr>
              <w:rPr>
                <w:rFonts w:ascii="Calibri" w:hAnsi="Calibri"/>
                <w:color w:val="000000"/>
                <w:sz w:val="22"/>
                <w:szCs w:val="22"/>
              </w:rPr>
            </w:pPr>
            <w:r>
              <w:rPr>
                <w:rFonts w:ascii="Calibri" w:hAnsi="Calibri"/>
                <w:color w:val="000000"/>
                <w:sz w:val="22"/>
                <w:szCs w:val="22"/>
              </w:rPr>
              <w:t>Темпы роста объема пром. продукции</w:t>
            </w:r>
          </w:p>
        </w:tc>
        <w:tc>
          <w:tcPr>
            <w:tcW w:w="1200" w:type="dxa"/>
            <w:tcBorders>
              <w:top w:val="single" w:sz="8" w:space="0" w:color="auto"/>
              <w:left w:val="nil"/>
              <w:bottom w:val="single" w:sz="4" w:space="0" w:color="auto"/>
              <w:right w:val="single" w:sz="4" w:space="0" w:color="auto"/>
            </w:tcBorders>
            <w:shd w:val="clear" w:color="auto" w:fill="auto"/>
            <w:vAlign w:val="bottom"/>
          </w:tcPr>
          <w:p w:rsidR="00840F5F" w:rsidRDefault="00840F5F" w:rsidP="00840F5F">
            <w:pPr>
              <w:rPr>
                <w:rFonts w:ascii="Calibri" w:hAnsi="Calibri"/>
                <w:color w:val="000000"/>
                <w:sz w:val="22"/>
                <w:szCs w:val="22"/>
              </w:rPr>
            </w:pPr>
            <w:r>
              <w:rPr>
                <w:rFonts w:ascii="Calibri" w:hAnsi="Calibri"/>
                <w:color w:val="000000"/>
                <w:sz w:val="22"/>
                <w:szCs w:val="22"/>
              </w:rPr>
              <w:t>Инвестиции в основной капитал</w:t>
            </w:r>
          </w:p>
        </w:tc>
        <w:tc>
          <w:tcPr>
            <w:tcW w:w="960" w:type="dxa"/>
            <w:tcBorders>
              <w:top w:val="single" w:sz="8" w:space="0" w:color="auto"/>
              <w:left w:val="nil"/>
              <w:bottom w:val="single" w:sz="4" w:space="0" w:color="auto"/>
              <w:right w:val="single" w:sz="4" w:space="0" w:color="auto"/>
            </w:tcBorders>
            <w:shd w:val="clear" w:color="auto" w:fill="C0C0C0"/>
            <w:vAlign w:val="bottom"/>
          </w:tcPr>
          <w:p w:rsidR="00840F5F" w:rsidRDefault="00840F5F" w:rsidP="00840F5F">
            <w:pPr>
              <w:rPr>
                <w:rFonts w:ascii="Calibri" w:hAnsi="Calibri"/>
                <w:color w:val="000000"/>
                <w:sz w:val="22"/>
                <w:szCs w:val="22"/>
              </w:rPr>
            </w:pPr>
            <w:r>
              <w:rPr>
                <w:rFonts w:ascii="Calibri" w:hAnsi="Calibri"/>
                <w:color w:val="000000"/>
                <w:sz w:val="22"/>
                <w:szCs w:val="22"/>
              </w:rPr>
              <w:t>Темпы роста инвестиций</w:t>
            </w:r>
          </w:p>
          <w:p w:rsidR="00840F5F" w:rsidRDefault="00840F5F" w:rsidP="00840F5F">
            <w:pPr>
              <w:rPr>
                <w:rFonts w:ascii="Calibri" w:hAnsi="Calibri"/>
                <w:color w:val="000000"/>
                <w:sz w:val="22"/>
                <w:szCs w:val="22"/>
              </w:rPr>
            </w:pPr>
            <w:r>
              <w:rPr>
                <w:rFonts w:ascii="Calibri" w:hAnsi="Calibri"/>
                <w:color w:val="000000"/>
                <w:sz w:val="22"/>
                <w:szCs w:val="22"/>
              </w:rPr>
              <w:t>в осн. капитал</w:t>
            </w:r>
          </w:p>
        </w:tc>
        <w:tc>
          <w:tcPr>
            <w:tcW w:w="866" w:type="dxa"/>
            <w:tcBorders>
              <w:top w:val="single" w:sz="8" w:space="0" w:color="auto"/>
              <w:left w:val="nil"/>
              <w:bottom w:val="single" w:sz="4" w:space="0" w:color="auto"/>
              <w:right w:val="single" w:sz="8" w:space="0" w:color="auto"/>
            </w:tcBorders>
            <w:shd w:val="clear" w:color="auto" w:fill="C0C0C0"/>
            <w:vAlign w:val="bottom"/>
          </w:tcPr>
          <w:p w:rsidR="00840F5F" w:rsidRDefault="00840F5F" w:rsidP="00840F5F">
            <w:pPr>
              <w:rPr>
                <w:rFonts w:ascii="Calibri" w:hAnsi="Calibri"/>
                <w:color w:val="000000"/>
                <w:sz w:val="22"/>
                <w:szCs w:val="22"/>
              </w:rPr>
            </w:pPr>
            <w:r>
              <w:rPr>
                <w:rFonts w:ascii="Calibri" w:hAnsi="Calibri"/>
                <w:color w:val="000000"/>
                <w:sz w:val="22"/>
                <w:szCs w:val="22"/>
              </w:rPr>
              <w:t>ИПЦ</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1992</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85.5</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0.008</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82.0</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rPr>
                <w:rFonts w:ascii="Calibri" w:hAnsi="Calibri"/>
                <w:color w:val="000000"/>
                <w:sz w:val="22"/>
                <w:szCs w:val="22"/>
              </w:rPr>
            </w:pPr>
            <w:r>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2670.2</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rPr>
                <w:rFonts w:ascii="Calibri" w:hAnsi="Calibri"/>
                <w:color w:val="000000"/>
                <w:sz w:val="22"/>
                <w:szCs w:val="22"/>
              </w:rPr>
            </w:pPr>
            <w:r>
              <w:rPr>
                <w:rFonts w:ascii="Calibri" w:hAnsi="Calibri"/>
                <w:color w:val="000000"/>
                <w:sz w:val="22"/>
                <w:szCs w:val="22"/>
              </w:rPr>
              <w:t> </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rPr>
                <w:rFonts w:ascii="Calibri" w:hAnsi="Calibri"/>
                <w:color w:val="000000"/>
                <w:sz w:val="22"/>
                <w:szCs w:val="22"/>
              </w:rPr>
            </w:pPr>
            <w:r>
              <w:rPr>
                <w:rFonts w:ascii="Calibri" w:hAnsi="Calibri"/>
                <w:color w:val="000000"/>
                <w:sz w:val="22"/>
                <w:szCs w:val="22"/>
              </w:rPr>
              <w:t> </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1993</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91.3</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0.012</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152.6</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80.6</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98.2</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27124.5</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1015.8</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56.1</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1994</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87.3</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0.023</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197.4</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79.1</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98.2</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108809.0</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401.1</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21.8</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1995</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95.9</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0.033</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141.9</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96.7</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122.3</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266973.6</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245.4</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71.9</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1996</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96.4</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0.036</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109.2</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96.0</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99.3</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375958.1</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140.8</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121.8</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1997</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101.4</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0.029</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81.5</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102.0</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106.3</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408797.3</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108.7</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111.0</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1998</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94.7</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0.029</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97.8</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94.8</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92.9</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407086.3</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99.6</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184.4</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1999</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106.4</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0.017</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60.6</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108.1</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114.0</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670438.8</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164.7</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136.5</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2000</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110.0</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0.014</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82.6</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109.0</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100.8</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1165234.2</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173.8</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120.2</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2001</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105.1</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0.016</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109.7</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104.9</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96.2</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1504712.1</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129.1</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118.6</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2002</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104.7</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0.021</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131.7</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103.7</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98.9</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1762407.3</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117.1</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115.1</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2003</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107.3</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0.023</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108.7</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108.9</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105.0</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2186365.2</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124.1</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112.0</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2004</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107.2</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0.026</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117.1</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108.0</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99.2</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2865013.9</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131.0</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111.7</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2005</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106.4</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0.025</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94.1</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105.1</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97.3</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3611109.0</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126.0</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110.9</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2006</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108.2</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0.023</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94.7</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106.3</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101.1</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4730022.9</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131.0</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109.0</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2007</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108.5</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0.021</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88.1</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106.3</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100.0</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6716222.4</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142.0</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111.9</w:t>
            </w:r>
          </w:p>
        </w:tc>
      </w:tr>
      <w:tr w:rsidR="00840F5F">
        <w:trPr>
          <w:trHeight w:val="300"/>
        </w:trPr>
        <w:tc>
          <w:tcPr>
            <w:tcW w:w="855" w:type="dxa"/>
            <w:tcBorders>
              <w:top w:val="nil"/>
              <w:left w:val="single" w:sz="8" w:space="0" w:color="auto"/>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2008</w:t>
            </w:r>
          </w:p>
        </w:tc>
        <w:tc>
          <w:tcPr>
            <w:tcW w:w="120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105.2</w:t>
            </w:r>
          </w:p>
        </w:tc>
        <w:tc>
          <w:tcPr>
            <w:tcW w:w="755"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0.020</w:t>
            </w:r>
          </w:p>
        </w:tc>
        <w:tc>
          <w:tcPr>
            <w:tcW w:w="1165"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96.9</w:t>
            </w:r>
          </w:p>
        </w:tc>
        <w:tc>
          <w:tcPr>
            <w:tcW w:w="132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102.1</w:t>
            </w:r>
          </w:p>
        </w:tc>
        <w:tc>
          <w:tcPr>
            <w:tcW w:w="144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96.0</w:t>
            </w:r>
          </w:p>
        </w:tc>
        <w:tc>
          <w:tcPr>
            <w:tcW w:w="1200" w:type="dxa"/>
            <w:tcBorders>
              <w:top w:val="nil"/>
              <w:left w:val="nil"/>
              <w:bottom w:val="single" w:sz="4"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8781616.4</w:t>
            </w:r>
          </w:p>
        </w:tc>
        <w:tc>
          <w:tcPr>
            <w:tcW w:w="960" w:type="dxa"/>
            <w:tcBorders>
              <w:top w:val="nil"/>
              <w:left w:val="nil"/>
              <w:bottom w:val="single" w:sz="4"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130.8</w:t>
            </w:r>
          </w:p>
        </w:tc>
        <w:tc>
          <w:tcPr>
            <w:tcW w:w="866" w:type="dxa"/>
            <w:tcBorders>
              <w:top w:val="nil"/>
              <w:left w:val="nil"/>
              <w:bottom w:val="single" w:sz="4"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113.3</w:t>
            </w:r>
          </w:p>
        </w:tc>
      </w:tr>
      <w:tr w:rsidR="00840F5F">
        <w:trPr>
          <w:trHeight w:val="315"/>
        </w:trPr>
        <w:tc>
          <w:tcPr>
            <w:tcW w:w="855" w:type="dxa"/>
            <w:tcBorders>
              <w:top w:val="nil"/>
              <w:left w:val="single" w:sz="8" w:space="0" w:color="auto"/>
              <w:bottom w:val="single" w:sz="8" w:space="0" w:color="auto"/>
              <w:right w:val="single" w:sz="4" w:space="0" w:color="auto"/>
            </w:tcBorders>
            <w:shd w:val="clear" w:color="auto" w:fill="auto"/>
            <w:noWrap/>
            <w:vAlign w:val="bottom"/>
          </w:tcPr>
          <w:p w:rsidR="00840F5F" w:rsidRDefault="00840F5F" w:rsidP="00840F5F">
            <w:pPr>
              <w:jc w:val="right"/>
              <w:rPr>
                <w:rFonts w:ascii="Calibri" w:hAnsi="Calibri"/>
                <w:sz w:val="22"/>
                <w:szCs w:val="22"/>
              </w:rPr>
            </w:pPr>
            <w:r>
              <w:rPr>
                <w:rFonts w:ascii="Calibri" w:hAnsi="Calibri"/>
                <w:sz w:val="22"/>
                <w:szCs w:val="22"/>
              </w:rPr>
              <w:t>2009</w:t>
            </w:r>
          </w:p>
        </w:tc>
        <w:tc>
          <w:tcPr>
            <w:tcW w:w="1200" w:type="dxa"/>
            <w:tcBorders>
              <w:top w:val="nil"/>
              <w:left w:val="nil"/>
              <w:bottom w:val="single" w:sz="8"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92.1</w:t>
            </w:r>
          </w:p>
        </w:tc>
        <w:tc>
          <w:tcPr>
            <w:tcW w:w="755" w:type="dxa"/>
            <w:tcBorders>
              <w:top w:val="nil"/>
              <w:left w:val="nil"/>
              <w:bottom w:val="single" w:sz="8"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0.028</w:t>
            </w:r>
          </w:p>
        </w:tc>
        <w:tc>
          <w:tcPr>
            <w:tcW w:w="1165" w:type="dxa"/>
            <w:tcBorders>
              <w:top w:val="nil"/>
              <w:left w:val="nil"/>
              <w:bottom w:val="single" w:sz="8"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141.8</w:t>
            </w:r>
          </w:p>
        </w:tc>
        <w:tc>
          <w:tcPr>
            <w:tcW w:w="1320" w:type="dxa"/>
            <w:tcBorders>
              <w:top w:val="nil"/>
              <w:left w:val="nil"/>
              <w:bottom w:val="single" w:sz="8"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98.7</w:t>
            </w:r>
          </w:p>
        </w:tc>
        <w:tc>
          <w:tcPr>
            <w:tcW w:w="1440" w:type="dxa"/>
            <w:tcBorders>
              <w:top w:val="nil"/>
              <w:left w:val="nil"/>
              <w:bottom w:val="single" w:sz="8"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96.7</w:t>
            </w:r>
          </w:p>
        </w:tc>
        <w:tc>
          <w:tcPr>
            <w:tcW w:w="1200" w:type="dxa"/>
            <w:tcBorders>
              <w:top w:val="nil"/>
              <w:left w:val="nil"/>
              <w:bottom w:val="single" w:sz="8" w:space="0" w:color="auto"/>
              <w:right w:val="single" w:sz="4" w:space="0" w:color="auto"/>
            </w:tcBorders>
            <w:shd w:val="clear" w:color="auto" w:fill="auto"/>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7930255.0</w:t>
            </w:r>
          </w:p>
        </w:tc>
        <w:tc>
          <w:tcPr>
            <w:tcW w:w="960" w:type="dxa"/>
            <w:tcBorders>
              <w:top w:val="nil"/>
              <w:left w:val="nil"/>
              <w:bottom w:val="single" w:sz="8" w:space="0" w:color="auto"/>
              <w:right w:val="single" w:sz="4"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90.3</w:t>
            </w:r>
          </w:p>
        </w:tc>
        <w:tc>
          <w:tcPr>
            <w:tcW w:w="866" w:type="dxa"/>
            <w:tcBorders>
              <w:top w:val="nil"/>
              <w:left w:val="nil"/>
              <w:bottom w:val="single" w:sz="8" w:space="0" w:color="auto"/>
              <w:right w:val="single" w:sz="8" w:space="0" w:color="auto"/>
            </w:tcBorders>
            <w:shd w:val="clear" w:color="auto" w:fill="C0C0C0"/>
            <w:noWrap/>
            <w:vAlign w:val="bottom"/>
          </w:tcPr>
          <w:p w:rsidR="00840F5F" w:rsidRDefault="00840F5F" w:rsidP="00840F5F">
            <w:pPr>
              <w:jc w:val="right"/>
              <w:rPr>
                <w:rFonts w:ascii="Calibri" w:hAnsi="Calibri"/>
                <w:color w:val="000000"/>
                <w:sz w:val="22"/>
                <w:szCs w:val="22"/>
              </w:rPr>
            </w:pPr>
            <w:r>
              <w:rPr>
                <w:rFonts w:ascii="Calibri" w:hAnsi="Calibri"/>
                <w:color w:val="000000"/>
                <w:sz w:val="22"/>
                <w:szCs w:val="22"/>
              </w:rPr>
              <w:t>111.4</w:t>
            </w:r>
          </w:p>
        </w:tc>
      </w:tr>
    </w:tbl>
    <w:p w:rsidR="00616032" w:rsidRDefault="00616032" w:rsidP="004625D6">
      <w:pPr>
        <w:rPr>
          <w:b/>
          <w:i/>
        </w:rPr>
      </w:pPr>
    </w:p>
    <w:p w:rsidR="00840F5F" w:rsidRDefault="00840F5F" w:rsidP="004625D6">
      <w:pPr>
        <w:rPr>
          <w:b/>
          <w:i/>
        </w:rPr>
      </w:pPr>
    </w:p>
    <w:bookmarkStart w:id="2" w:name="_MON_1359585079"/>
    <w:bookmarkEnd w:id="2"/>
    <w:p w:rsidR="00840F5F" w:rsidRDefault="00704BD4" w:rsidP="004625D6">
      <w:r>
        <w:object w:dxaOrig="9720" w:dyaOrig="5985">
          <v:shape id="_x0000_i1030" type="#_x0000_t75" style="width:486pt;height:299.25pt" o:ole="">
            <v:imagedata r:id="rId15" o:title=""/>
          </v:shape>
          <o:OLEObject Type="Embed" ProgID="Excel.Sheet.8" ShapeID="_x0000_i1030" DrawAspect="Content" ObjectID="_1460915343" r:id="rId16">
            <o:FieldCodes>\s</o:FieldCodes>
          </o:OLEObject>
        </w:object>
      </w:r>
      <w:bookmarkStart w:id="3" w:name="_MON_1359585088"/>
      <w:bookmarkEnd w:id="3"/>
      <w:r>
        <w:object w:dxaOrig="9720" w:dyaOrig="5955">
          <v:shape id="_x0000_i1031" type="#_x0000_t75" style="width:486pt;height:297.75pt" o:ole="">
            <v:imagedata r:id="rId17" o:title=""/>
          </v:shape>
          <o:OLEObject Type="Embed" ProgID="Excel.Sheet.8" ShapeID="_x0000_i1031" DrawAspect="Content" ObjectID="_1460915344" r:id="rId18">
            <o:FieldCodes>\s</o:FieldCodes>
          </o:OLEObject>
        </w:object>
      </w:r>
      <w:bookmarkStart w:id="4" w:name="_MON_1359584839"/>
      <w:bookmarkStart w:id="5" w:name="_MON_1359584991"/>
      <w:bookmarkStart w:id="6" w:name="_MON_1359585052"/>
      <w:bookmarkEnd w:id="4"/>
      <w:bookmarkEnd w:id="5"/>
      <w:bookmarkEnd w:id="6"/>
      <w:bookmarkStart w:id="7" w:name="_MON_1359584827"/>
      <w:bookmarkEnd w:id="7"/>
      <w:r>
        <w:object w:dxaOrig="9720" w:dyaOrig="5955">
          <v:shape id="_x0000_i1032" type="#_x0000_t75" style="width:486pt;height:297.75pt" o:ole="">
            <v:imagedata r:id="rId19" o:title=""/>
          </v:shape>
          <o:OLEObject Type="Embed" ProgID="Excel.Sheet.8" ShapeID="_x0000_i1032" DrawAspect="Content" ObjectID="_1460915345" r:id="rId20">
            <o:FieldCodes>\s</o:FieldCodes>
          </o:OLEObject>
        </w:object>
      </w:r>
    </w:p>
    <w:bookmarkStart w:id="8" w:name="_MON_1359585062"/>
    <w:bookmarkEnd w:id="8"/>
    <w:bookmarkStart w:id="9" w:name="_MON_1359585008"/>
    <w:bookmarkEnd w:id="9"/>
    <w:p w:rsidR="00840F5F" w:rsidRDefault="00704BD4" w:rsidP="004625D6">
      <w:r>
        <w:object w:dxaOrig="9720" w:dyaOrig="5955">
          <v:shape id="_x0000_i1033" type="#_x0000_t75" style="width:486pt;height:297.75pt" o:ole="">
            <v:imagedata r:id="rId21" o:title=""/>
          </v:shape>
          <o:OLEObject Type="Embed" ProgID="Excel.Sheet.8" ShapeID="_x0000_i1033" DrawAspect="Content" ObjectID="_1460915346" r:id="rId22">
            <o:FieldCodes>\s</o:FieldCodes>
          </o:OLEObject>
        </w:object>
      </w:r>
    </w:p>
    <w:p w:rsidR="00840F5F" w:rsidRDefault="00704BD4" w:rsidP="004625D6">
      <w:r>
        <w:object w:dxaOrig="9720" w:dyaOrig="5985">
          <v:shape id="_x0000_i1034" type="#_x0000_t75" style="width:486pt;height:299.25pt" o:ole="">
            <v:imagedata r:id="rId23" o:title=""/>
          </v:shape>
          <o:OLEObject Type="Embed" ProgID="Excel.Sheet.8" ShapeID="_x0000_i1034" DrawAspect="Content" ObjectID="_1460915347" r:id="rId24">
            <o:FieldCodes>\s</o:FieldCodes>
          </o:OLEObject>
        </w:object>
      </w:r>
    </w:p>
    <w:p w:rsidR="00704BD4" w:rsidRPr="00704BD4" w:rsidRDefault="00704BD4" w:rsidP="00704BD4">
      <w:pPr>
        <w:jc w:val="center"/>
        <w:rPr>
          <w:b/>
          <w:i/>
        </w:rPr>
      </w:pPr>
      <w:r w:rsidRPr="00704BD4">
        <w:rPr>
          <w:b/>
          <w:i/>
        </w:rPr>
        <w:t>Выводы:</w:t>
      </w:r>
    </w:p>
    <w:p w:rsidR="00704BD4" w:rsidRDefault="00704BD4" w:rsidP="004625D6"/>
    <w:p w:rsidR="00704BD4" w:rsidRPr="004625D6" w:rsidRDefault="00704BD4" w:rsidP="004625D6">
      <w:bookmarkStart w:id="10" w:name="_GoBack"/>
      <w:bookmarkEnd w:id="10"/>
    </w:p>
    <w:sectPr w:rsidR="00704BD4" w:rsidRPr="004625D6" w:rsidSect="00215D7F">
      <w:pgSz w:w="11906" w:h="16838"/>
      <w:pgMar w:top="1418"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60446"/>
    <w:multiLevelType w:val="hybridMultilevel"/>
    <w:tmpl w:val="7D1AF27E"/>
    <w:lvl w:ilvl="0" w:tplc="BA12C088">
      <w:start w:val="1"/>
      <w:numFmt w:val="decimal"/>
      <w:pStyle w:val="a"/>
      <w:lvlText w:val="%1."/>
      <w:lvlJc w:val="left"/>
      <w:pPr>
        <w:tabs>
          <w:tab w:val="num" w:pos="0"/>
        </w:tabs>
        <w:ind w:left="0" w:firstLine="0"/>
      </w:pPr>
      <w:rPr>
        <w:rFonts w:hint="default"/>
      </w:rPr>
    </w:lvl>
    <w:lvl w:ilvl="1" w:tplc="04190019" w:tentative="1">
      <w:start w:val="1"/>
      <w:numFmt w:val="lowerLetter"/>
      <w:lvlText w:val="%2."/>
      <w:lvlJc w:val="left"/>
      <w:pPr>
        <w:tabs>
          <w:tab w:val="num" w:pos="5640"/>
        </w:tabs>
        <w:ind w:left="5640" w:hanging="360"/>
      </w:pPr>
    </w:lvl>
    <w:lvl w:ilvl="2" w:tplc="0419001B" w:tentative="1">
      <w:start w:val="1"/>
      <w:numFmt w:val="lowerRoman"/>
      <w:lvlText w:val="%3."/>
      <w:lvlJc w:val="right"/>
      <w:pPr>
        <w:tabs>
          <w:tab w:val="num" w:pos="6360"/>
        </w:tabs>
        <w:ind w:left="6360" w:hanging="180"/>
      </w:pPr>
    </w:lvl>
    <w:lvl w:ilvl="3" w:tplc="0419000F" w:tentative="1">
      <w:start w:val="1"/>
      <w:numFmt w:val="decimal"/>
      <w:lvlText w:val="%4."/>
      <w:lvlJc w:val="left"/>
      <w:pPr>
        <w:tabs>
          <w:tab w:val="num" w:pos="7080"/>
        </w:tabs>
        <w:ind w:left="7080" w:hanging="360"/>
      </w:pPr>
    </w:lvl>
    <w:lvl w:ilvl="4" w:tplc="04190019" w:tentative="1">
      <w:start w:val="1"/>
      <w:numFmt w:val="lowerLetter"/>
      <w:lvlText w:val="%5."/>
      <w:lvlJc w:val="left"/>
      <w:pPr>
        <w:tabs>
          <w:tab w:val="num" w:pos="7800"/>
        </w:tabs>
        <w:ind w:left="7800" w:hanging="360"/>
      </w:pPr>
    </w:lvl>
    <w:lvl w:ilvl="5" w:tplc="0419001B" w:tentative="1">
      <w:start w:val="1"/>
      <w:numFmt w:val="lowerRoman"/>
      <w:lvlText w:val="%6."/>
      <w:lvlJc w:val="right"/>
      <w:pPr>
        <w:tabs>
          <w:tab w:val="num" w:pos="8520"/>
        </w:tabs>
        <w:ind w:left="8520" w:hanging="180"/>
      </w:pPr>
    </w:lvl>
    <w:lvl w:ilvl="6" w:tplc="0419000F" w:tentative="1">
      <w:start w:val="1"/>
      <w:numFmt w:val="decimal"/>
      <w:lvlText w:val="%7."/>
      <w:lvlJc w:val="left"/>
      <w:pPr>
        <w:tabs>
          <w:tab w:val="num" w:pos="9240"/>
        </w:tabs>
        <w:ind w:left="9240" w:hanging="360"/>
      </w:pPr>
    </w:lvl>
    <w:lvl w:ilvl="7" w:tplc="04190019" w:tentative="1">
      <w:start w:val="1"/>
      <w:numFmt w:val="lowerLetter"/>
      <w:lvlText w:val="%8."/>
      <w:lvlJc w:val="left"/>
      <w:pPr>
        <w:tabs>
          <w:tab w:val="num" w:pos="9960"/>
        </w:tabs>
        <w:ind w:left="9960" w:hanging="360"/>
      </w:pPr>
    </w:lvl>
    <w:lvl w:ilvl="8" w:tplc="0419001B" w:tentative="1">
      <w:start w:val="1"/>
      <w:numFmt w:val="lowerRoman"/>
      <w:lvlText w:val="%9."/>
      <w:lvlJc w:val="right"/>
      <w:pPr>
        <w:tabs>
          <w:tab w:val="num" w:pos="10680"/>
        </w:tabs>
        <w:ind w:left="10680" w:hanging="180"/>
      </w:pPr>
    </w:lvl>
  </w:abstractNum>
  <w:abstractNum w:abstractNumId="1">
    <w:nsid w:val="5EF939E4"/>
    <w:multiLevelType w:val="hybridMultilevel"/>
    <w:tmpl w:val="1838752C"/>
    <w:lvl w:ilvl="0" w:tplc="0596AE5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C468AF"/>
    <w:multiLevelType w:val="hybridMultilevel"/>
    <w:tmpl w:val="842E62DE"/>
    <w:lvl w:ilvl="0" w:tplc="6F5EC1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F5A"/>
    <w:rsid w:val="00052C19"/>
    <w:rsid w:val="0012377D"/>
    <w:rsid w:val="001C303F"/>
    <w:rsid w:val="00200B26"/>
    <w:rsid w:val="00215D7F"/>
    <w:rsid w:val="00243D13"/>
    <w:rsid w:val="004625D6"/>
    <w:rsid w:val="00506226"/>
    <w:rsid w:val="00512322"/>
    <w:rsid w:val="00616032"/>
    <w:rsid w:val="006231D5"/>
    <w:rsid w:val="00704BD4"/>
    <w:rsid w:val="00706B2F"/>
    <w:rsid w:val="007E0914"/>
    <w:rsid w:val="00840F5F"/>
    <w:rsid w:val="009C304E"/>
    <w:rsid w:val="009F5D32"/>
    <w:rsid w:val="00A73EBC"/>
    <w:rsid w:val="00A813DC"/>
    <w:rsid w:val="00AD3208"/>
    <w:rsid w:val="00BE2FEE"/>
    <w:rsid w:val="00D36CD3"/>
    <w:rsid w:val="00E42971"/>
    <w:rsid w:val="00E73F5A"/>
    <w:rsid w:val="00EB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DBC084DE-3797-460E-BBA4-8E7480A8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Маша"/>
    <w:basedOn w:val="a0"/>
    <w:rsid w:val="00200B26"/>
    <w:pPr>
      <w:numPr>
        <w:numId w:val="7"/>
      </w:numPr>
      <w:pBdr>
        <w:top w:val="dotted" w:sz="18" w:space="1" w:color="FF00FF"/>
        <w:left w:val="dotted" w:sz="18" w:space="4" w:color="FF00FF"/>
        <w:bottom w:val="dotted" w:sz="18" w:space="1" w:color="FF00FF"/>
        <w:right w:val="dotted" w:sz="18" w:space="4" w:color="FF00FF"/>
      </w:pBdr>
      <w:shd w:val="clear" w:color="auto" w:fill="FF00FF"/>
      <w:tabs>
        <w:tab w:val="left" w:pos="2835"/>
        <w:tab w:val="left" w:pos="5670"/>
      </w:tabs>
      <w:jc w:val="right"/>
    </w:pPr>
    <w:rPr>
      <w:rFonts w:ascii="Courier New" w:hAnsi="Courier New"/>
      <w:color w:val="6600FF"/>
      <w:sz w:val="40"/>
      <w:szCs w:val="40"/>
    </w:rPr>
  </w:style>
  <w:style w:type="paragraph" w:customStyle="1" w:styleId="a4">
    <w:name w:val="Адаева"/>
    <w:basedOn w:val="a0"/>
    <w:next w:val="a"/>
    <w:rsid w:val="00200B26"/>
    <w:pPr>
      <w:shd w:val="clear" w:color="auto" w:fill="66FFFF"/>
      <w:spacing w:before="240" w:after="240" w:line="480" w:lineRule="auto"/>
      <w:ind w:firstLine="7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8773">
      <w:bodyDiv w:val="1"/>
      <w:marLeft w:val="0"/>
      <w:marRight w:val="0"/>
      <w:marTop w:val="0"/>
      <w:marBottom w:val="0"/>
      <w:divBdr>
        <w:top w:val="none" w:sz="0" w:space="0" w:color="auto"/>
        <w:left w:val="none" w:sz="0" w:space="0" w:color="auto"/>
        <w:bottom w:val="none" w:sz="0" w:space="0" w:color="auto"/>
        <w:right w:val="none" w:sz="0" w:space="0" w:color="auto"/>
      </w:divBdr>
    </w:div>
    <w:div w:id="529495629">
      <w:bodyDiv w:val="1"/>
      <w:marLeft w:val="0"/>
      <w:marRight w:val="0"/>
      <w:marTop w:val="0"/>
      <w:marBottom w:val="0"/>
      <w:divBdr>
        <w:top w:val="none" w:sz="0" w:space="0" w:color="auto"/>
        <w:left w:val="none" w:sz="0" w:space="0" w:color="auto"/>
        <w:bottom w:val="none" w:sz="0" w:space="0" w:color="auto"/>
        <w:right w:val="none" w:sz="0" w:space="0" w:color="auto"/>
      </w:divBdr>
    </w:div>
    <w:div w:id="599026335">
      <w:bodyDiv w:val="1"/>
      <w:marLeft w:val="0"/>
      <w:marRight w:val="0"/>
      <w:marTop w:val="0"/>
      <w:marBottom w:val="0"/>
      <w:divBdr>
        <w:top w:val="none" w:sz="0" w:space="0" w:color="auto"/>
        <w:left w:val="none" w:sz="0" w:space="0" w:color="auto"/>
        <w:bottom w:val="none" w:sz="0" w:space="0" w:color="auto"/>
        <w:right w:val="none" w:sz="0" w:space="0" w:color="auto"/>
      </w:divBdr>
    </w:div>
    <w:div w:id="719675498">
      <w:bodyDiv w:val="1"/>
      <w:marLeft w:val="0"/>
      <w:marRight w:val="0"/>
      <w:marTop w:val="0"/>
      <w:marBottom w:val="0"/>
      <w:divBdr>
        <w:top w:val="none" w:sz="0" w:space="0" w:color="auto"/>
        <w:left w:val="none" w:sz="0" w:space="0" w:color="auto"/>
        <w:bottom w:val="none" w:sz="0" w:space="0" w:color="auto"/>
        <w:right w:val="none" w:sz="0" w:space="0" w:color="auto"/>
      </w:divBdr>
    </w:div>
    <w:div w:id="1416049857">
      <w:bodyDiv w:val="1"/>
      <w:marLeft w:val="0"/>
      <w:marRight w:val="0"/>
      <w:marTop w:val="0"/>
      <w:marBottom w:val="0"/>
      <w:divBdr>
        <w:top w:val="none" w:sz="0" w:space="0" w:color="auto"/>
        <w:left w:val="none" w:sz="0" w:space="0" w:color="auto"/>
        <w:bottom w:val="none" w:sz="0" w:space="0" w:color="auto"/>
        <w:right w:val="none" w:sz="0" w:space="0" w:color="auto"/>
      </w:divBdr>
    </w:div>
    <w:div w:id="15990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13" Type="http://schemas.openxmlformats.org/officeDocument/2006/relationships/image" Target="media/image5.emf"/><Relationship Id="rId18" Type="http://schemas.openxmlformats.org/officeDocument/2006/relationships/oleObject" Target="embeddings/_____Microsoft_Excel_97-20037.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_____Microsoft_Excel_97-20034.xls"/><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6.xls"/><Relationship Id="rId20" Type="http://schemas.openxmlformats.org/officeDocument/2006/relationships/oleObject" Target="embeddings/_____Microsoft_Excel_97-20038.xls"/><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image" Target="media/image4.emf"/><Relationship Id="rId24" Type="http://schemas.openxmlformats.org/officeDocument/2006/relationships/oleObject" Target="embeddings/_____Microsoft_Excel_97-200310.xls"/><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oleObject" Target="embeddings/_____Microsoft_Excel_97-20033.xls"/><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Microsoft_Excel_97-20035.xls"/><Relationship Id="rId22" Type="http://schemas.openxmlformats.org/officeDocument/2006/relationships/oleObject" Target="embeddings/_____Microsoft_Excel_97-20039.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Анализ макроэкономических показателейКыргызстана</vt:lpstr>
    </vt:vector>
  </TitlesOfParts>
  <Company>Организация</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макроэкономических показателейКыргызстана</dc:title>
  <dc:subject/>
  <dc:creator>Мария</dc:creator>
  <cp:keywords/>
  <dc:description/>
  <cp:lastModifiedBy>admin</cp:lastModifiedBy>
  <cp:revision>2</cp:revision>
  <dcterms:created xsi:type="dcterms:W3CDTF">2014-05-06T18:02:00Z</dcterms:created>
  <dcterms:modified xsi:type="dcterms:W3CDTF">2014-05-06T18:02:00Z</dcterms:modified>
</cp:coreProperties>
</file>