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E1" w:rsidRDefault="00A7250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346258234"/>
      <w:bookmarkStart w:id="1" w:name="_Toc346268793"/>
      <w:bookmarkStart w:id="2" w:name="_Toc3893161"/>
      <w:r>
        <w:rPr>
          <w:b/>
          <w:bCs/>
          <w:color w:val="000000"/>
          <w:sz w:val="32"/>
          <w:szCs w:val="32"/>
        </w:rPr>
        <w:t>Производственный шум</w:t>
      </w:r>
      <w:bookmarkEnd w:id="0"/>
      <w:bookmarkEnd w:id="1"/>
      <w:bookmarkEnd w:id="2"/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Шум — сочетание различных по частоте и силе звуков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 — колебания частиц воздушной среды, которые воспринимаются органами слуха человека, в направлении их распространения.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Слышимый шум</w:t>
      </w:r>
      <w:r>
        <w:rPr>
          <w:color w:val="000000"/>
          <w:sz w:val="24"/>
          <w:szCs w:val="24"/>
        </w:rPr>
        <w:tab/>
        <w:t>— 20 - 20000 Гц,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ультразвуковой диапазон</w:t>
      </w:r>
      <w:r>
        <w:rPr>
          <w:color w:val="000000"/>
          <w:sz w:val="24"/>
          <w:szCs w:val="24"/>
        </w:rPr>
        <w:tab/>
        <w:t>— свыше 20 кГц,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инфразвук</w:t>
      </w:r>
      <w:r>
        <w:rPr>
          <w:color w:val="000000"/>
          <w:sz w:val="24"/>
          <w:szCs w:val="24"/>
        </w:rPr>
        <w:tab/>
        <w:t>— меньше 20 Гц,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устойчивый слышимый звук</w:t>
      </w:r>
      <w:r>
        <w:rPr>
          <w:color w:val="000000"/>
          <w:sz w:val="24"/>
          <w:szCs w:val="24"/>
        </w:rPr>
        <w:tab/>
        <w:t>— 1000 Гц - 3000 Гц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3" w:name="_Toc346258235"/>
      <w:bookmarkStart w:id="4" w:name="_Toc346268794"/>
      <w:bookmarkStart w:id="5" w:name="_Toc3893162"/>
      <w:r>
        <w:rPr>
          <w:color w:val="000000"/>
          <w:sz w:val="24"/>
          <w:szCs w:val="24"/>
        </w:rPr>
        <w:t>Вредное воздействие шума:</w:t>
      </w:r>
      <w:bookmarkEnd w:id="3"/>
      <w:bookmarkEnd w:id="4"/>
      <w:bookmarkEnd w:id="5"/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сердечно-сосудистая система;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неравная система;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слуха (барабанная перепонка)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6" w:name="_Toc346258236"/>
      <w:bookmarkStart w:id="7" w:name="_Toc346268795"/>
      <w:bookmarkStart w:id="8" w:name="_Toc3893163"/>
      <w:r>
        <w:rPr>
          <w:color w:val="000000"/>
          <w:sz w:val="24"/>
          <w:szCs w:val="24"/>
        </w:rPr>
        <w:t>Физические характеристики шума</w:t>
      </w:r>
      <w:bookmarkEnd w:id="6"/>
      <w:bookmarkEnd w:id="7"/>
      <w:bookmarkEnd w:id="8"/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интенсивность звука</w:t>
      </w:r>
      <w:r>
        <w:rPr>
          <w:color w:val="000000"/>
          <w:sz w:val="24"/>
          <w:szCs w:val="24"/>
        </w:rPr>
        <w:tab/>
        <w:t>J, [Вт/м2];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звуковое давление</w:t>
      </w:r>
      <w:r>
        <w:rPr>
          <w:color w:val="000000"/>
          <w:sz w:val="24"/>
          <w:szCs w:val="24"/>
        </w:rPr>
        <w:tab/>
        <w:t>Р, [Па];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</w:t>
      </w:r>
      <w:r>
        <w:rPr>
          <w:color w:val="000000"/>
          <w:sz w:val="24"/>
          <w:szCs w:val="24"/>
        </w:rPr>
        <w:tab/>
        <w:t>f, [Гц]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Интенсивность — кол-во энергии, переносимое звуковой волной за 1 с через площадь в 1м2, перпендикулярно распространению звуковой волны.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Звуковое давление — дополнительное давление воздуха, которое возникает при прохождении через него звуковой волны.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протяженный частотный диапазон (20-20000 Гц) при оценки источника шума, используется логарифмический показатель, который называется уровнем интенсивности.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3.75pt" o:ole="">
            <v:imagedata r:id="rId5" o:title=""/>
          </v:shape>
          <o:OLEObject Type="Embed" ProgID="Equation.3" ShapeID="_x0000_i1025" DrawAspect="Content" ObjectID="_1459346998" r:id="rId6"/>
        </w:object>
      </w:r>
      <w:r>
        <w:rPr>
          <w:color w:val="000000"/>
          <w:sz w:val="24"/>
          <w:szCs w:val="24"/>
        </w:rPr>
        <w:t xml:space="preserve"> [дБ]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ab/>
        <w:t>- интенсивность в точке измерения [Вт/м2]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J0</w:t>
      </w:r>
      <w:r>
        <w:rPr>
          <w:color w:val="000000"/>
          <w:sz w:val="24"/>
          <w:szCs w:val="24"/>
        </w:rPr>
        <w:tab/>
        <w:t>- величина, которая равна порогу слышимости 10-12 [Вт/м2]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расчетах и нормировании используется показатель — уровень звукового давления.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500" w:dyaOrig="680">
          <v:shape id="_x0000_i1026" type="#_x0000_t75" style="width:75pt;height:33.75pt" o:ole="">
            <v:imagedata r:id="rId7" o:title=""/>
          </v:shape>
          <o:OLEObject Type="Embed" ProgID="Equation.3" ShapeID="_x0000_i1026" DrawAspect="Content" ObjectID="_1459346999" r:id="rId8"/>
        </w:object>
      </w:r>
      <w:r>
        <w:rPr>
          <w:color w:val="000000"/>
          <w:sz w:val="24"/>
          <w:szCs w:val="24"/>
        </w:rPr>
        <w:t xml:space="preserve"> [дБ]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ab/>
        <w:t>- звуковое давление в точке измерения [Па];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Р0</w:t>
      </w:r>
      <w:r>
        <w:rPr>
          <w:color w:val="000000"/>
          <w:sz w:val="24"/>
          <w:szCs w:val="24"/>
        </w:rPr>
        <w:tab/>
        <w:t>- пороговое значение 2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10-5 [Па]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оценке источника шума и нормировании используется логарифмический уровень звука.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600" w:dyaOrig="700">
          <v:shape id="_x0000_i1027" type="#_x0000_t75" style="width:80.25pt;height:35.25pt" o:ole="">
            <v:imagedata r:id="rId9" o:title=""/>
          </v:shape>
          <o:OLEObject Type="Embed" ProgID="Equation.3" ShapeID="_x0000_i1027" DrawAspect="Content" ObjectID="_1459347000" r:id="rId10"/>
        </w:object>
      </w:r>
      <w:r>
        <w:rPr>
          <w:color w:val="000000"/>
          <w:sz w:val="24"/>
          <w:szCs w:val="24"/>
        </w:rPr>
        <w:t xml:space="preserve"> [дБА]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ab/>
        <w:t>- звуковое давление в точке измерения по шкале А прибора шумомера, т.е. на шкале 1000 Гц.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Спектр шума — зависимость уровня звукового давления от частоты.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Спектры бывают: - дискретные; - сплошные; - тональный.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производственном помещении обычно бывают несколько источников шума. 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оценки источника шума одинаковых по своему уровню: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 = Li + 10 lgn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</w:t>
      </w:r>
      <w:r>
        <w:rPr>
          <w:color w:val="000000"/>
          <w:sz w:val="24"/>
          <w:szCs w:val="24"/>
        </w:rPr>
        <w:tab/>
        <w:t>- уровень звукового давления одного из источников [дБ];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ab/>
        <w:t>- кол-во источников шума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кол-во источников меняется от 1-100, а Li = 80 дБ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 = 1</w:t>
      </w:r>
      <w:r>
        <w:rPr>
          <w:color w:val="000000"/>
          <w:sz w:val="24"/>
          <w:szCs w:val="24"/>
        </w:rPr>
        <w:tab/>
        <w:t>L = 80 дБ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 = 10</w:t>
      </w:r>
      <w:r>
        <w:rPr>
          <w:color w:val="000000"/>
          <w:sz w:val="24"/>
          <w:szCs w:val="24"/>
        </w:rPr>
        <w:tab/>
        <w:t>L = 90 дБ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 = 100</w:t>
      </w:r>
      <w:r>
        <w:rPr>
          <w:color w:val="000000"/>
          <w:sz w:val="24"/>
          <w:szCs w:val="24"/>
        </w:rPr>
        <w:tab/>
        <w:t>L = 100 дБ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оценки источников шума различных по своему уровню: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 = Lmax +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L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Lmax</w:t>
      </w:r>
      <w:r>
        <w:rPr>
          <w:color w:val="000000"/>
          <w:sz w:val="24"/>
          <w:szCs w:val="24"/>
        </w:rPr>
        <w:tab/>
        <w:t>- максимальный уровень звукового давления одного из 2-х источников;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ab/>
        <w:t>- поправка, зависящая от разности между max и min уровнем давления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426"/>
        <w:gridCol w:w="425"/>
      </w:tblGrid>
      <w:tr w:rsidR="002312E1"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Lmax - Lmin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2312E1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sym w:font="Symbol" w:char="F044"/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9" w:name="_Toc346258237"/>
      <w:bookmarkStart w:id="10" w:name="_Toc346268796"/>
      <w:bookmarkStart w:id="11" w:name="_Toc3893164"/>
      <w:r>
        <w:rPr>
          <w:color w:val="000000"/>
          <w:sz w:val="24"/>
          <w:szCs w:val="24"/>
        </w:rPr>
        <w:t>Звуковое восприятие человеком</w:t>
      </w:r>
      <w:bookmarkEnd w:id="9"/>
      <w:bookmarkEnd w:id="10"/>
      <w:bookmarkEnd w:id="11"/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9"/>
        <w:gridCol w:w="3875"/>
      </w:tblGrid>
      <w:tr w:rsidR="002312E1"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3852" w:dyaOrig="2703">
                <v:shape id="_x0000_i1028" type="#_x0000_t75" style="width:148.5pt;height:104.25pt" o:ole="" fillcolor="window">
                  <v:imagedata r:id="rId11" o:title=""/>
                </v:shape>
                <o:OLEObject Type="Embed" ProgID="Word.Picture.8" ShapeID="_x0000_i1028" DrawAspect="Content" ObjectID="_1459347001" r:id="rId12"/>
              </w:objec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2312E1" w:rsidRDefault="00A725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Т.к. органы слуха человека обладают неодинаковой чувствительностью к звуковым колебаниям различной частоты, весь диапазон частот на практике разбит на октавные полосы.</w:t>
            </w:r>
          </w:p>
          <w:p w:rsidR="002312E1" w:rsidRDefault="002312E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Октава — полоса частот с границами f1 - f2, где f2/f1 = 2.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Среднегеометрическая частота — fСТ = </w:t>
      </w:r>
      <w:r>
        <w:rPr>
          <w:color w:val="000000"/>
          <w:sz w:val="24"/>
          <w:szCs w:val="24"/>
        </w:rPr>
        <w:object w:dxaOrig="880" w:dyaOrig="400">
          <v:shape id="_x0000_i1029" type="#_x0000_t75" style="width:44.25pt;height:20.25pt" o:ole="">
            <v:imagedata r:id="rId13" o:title=""/>
          </v:shape>
          <o:OLEObject Type="Embed" ProgID="Equation.3" ShapeID="_x0000_i1029" DrawAspect="Content" ObjectID="_1459347002" r:id="rId14"/>
        </w:objec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 спектр разбит на 8 октавных полос: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45-90;</w:t>
      </w:r>
      <w:r>
        <w:rPr>
          <w:color w:val="000000"/>
          <w:sz w:val="24"/>
          <w:szCs w:val="24"/>
        </w:rPr>
        <w:tab/>
        <w:t>90-180;</w:t>
      </w:r>
      <w:r>
        <w:rPr>
          <w:color w:val="000000"/>
          <w:sz w:val="24"/>
          <w:szCs w:val="24"/>
        </w:rPr>
        <w:tab/>
        <w:t>180-360</w:t>
      </w:r>
      <w:r>
        <w:rPr>
          <w:color w:val="000000"/>
          <w:sz w:val="24"/>
          <w:szCs w:val="24"/>
        </w:rPr>
        <w:tab/>
        <w:t>...</w:t>
      </w:r>
      <w:r>
        <w:rPr>
          <w:color w:val="000000"/>
          <w:sz w:val="24"/>
          <w:szCs w:val="24"/>
        </w:rPr>
        <w:tab/>
        <w:t>5600-11200.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Среднегеометрические частоты октавных 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полос: </w:t>
      </w:r>
      <w:r>
        <w:rPr>
          <w:color w:val="000000"/>
          <w:sz w:val="24"/>
          <w:szCs w:val="24"/>
        </w:rPr>
        <w:tab/>
        <w:t>63</w:t>
      </w:r>
      <w:r>
        <w:rPr>
          <w:color w:val="000000"/>
          <w:sz w:val="24"/>
          <w:szCs w:val="24"/>
        </w:rPr>
        <w:tab/>
        <w:t>125</w:t>
      </w:r>
      <w:r>
        <w:rPr>
          <w:color w:val="000000"/>
          <w:sz w:val="24"/>
          <w:szCs w:val="24"/>
        </w:rPr>
        <w:tab/>
        <w:t>250</w:t>
      </w:r>
      <w:r>
        <w:rPr>
          <w:color w:val="000000"/>
          <w:sz w:val="24"/>
          <w:szCs w:val="24"/>
        </w:rPr>
        <w:tab/>
        <w:t>...</w:t>
      </w:r>
      <w:r>
        <w:rPr>
          <w:color w:val="000000"/>
          <w:sz w:val="24"/>
          <w:szCs w:val="24"/>
        </w:rPr>
        <w:tab/>
        <w:t>8000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Звуковой комфорт</w:t>
      </w:r>
      <w:r>
        <w:rPr>
          <w:color w:val="000000"/>
          <w:sz w:val="24"/>
          <w:szCs w:val="24"/>
        </w:rPr>
        <w:tab/>
        <w:t>— 20 дБ;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шум проезжей части улицы</w:t>
      </w:r>
      <w:r>
        <w:rPr>
          <w:color w:val="000000"/>
          <w:sz w:val="24"/>
          <w:szCs w:val="24"/>
        </w:rPr>
        <w:tab/>
        <w:t>— 60 дБ;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интенсивное движение</w:t>
      </w:r>
      <w:r>
        <w:rPr>
          <w:color w:val="000000"/>
          <w:sz w:val="24"/>
          <w:szCs w:val="24"/>
        </w:rPr>
        <w:tab/>
        <w:t>— 80 дБ;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пылесоса</w:t>
      </w:r>
      <w:r>
        <w:rPr>
          <w:color w:val="000000"/>
          <w:sz w:val="24"/>
          <w:szCs w:val="24"/>
        </w:rPr>
        <w:tab/>
        <w:t>— 75-80 дБ;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шум в метро</w:t>
      </w:r>
      <w:r>
        <w:rPr>
          <w:color w:val="000000"/>
          <w:sz w:val="24"/>
          <w:szCs w:val="24"/>
        </w:rPr>
        <w:tab/>
        <w:t>— 90-100 дБ;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концерт</w:t>
      </w:r>
      <w:r>
        <w:rPr>
          <w:color w:val="000000"/>
          <w:sz w:val="24"/>
          <w:szCs w:val="24"/>
        </w:rPr>
        <w:tab/>
        <w:t>— 120 дБ;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взлет самолета</w:t>
      </w:r>
      <w:r>
        <w:rPr>
          <w:color w:val="000000"/>
          <w:sz w:val="24"/>
          <w:szCs w:val="24"/>
        </w:rPr>
        <w:tab/>
        <w:t>— 145-150 дБ;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взрыв атомной бомбы</w:t>
      </w:r>
      <w:r>
        <w:rPr>
          <w:color w:val="000000"/>
          <w:sz w:val="24"/>
          <w:szCs w:val="24"/>
        </w:rPr>
        <w:tab/>
        <w:t>— 200 дБ</w:t>
      </w:r>
    </w:p>
    <w:p w:rsidR="002312E1" w:rsidRDefault="00A725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2" w:name="_Toc346258238"/>
      <w:bookmarkStart w:id="13" w:name="_Toc346268797"/>
      <w:bookmarkStart w:id="14" w:name="_Toc3893165"/>
      <w:r>
        <w:rPr>
          <w:b/>
          <w:bCs/>
          <w:color w:val="000000"/>
          <w:sz w:val="28"/>
          <w:szCs w:val="28"/>
        </w:rPr>
        <w:t>Нормирование шума</w:t>
      </w:r>
      <w:bookmarkEnd w:id="12"/>
      <w:bookmarkEnd w:id="13"/>
      <w:bookmarkEnd w:id="14"/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Нормативным документом является ГОСТ 12.1.003-90 ССБТ.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метод. Нормирование по уровню звукового давления.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метод. Нормирование по уровню звука.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1 методу дополнительный уровень звукового давления на раб. местах (смена 8 ч) устанавливается для октавных полос со средними геом. частотами, т.е. нормируется с учетом спектра.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2 методу дополнительный уровень звука на раб. местах устанавливается по общему уровню звука, определенного по шкале А шумометра, т.е. на частоте 1000 Гц.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5" w:name="_Toc346258239"/>
      <w:bookmarkStart w:id="16" w:name="_Toc346268798"/>
      <w:bookmarkStart w:id="17" w:name="_Toc3893166"/>
      <w:r>
        <w:rPr>
          <w:color w:val="000000"/>
          <w:sz w:val="24"/>
          <w:szCs w:val="24"/>
        </w:rPr>
        <w:t>Нормы шума для помещений лабораторий</w:t>
      </w:r>
      <w:bookmarkEnd w:id="15"/>
      <w:bookmarkEnd w:id="16"/>
      <w:bookmarkEnd w:id="17"/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567"/>
        <w:gridCol w:w="567"/>
        <w:gridCol w:w="708"/>
        <w:gridCol w:w="709"/>
        <w:gridCol w:w="709"/>
        <w:gridCol w:w="709"/>
        <w:gridCol w:w="1275"/>
      </w:tblGrid>
      <w:tr w:rsidR="002312E1">
        <w:tc>
          <w:tcPr>
            <w:tcW w:w="5032" w:type="dxa"/>
            <w:gridSpan w:val="8"/>
            <w:tcBorders>
              <w:bottom w:val="double" w:sz="6" w:space="0" w:color="auto"/>
            </w:tcBorders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зв. давления [дБ]</w:t>
            </w:r>
          </w:p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окт. со среднегеом. част. [Гц]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</w:t>
            </w:r>
          </w:p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звука, дБА</w:t>
            </w:r>
          </w:p>
        </w:tc>
      </w:tr>
      <w:tr w:rsidR="002312E1">
        <w:tc>
          <w:tcPr>
            <w:tcW w:w="496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9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5" w:type="dxa"/>
            <w:tcBorders>
              <w:bottom w:val="nil"/>
            </w:tcBorders>
          </w:tcPr>
          <w:p w:rsidR="002312E1" w:rsidRDefault="002312E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12E1">
        <w:tc>
          <w:tcPr>
            <w:tcW w:w="496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nil"/>
            </w:tcBorders>
          </w:tcPr>
          <w:p w:rsidR="002312E1" w:rsidRDefault="00A7250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более75</w:t>
            </w:r>
          </w:p>
        </w:tc>
      </w:tr>
    </w:tbl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Доп. уровень звука в жилой застройке с 700-2300 не более 40 дБА, с 2300-700 — 30 дБА.</w:t>
      </w:r>
    </w:p>
    <w:p w:rsidR="002312E1" w:rsidRDefault="00A725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8" w:name="_Toc346258240"/>
      <w:bookmarkStart w:id="19" w:name="_Toc346268799"/>
      <w:bookmarkStart w:id="20" w:name="_Toc3893167"/>
      <w:r>
        <w:rPr>
          <w:b/>
          <w:bCs/>
          <w:color w:val="000000"/>
          <w:sz w:val="28"/>
          <w:szCs w:val="28"/>
        </w:rPr>
        <w:t>Мероприятия по борьбе с шумом</w:t>
      </w:r>
      <w:bookmarkEnd w:id="18"/>
      <w:bookmarkEnd w:id="19"/>
      <w:bookmarkEnd w:id="20"/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группа</w:t>
      </w:r>
      <w:r>
        <w:rPr>
          <w:color w:val="000000"/>
          <w:sz w:val="24"/>
          <w:szCs w:val="24"/>
        </w:rPr>
        <w:tab/>
        <w:t>- Строительно-планировочная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группа</w:t>
      </w:r>
      <w:r>
        <w:rPr>
          <w:color w:val="000000"/>
          <w:sz w:val="24"/>
          <w:szCs w:val="24"/>
        </w:rPr>
        <w:tab/>
        <w:t>- Конструктивная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группа</w:t>
      </w:r>
      <w:r>
        <w:rPr>
          <w:color w:val="000000"/>
          <w:sz w:val="24"/>
          <w:szCs w:val="24"/>
        </w:rPr>
        <w:tab/>
        <w:t>- Снижение шума в источнике его возникновения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группа</w:t>
      </w:r>
      <w:r>
        <w:rPr>
          <w:color w:val="000000"/>
          <w:sz w:val="24"/>
          <w:szCs w:val="24"/>
        </w:rPr>
        <w:tab/>
        <w:t>- Организационные мероприятия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группа. Строительно-планировочная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определенных строительных материалов связано с этом проектирования. В ИВЦ — акустическая обработка помещения (облицовка пористыми акустическими панелями). Для защиты окружающей среды от шума используются лесные насаждения. Снижается уровень звука от 5-40 дБА.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группа. Конструктивная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Установка звукоизолирующих преград (экранов). Реализация метода звукоизоляции (отражение энергии звуковой волны). Используются материалы с гладкой поверхностью (стекло, пластик, металл).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Акустическая обработка помещения (звукопоглощение).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снизить уровень звука до 45 дБА.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объемных звукопоглотителей (звукоизолятор + звукопоглотитель). Устанавливается над значительными источниками звука.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снизить уровень звука до 30-50 дБА.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группа. Снижение шума в источнике его возникновения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Самый эффективный метод, возможен на этапе проектирования. Используются композитные материалы 2-х слойные. Снижение: 20-60 дБА.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группа. Организационные мероприятия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режима труда и отдыха персонала.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раб. времени.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работы значительных источников шума в разных источниках.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Снижение: 5-10 дБА.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уровень шума не снижается в пределах нормы, используются индивидуальные средства защиты (наушники, шлемофоны).</w:t>
      </w:r>
    </w:p>
    <w:p w:rsidR="002312E1" w:rsidRDefault="00A725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Приборы контроля: - шумомеры; - виброаккустический комплекс — RFT, ВШВ.</w:t>
      </w:r>
    </w:p>
    <w:p w:rsidR="002312E1" w:rsidRDefault="002312E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21" w:name="_GoBack"/>
      <w:bookmarkEnd w:id="21"/>
    </w:p>
    <w:sectPr w:rsidR="002312E1">
      <w:pgSz w:w="11906" w:h="16838" w:code="1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ios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T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0E21"/>
    <w:multiLevelType w:val="multilevel"/>
    <w:tmpl w:val="8B0C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TimesNew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505"/>
    <w:rsid w:val="002312E1"/>
    <w:rsid w:val="00A72505"/>
    <w:rsid w:val="00F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F8013585-2E04-4851-B302-AB7AA984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pPr>
      <w:pageBreakBefore/>
      <w:suppressAutoHyphens/>
      <w:spacing w:before="120" w:after="120"/>
      <w:ind w:firstLine="425"/>
      <w:jc w:val="center"/>
      <w:outlineLvl w:val="0"/>
    </w:pPr>
    <w:rPr>
      <w:rFonts w:ascii="HeliosBlack" w:hAnsi="HeliosBlack" w:cs="HeliosBlack"/>
      <w:b/>
      <w:bCs/>
      <w:kern w:val="28"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120" w:after="120"/>
      <w:outlineLvl w:val="1"/>
    </w:pPr>
    <w:rPr>
      <w:rFonts w:ascii="Helios" w:hAnsi="Helios" w:cs="Helios"/>
      <w:b/>
      <w:bCs/>
      <w:i/>
      <w:iCs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pPr>
      <w:keepNext/>
      <w:spacing w:before="60"/>
      <w:jc w:val="center"/>
      <w:outlineLvl w:val="2"/>
    </w:pPr>
    <w:rPr>
      <w:rFonts w:ascii="TimesET" w:hAnsi="TimesET" w:cs="TimesET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Pr>
      <w:rFonts w:ascii="Helios" w:hAnsi="Helios" w:cs="Helios"/>
      <w:b/>
      <w:bCs/>
      <w:i/>
      <w:iCs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0">
    <w:name w:val="Plain Text"/>
    <w:basedOn w:val="a"/>
    <w:link w:val="a4"/>
    <w:uiPriority w:val="99"/>
    <w:pPr>
      <w:ind w:firstLine="426"/>
      <w:jc w:val="both"/>
    </w:pPr>
    <w:rPr>
      <w:rFonts w:ascii="TimesET" w:hAnsi="TimesET" w:cs="TimesET"/>
    </w:rPr>
  </w:style>
  <w:style w:type="character" w:customStyle="1" w:styleId="a4">
    <w:name w:val="Текст Знак"/>
    <w:basedOn w:val="a1"/>
    <w:link w:val="a0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macro"/>
    <w:link w:val="a6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TM" w:hAnsi="CourierTM" w:cs="CourierTM"/>
      <w:sz w:val="20"/>
      <w:szCs w:val="20"/>
    </w:rPr>
  </w:style>
  <w:style w:type="character" w:customStyle="1" w:styleId="a6">
    <w:name w:val="Текст макроса Знак"/>
    <w:basedOn w:val="a1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pPr>
      <w:spacing w:before="240" w:after="60"/>
      <w:jc w:val="center"/>
    </w:pPr>
    <w:rPr>
      <w:rFonts w:ascii="Helios" w:hAnsi="Helios" w:cs="Helios"/>
      <w:b/>
      <w:bCs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pPr>
      <w:tabs>
        <w:tab w:val="center" w:pos="4703"/>
        <w:tab w:val="right" w:pos="9406"/>
      </w:tabs>
    </w:pPr>
    <w:rPr>
      <w:rFonts w:ascii="TimesET" w:hAnsi="TimesET" w:cs="TimesET"/>
    </w:rPr>
  </w:style>
  <w:style w:type="character" w:customStyle="1" w:styleId="aa">
    <w:name w:val="Нижний колонтитул Знак"/>
    <w:basedOn w:val="a1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1"/>
    <w:uiPriority w:val="99"/>
  </w:style>
  <w:style w:type="paragraph" w:styleId="ac">
    <w:name w:val="header"/>
    <w:basedOn w:val="a"/>
    <w:link w:val="ad"/>
    <w:uiPriority w:val="99"/>
    <w:pPr>
      <w:tabs>
        <w:tab w:val="center" w:pos="4703"/>
        <w:tab w:val="right" w:pos="9406"/>
      </w:tabs>
    </w:pPr>
    <w:rPr>
      <w:rFonts w:ascii="TimesET" w:hAnsi="TimesET" w:cs="TimesET"/>
    </w:rPr>
  </w:style>
  <w:style w:type="character" w:customStyle="1" w:styleId="ad">
    <w:name w:val="Верхний колонтитул Знак"/>
    <w:basedOn w:val="a1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uiPriority w:val="99"/>
    <w:pPr>
      <w:tabs>
        <w:tab w:val="right" w:leader="dot" w:pos="6690"/>
      </w:tabs>
      <w:spacing w:before="60"/>
      <w:ind w:right="454"/>
    </w:pPr>
    <w:rPr>
      <w:rFonts w:ascii="TimesET" w:hAnsi="TimesET" w:cs="TimesET"/>
      <w:b/>
      <w:bCs/>
    </w:rPr>
  </w:style>
  <w:style w:type="paragraph" w:styleId="21">
    <w:name w:val="toc 2"/>
    <w:basedOn w:val="a"/>
    <w:next w:val="a"/>
    <w:uiPriority w:val="99"/>
    <w:pPr>
      <w:tabs>
        <w:tab w:val="right" w:leader="dot" w:pos="6690"/>
      </w:tabs>
      <w:ind w:left="200" w:right="453"/>
    </w:pPr>
    <w:rPr>
      <w:rFonts w:ascii="TimesET" w:hAnsi="TimesET" w:cs="TimesET"/>
    </w:rPr>
  </w:style>
  <w:style w:type="paragraph" w:styleId="31">
    <w:name w:val="toc 3"/>
    <w:basedOn w:val="a"/>
    <w:next w:val="a"/>
    <w:uiPriority w:val="99"/>
    <w:pPr>
      <w:tabs>
        <w:tab w:val="right" w:leader="dot" w:pos="6690"/>
      </w:tabs>
      <w:ind w:left="400" w:right="453"/>
    </w:pPr>
    <w:rPr>
      <w:rFonts w:ascii="TimesET" w:hAnsi="TimesET" w:cs="TimesET"/>
      <w:i/>
      <w:iCs/>
    </w:rPr>
  </w:style>
  <w:style w:type="paragraph" w:styleId="4">
    <w:name w:val="toc 4"/>
    <w:basedOn w:val="a"/>
    <w:next w:val="a"/>
    <w:uiPriority w:val="99"/>
    <w:pPr>
      <w:tabs>
        <w:tab w:val="right" w:leader="dot" w:pos="6690"/>
      </w:tabs>
      <w:ind w:left="600"/>
    </w:pPr>
    <w:rPr>
      <w:rFonts w:ascii="TimesET" w:hAnsi="TimesET" w:cs="TimesET"/>
    </w:rPr>
  </w:style>
  <w:style w:type="paragraph" w:styleId="5">
    <w:name w:val="toc 5"/>
    <w:basedOn w:val="a"/>
    <w:next w:val="a"/>
    <w:uiPriority w:val="99"/>
    <w:pPr>
      <w:tabs>
        <w:tab w:val="right" w:leader="dot" w:pos="6690"/>
      </w:tabs>
      <w:ind w:left="800"/>
    </w:pPr>
    <w:rPr>
      <w:rFonts w:ascii="TimesET" w:hAnsi="TimesET" w:cs="TimesET"/>
    </w:rPr>
  </w:style>
  <w:style w:type="paragraph" w:styleId="6">
    <w:name w:val="toc 6"/>
    <w:basedOn w:val="a"/>
    <w:next w:val="a"/>
    <w:uiPriority w:val="99"/>
    <w:pPr>
      <w:tabs>
        <w:tab w:val="right" w:leader="dot" w:pos="6690"/>
      </w:tabs>
      <w:ind w:left="1000"/>
    </w:pPr>
    <w:rPr>
      <w:rFonts w:ascii="TimesET" w:hAnsi="TimesET" w:cs="TimesET"/>
    </w:rPr>
  </w:style>
  <w:style w:type="paragraph" w:styleId="7">
    <w:name w:val="toc 7"/>
    <w:basedOn w:val="a"/>
    <w:next w:val="a"/>
    <w:uiPriority w:val="99"/>
    <w:pPr>
      <w:tabs>
        <w:tab w:val="right" w:leader="dot" w:pos="6690"/>
      </w:tabs>
      <w:ind w:left="1200"/>
    </w:pPr>
    <w:rPr>
      <w:rFonts w:ascii="TimesET" w:hAnsi="TimesET" w:cs="TimesET"/>
    </w:rPr>
  </w:style>
  <w:style w:type="paragraph" w:styleId="8">
    <w:name w:val="toc 8"/>
    <w:basedOn w:val="a"/>
    <w:next w:val="a"/>
    <w:uiPriority w:val="99"/>
    <w:pPr>
      <w:tabs>
        <w:tab w:val="right" w:leader="dot" w:pos="6690"/>
      </w:tabs>
      <w:ind w:left="1400"/>
    </w:pPr>
    <w:rPr>
      <w:rFonts w:ascii="TimesET" w:hAnsi="TimesET" w:cs="TimesET"/>
    </w:rPr>
  </w:style>
  <w:style w:type="paragraph" w:styleId="9">
    <w:name w:val="toc 9"/>
    <w:basedOn w:val="a"/>
    <w:next w:val="a"/>
    <w:uiPriority w:val="99"/>
    <w:pPr>
      <w:tabs>
        <w:tab w:val="right" w:leader="dot" w:pos="6690"/>
      </w:tabs>
      <w:ind w:left="1600"/>
    </w:pPr>
    <w:rPr>
      <w:rFonts w:ascii="TimesET" w:hAnsi="TimesET" w:cs="TimesET"/>
    </w:rPr>
  </w:style>
  <w:style w:type="paragraph" w:customStyle="1" w:styleId="1TimesNewRoman">
    <w:name w:val="Стиль Заголовок 1 + Times New Roman"/>
    <w:basedOn w:val="1"/>
    <w:uiPriority w:val="99"/>
    <w:pPr>
      <w:pageBreakBefore w:val="0"/>
      <w:spacing w:after="0"/>
      <w:ind w:firstLine="0"/>
    </w:pPr>
    <w:rPr>
      <w:rFonts w:ascii="Times New Roman" w:hAnsi="Times New Roman" w:cs="Times New Roman"/>
    </w:rPr>
  </w:style>
  <w:style w:type="paragraph" w:customStyle="1" w:styleId="2TimesNewRoman">
    <w:name w:val="Стиль Заголовок 2 + Times New Roman"/>
    <w:basedOn w:val="2"/>
    <w:uiPriority w:val="99"/>
    <w:pPr>
      <w:jc w:val="center"/>
    </w:pPr>
    <w:rPr>
      <w:rFonts w:ascii="Times New Roman" w:hAnsi="Times New Roman" w:cs="Times New Roman"/>
    </w:rPr>
  </w:style>
  <w:style w:type="character" w:customStyle="1" w:styleId="2TimesNewRoman0">
    <w:name w:val="Стиль Заголовок 2 + Times New Roman Знак"/>
    <w:basedOn w:val="20"/>
    <w:uiPriority w:val="99"/>
    <w:rPr>
      <w:rFonts w:ascii="Helios" w:hAnsi="Helios" w:cs="Helios"/>
      <w:b/>
      <w:bCs/>
      <w:i/>
      <w:iCs/>
      <w:sz w:val="24"/>
      <w:szCs w:val="24"/>
      <w:lang w:val="ru-RU" w:eastAsia="ru-RU"/>
    </w:rPr>
  </w:style>
  <w:style w:type="paragraph" w:customStyle="1" w:styleId="3TimesNewRoman">
    <w:name w:val="Стиль Заголовок 3 + Times New Roman"/>
    <w:basedOn w:val="3"/>
    <w:uiPriority w:val="99"/>
    <w:pPr>
      <w:numPr>
        <w:ilvl w:val="2"/>
        <w:numId w:val="1"/>
      </w:numPr>
    </w:pPr>
    <w:rPr>
      <w:rFonts w:ascii="Times New Roman" w:hAnsi="Times New Roman" w:cs="Times New Roman"/>
    </w:rPr>
  </w:style>
  <w:style w:type="character" w:styleId="ae">
    <w:name w:val="Hyperlink"/>
    <w:basedOn w:val="a1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4456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шум</dc:title>
  <dc:subject/>
  <dc:creator>USER</dc:creator>
  <cp:keywords/>
  <dc:description/>
  <cp:lastModifiedBy>admin</cp:lastModifiedBy>
  <cp:revision>2</cp:revision>
  <dcterms:created xsi:type="dcterms:W3CDTF">2014-04-18T14:23:00Z</dcterms:created>
  <dcterms:modified xsi:type="dcterms:W3CDTF">2014-04-18T14:23:00Z</dcterms:modified>
</cp:coreProperties>
</file>