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894" w:rsidRDefault="002F4894" w:rsidP="00C85087">
      <w:pPr>
        <w:pStyle w:val="a3"/>
        <w:jc w:val="right"/>
        <w:rPr>
          <w:rStyle w:val="a4"/>
        </w:rPr>
      </w:pPr>
    </w:p>
    <w:p w:rsidR="00C85087" w:rsidRPr="00C85087" w:rsidRDefault="00C85087" w:rsidP="00C85087">
      <w:pPr>
        <w:pStyle w:val="a3"/>
        <w:jc w:val="right"/>
        <w:rPr>
          <w:rStyle w:val="a4"/>
        </w:rPr>
      </w:pPr>
      <w:r w:rsidRPr="00C85087">
        <w:rPr>
          <w:rStyle w:val="a4"/>
        </w:rPr>
        <w:t>Сорокин Евгений группа 5111</w:t>
      </w:r>
    </w:p>
    <w:p w:rsidR="00C85087" w:rsidRDefault="00C85087" w:rsidP="00C85087">
      <w:pPr>
        <w:pStyle w:val="a3"/>
        <w:jc w:val="center"/>
        <w:rPr>
          <w:rStyle w:val="a4"/>
          <w:color w:val="800000"/>
        </w:rPr>
      </w:pPr>
    </w:p>
    <w:p w:rsidR="00C85087" w:rsidRDefault="00C85087" w:rsidP="00C85087">
      <w:pPr>
        <w:pStyle w:val="a3"/>
        <w:jc w:val="center"/>
      </w:pPr>
      <w:r>
        <w:rPr>
          <w:rStyle w:val="a4"/>
          <w:color w:val="800000"/>
        </w:rPr>
        <w:t>НАЦИОНАЛЬНЫЙ ПРИОРИТЕТНЫЙ ПРОЕКТ</w:t>
      </w:r>
      <w:r>
        <w:rPr>
          <w:b/>
          <w:bCs/>
          <w:color w:val="800000"/>
        </w:rPr>
        <w:br/>
      </w:r>
      <w:r>
        <w:rPr>
          <w:rStyle w:val="a4"/>
          <w:color w:val="800000"/>
        </w:rPr>
        <w:t>«ЗДОРОВЬЕ»</w:t>
      </w:r>
    </w:p>
    <w:p w:rsidR="00C85087" w:rsidRPr="00C85087" w:rsidRDefault="00C85087" w:rsidP="00C85087">
      <w:pPr>
        <w:pStyle w:val="a3"/>
        <w:jc w:val="both"/>
      </w:pPr>
      <w:r w:rsidRPr="00C85087">
        <w:t>Национальный проект в сфере здравоохранения подразумевает развитие первичной медицинской помощи (в том числе семейной медицины), повышение укомплектованности кадрами первичного звена здравоохранения, переход на новые формы оплаты труда в зависимости от объемов и качества оказываемой медицинской помощи, укрепление материально-технической базы лечебно-профилактических учреждений.</w:t>
      </w:r>
      <w:r w:rsidRPr="00C85087">
        <w:br/>
        <w:t xml:space="preserve">На основе сетевого графика реализации Федерального Национального проекта «Здоровье» сформирован и утвержден </w:t>
      </w:r>
      <w:hyperlink r:id="rId4" w:tgtFrame="_top" w:history="1">
        <w:r w:rsidRPr="00C85087">
          <w:rPr>
            <w:rStyle w:val="a5"/>
            <w:color w:val="auto"/>
          </w:rPr>
          <w:t>«План реализации национального проекта в сфере здравоохранения в Санкт-Петербурге»</w:t>
        </w:r>
      </w:hyperlink>
      <w:r w:rsidRPr="00C85087">
        <w:t>. Комитетом по здравоохранению проведены обучающие семинары с руководителями отделов здраво-охранения районов и главными врачами стационаров и АПУ по изучению материалов и разъяснению решений Коллегии Министерства здравоохранения и социального развития. На его основе в каждом административном районе также сформированы соответствующие планы.</w:t>
      </w:r>
      <w:r w:rsidRPr="00C85087">
        <w:br/>
        <w:t xml:space="preserve">В соответствии с основными приоритетами и задачами Комитетом по здравоохранению созданы рабочие группы по контролю  за  реализацией каждого направления и подготовлен проект постановления Правительства Санкт-Петербурга о создании Координационного Совета во главе с вице-губернатором Санкт-Петербурга. Подготовлено и подписано Соглашение между Правительством Санкт-Петербурга и Министерством здравоохранения и социального развития России о порядке реализации Национального проекта «Здоровье». </w:t>
      </w:r>
      <w:r w:rsidRPr="00C85087">
        <w:br/>
        <w:t>В основу национального проекта в сфере здравоохранения Санкт-Петербурга были заложены мероприятия по развитию первичной медико-санитарной помощи, включая:</w:t>
      </w:r>
      <w:r w:rsidRPr="00C85087">
        <w:br/>
        <w:t> повышение уровня оплаты труда</w:t>
      </w:r>
      <w:r w:rsidRPr="00C85087">
        <w:sym w:font="Symbol" w:char="F0FC"/>
      </w:r>
      <w:r w:rsidRPr="00C85087">
        <w:t xml:space="preserve"> участковых врачей-терапевтов и врачей-педиатров, врачей общей практики (семейных врачей) и медицинских сестер, работающих с ними.</w:t>
      </w:r>
      <w:r w:rsidRPr="00C85087">
        <w:br/>
        <w:t>  дополнительную подготовку врачей по специальностям «Терапия», «Педиатрия», «Общая врачебная практика (семейная медицина)»</w:t>
      </w:r>
      <w:r w:rsidRPr="00C85087">
        <w:sym w:font="Symbol" w:char="F0FC"/>
      </w:r>
      <w:r w:rsidRPr="00C85087">
        <w:br/>
        <w:t xml:space="preserve">Одно из приоритетных направлений реализации национального проекта состоит в подготовке и переподготовке врачей общей практики, участковых терапев-тов и педиатров. В Санкт-Петербурге сформирован Территориальный реестр врачей общей практики, участковых терапевтов и педиатров, медсестер, акушеров-гинекологов, неонатологов, анестезиологов-реаниматологов, акушерок и детских медсестер женских консультаций, родильных домов (отделений) и перинатальных центров городских и районных учреждений здравоохранения. </w:t>
      </w:r>
      <w:r w:rsidRPr="00C85087">
        <w:br/>
        <w:t> проведение мероприятий по профилактике, выявлению и лечению ряда за-болеваний (ВИЧ-инфекция, гепатит B, краснуха и др.),</w:t>
      </w:r>
      <w:r w:rsidRPr="00C85087">
        <w:sym w:font="Symbol" w:char="F0FC"/>
      </w:r>
      <w:r w:rsidRPr="00C85087">
        <w:t xml:space="preserve"> </w:t>
      </w:r>
      <w:r w:rsidRPr="00C85087">
        <w:br/>
        <w:t> проведение дополнительной иммунизации в рамках Национального календаря профилактических прививок</w:t>
      </w:r>
      <w:r w:rsidRPr="00C85087">
        <w:sym w:font="Symbol" w:char="F0FC"/>
      </w:r>
      <w:r w:rsidRPr="00C85087">
        <w:br/>
        <w:t>Для проведения иммунизации определена численность населения города, подлежащего прививкам по плану национального календаря, а также численность населения, подлежащая дополнительной иммунизации против полиомиелита, краснухи, гепатита В и гриппа.</w:t>
      </w:r>
      <w:r w:rsidRPr="00C85087">
        <w:br/>
        <w:t> проведение диспансеризации работающего населения по дополнительным программам</w:t>
      </w:r>
      <w:r w:rsidRPr="00C85087">
        <w:sym w:font="Symbol" w:char="F0FC"/>
      </w:r>
      <w:r w:rsidRPr="00C85087">
        <w:br/>
        <w:t xml:space="preserve">Согласно Национальному проекту, в 2006 году подлежат дополнительной диспансеризации работники следующих бюджетных отраслей: образования, здравоохранения, культуры и спорта, социальной защиты, сферы отдыха и развлечений, а также сферы научных исследований и разработок. Основной задачей  диспансеризации является  раннее выявление заболеваний сердечно-сосудистой системы, туберкулеза, онкологических заболеваний, сахарного диабета, дегенеративно-дистрофических заболеваний крупных суставов и патологии позвоночника. В настоящее время внедряется компьютерная программа по мониторингу диспансеризации взрослого населения. </w:t>
      </w:r>
      <w:r w:rsidRPr="00C85087">
        <w:br/>
        <w:t> дополнительную оплату первичной медикосанитарной помощи, оказываемой работающим гражданам и неработающим пенсионерам.</w:t>
      </w:r>
      <w:r w:rsidRPr="00C85087">
        <w:sym w:font="Symbol" w:char="F0FC"/>
      </w:r>
      <w:r w:rsidRPr="00C85087">
        <w:br/>
        <w:t>В соответствии с указаниями Росздрава начата подготовка к заключению договоров между главными врачами АПУ и медработниками, участвующими в реализации проекта. Эти дополнительные соглашения будут оформляться на основе методических рекомендаций Министерства. Издано распоряжение Комитета о порядке дополнительных денежных выплат в рамках национального проекта в сфере здравоохранения. Согласно утвержденному Плану Комитет по здравоохранению, совместно с ТФ ОМС, будут осуществлять мониторинг результатов деятельности АПУ в соответствии с установленными показателями объемов, результатов и качества медицинской помощи.</w:t>
      </w:r>
      <w:r w:rsidRPr="00C85087">
        <w:br/>
        <w:t xml:space="preserve">Следующий важнейший раздел работы – оснащение АПУ диагностическим оборудованием. Определён порядок оснащения диагностическим оборудованием и автомобилями скорой помощи медучреждений города. В соответствии с ним, в </w:t>
      </w:r>
      <w:smartTag w:uri="urn:schemas-microsoft-com:office:smarttags" w:element="metricconverter">
        <w:smartTagPr>
          <w:attr w:name="ProductID" w:val="2005 г"/>
        </w:smartTagPr>
        <w:r w:rsidRPr="00C85087">
          <w:t>2005 г</w:t>
        </w:r>
      </w:smartTag>
      <w:r w:rsidRPr="00C85087">
        <w:t xml:space="preserve">. была определена потребность в медоборудовании для учреждений, оказывающих первичную медицинскую помощь; подготовлена и направлена в Минздрав РФ заявка на </w:t>
      </w:r>
      <w:smartTag w:uri="urn:schemas-microsoft-com:office:smarttags" w:element="metricconverter">
        <w:smartTagPr>
          <w:attr w:name="ProductID" w:val="2006 г"/>
        </w:smartTagPr>
        <w:r w:rsidRPr="00C85087">
          <w:t>2006 г</w:t>
        </w:r>
      </w:smartTag>
      <w:r w:rsidRPr="00C85087">
        <w:t>. с указанием учреждений, нуждающихся в первоочередном дооснащении диагностичеким оборудованием (рентгеновская техника, УЗИ-сканеры, эндоскопы, лабораторное оборудование, электрокардиографы) и медицинским транспортом.</w:t>
      </w:r>
      <w:r w:rsidRPr="00C85087">
        <w:br/>
        <w:t>Национальным проектом в сфере здравоохранения для Санкт-Петербурга предусмотрено улучшение обеспечения населения высокотехнологичной медицинской помощью, включая:</w:t>
      </w:r>
      <w:r w:rsidRPr="00C85087">
        <w:br/>
        <w:t> модернизацию существующих федеральных специализированных медицинских учреждений (ФСМУ),</w:t>
      </w:r>
      <w:r w:rsidRPr="00C85087">
        <w:sym w:font="Symbol" w:char="F0FC"/>
      </w:r>
      <w:r w:rsidRPr="00C85087">
        <w:br/>
        <w:t> совершенствование</w:t>
      </w:r>
      <w:r w:rsidRPr="00C85087">
        <w:sym w:font="Symbol" w:char="F0FC"/>
      </w:r>
      <w:r w:rsidRPr="00C85087">
        <w:t xml:space="preserve"> организации предоставления высокотехнологичной медицинской помощи (перевод ФСМУ на государственный заказ, введение «Листа учета», разработка стандартов высокотехнологичной медицинской помощи).</w:t>
      </w:r>
      <w:r w:rsidRPr="00C85087">
        <w:br/>
        <w:t>Конкретным результатом мероприятий, реализуемых в рамках данной задачи, должно стать усиление профилактической направленности здравоохранения, предотвращение заболеваемости, повышение уровня удовлетворения потребности в высокотехнологичных видах медицинской помощи</w:t>
      </w:r>
      <w:r w:rsidRPr="00C85087">
        <w:br/>
        <w:t xml:space="preserve">Для оперативного решения вопросов обеспечения населения высокотехноло-гичной медицинской помощью созданы комиссии Комитета и федеральных учреждений здравоохранения по отбору и направлению пациентов на дорогостоящие виды медицинской помощи. Завершается работа по определению потребности населения СПб в высокотехнологичных видах медпомощи на 2006 год. Создается реестр – «лист ожидания». </w:t>
      </w:r>
      <w:r w:rsidRPr="00C85087">
        <w:br/>
        <w:t>Конкретные меры, направленные на реализацию задачи улучшения состояния здоровья детей и матерей в Санкт-Петербурге:</w:t>
      </w:r>
      <w:r w:rsidRPr="00C85087">
        <w:br/>
        <w:t xml:space="preserve"> внедрение новых организационных ресурсосберегающих, перинатальных и репродуктивных технологий; </w:t>
      </w:r>
      <w:r w:rsidRPr="00C85087">
        <w:br/>
        <w:t xml:space="preserve"> расширение диспансеризации детей, проведение массовых обследований новорожденных детей на наследственные заболевания; </w:t>
      </w:r>
      <w:r w:rsidRPr="00C85087">
        <w:br/>
        <w:t>По разделу национального проекта, касающегося выявления врожденной патологии определены контингенты по обследованию новорожденных на галактоземию и адреногенитальный синдром. Ежегодно необходимо обследовать около 92 тыс. новорожденных, с учетом повторных уточняющих исследований.</w:t>
      </w:r>
      <w:r w:rsidRPr="00C85087">
        <w:br/>
        <w:t xml:space="preserve">В соответствии с федеральной программой по проведению массового обследования новорожденных для ранней диагностики галактоземии и адреногенитального синдрома планируется обеспечение биохимической лаборатории Медико-генетического центра необходимым дополнительным оборудованием и соответствующими наборами реагентов за счет средств Федерального бюджета. </w:t>
      </w:r>
      <w:r w:rsidRPr="00C85087">
        <w:br/>
        <w:t xml:space="preserve"> развитие перинатальной помощи и специализированной высокотехнологичной медицинской помощи матерям и детям; </w:t>
      </w:r>
      <w:r w:rsidRPr="00C85087">
        <w:br/>
        <w:t> введение «Родового сертификата» в государственных и муниципальных учреждениях здравоохранения, оказывающих медицинскую помощь женщинам в период беременности и родов.</w:t>
      </w:r>
      <w:r w:rsidRPr="00C85087">
        <w:br/>
        <w:t>Для реализации программы родовых сертификатов подготовлен пофамильный электронный реестр врачей акушеров-гинекологов, неонатологов, анестезиологов-реаниматологов, акушерок и детских медсестер, работающих в 49 амбулаторных и 16 стационарных государственных учреждениях родовспоможения.</w:t>
      </w:r>
    </w:p>
    <w:p w:rsidR="002E0FBF" w:rsidRDefault="002E0FBF">
      <w:bookmarkStart w:id="0" w:name="_GoBack"/>
      <w:bookmarkEnd w:id="0"/>
    </w:p>
    <w:sectPr w:rsidR="002E0F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85087"/>
    <w:rsid w:val="00006D4C"/>
    <w:rsid w:val="000C5750"/>
    <w:rsid w:val="002E0FBF"/>
    <w:rsid w:val="002F4894"/>
    <w:rsid w:val="006B46E6"/>
    <w:rsid w:val="00BD491E"/>
    <w:rsid w:val="00C85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B5D68B-E896-4CDB-9A31-24409BCD8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85087"/>
    <w:pPr>
      <w:spacing w:before="100" w:beforeAutospacing="1" w:after="100" w:afterAutospacing="1"/>
    </w:pPr>
  </w:style>
  <w:style w:type="character" w:styleId="a4">
    <w:name w:val="Strong"/>
    <w:basedOn w:val="a0"/>
    <w:qFormat/>
    <w:rsid w:val="00C85087"/>
    <w:rPr>
      <w:b/>
      <w:bCs/>
    </w:rPr>
  </w:style>
  <w:style w:type="character" w:styleId="a5">
    <w:name w:val="Hyperlink"/>
    <w:basedOn w:val="a0"/>
    <w:rsid w:val="00C850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04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ov.spb.ru/gov/admin/otrasl/c_health/nac_project/pla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1144</Words>
  <Characters>6526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дома</Company>
  <LinksUpToDate>false</LinksUpToDate>
  <CharactersWithSpaces>7655</CharactersWithSpaces>
  <SharedDoc>false</SharedDoc>
  <HLinks>
    <vt:vector size="6" baseType="variant">
      <vt:variant>
        <vt:i4>3407908</vt:i4>
      </vt:variant>
      <vt:variant>
        <vt:i4>0</vt:i4>
      </vt:variant>
      <vt:variant>
        <vt:i4>0</vt:i4>
      </vt:variant>
      <vt:variant>
        <vt:i4>5</vt:i4>
      </vt:variant>
      <vt:variant>
        <vt:lpwstr>http://www.gov.spb.ru/gov/admin/otrasl/c_health/nac_project/plan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Женя</dc:creator>
  <cp:keywords/>
  <cp:lastModifiedBy>admin</cp:lastModifiedBy>
  <cp:revision>2</cp:revision>
  <dcterms:created xsi:type="dcterms:W3CDTF">2014-04-16T07:03:00Z</dcterms:created>
  <dcterms:modified xsi:type="dcterms:W3CDTF">2014-04-16T07:03:00Z</dcterms:modified>
</cp:coreProperties>
</file>