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2B" w:rsidRPr="00401C2B" w:rsidRDefault="00287E2B" w:rsidP="00287E2B">
      <w:pPr>
        <w:spacing w:before="120"/>
        <w:jc w:val="center"/>
        <w:rPr>
          <w:b/>
          <w:sz w:val="32"/>
        </w:rPr>
      </w:pPr>
      <w:r w:rsidRPr="00401C2B">
        <w:rPr>
          <w:b/>
          <w:sz w:val="32"/>
        </w:rPr>
        <w:t>Упрощенная система бухгалтерского учета для малого бизнеса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На официальном сайте Минфина представлен новый документ – Информация № ПЗ-3/2010 «Об упрощенной системе бухгалтерского учета и бухгалтерской отчетности для субъектов малого предпринимательства» (далее – Информация № ПЗ-3/2010). В нем обобщены вопросы применения упрощенной системы бухгалтерского учета и бухгалтерской отчетности для субъектов малого предпринимательства. Как же рассматривают финансисты ведение бухгалтерского учета на малых предприятиях?</w:t>
      </w:r>
    </w:p>
    <w:p w:rsidR="00287E2B" w:rsidRPr="00401C2B" w:rsidRDefault="00287E2B" w:rsidP="00287E2B">
      <w:pPr>
        <w:spacing w:before="120"/>
        <w:jc w:val="center"/>
        <w:rPr>
          <w:b/>
          <w:sz w:val="28"/>
        </w:rPr>
      </w:pPr>
      <w:r w:rsidRPr="00401C2B">
        <w:rPr>
          <w:b/>
          <w:sz w:val="28"/>
        </w:rPr>
        <w:t>Кому предназначены рекомендации Минфина?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В очередной раз возвращаемся к проблемам бухгалтерского учета «упрощенцев»[1]. Это в первую очередь связано с перспективой введения обязательного бухгалтерского учета для всех организаций и индивидуальных предпринимателей уже с 2012 года. Напомним</w:t>
      </w:r>
      <w:r>
        <w:t xml:space="preserve">, </w:t>
      </w:r>
      <w:r w:rsidRPr="00401C2B">
        <w:t>что соответствующий законопроект принят Госдумой в первом чтении</w:t>
      </w:r>
      <w:r>
        <w:t xml:space="preserve">, </w:t>
      </w:r>
      <w:r w:rsidRPr="00401C2B">
        <w:t>его окончательное принятие планируется этой осенью. И льгот для «упрощенцев» по ведению бухгалтерского учета в нем нет.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А Минфин продолжает настаивать на том</w:t>
      </w:r>
      <w:r>
        <w:t xml:space="preserve">, </w:t>
      </w:r>
      <w:r w:rsidRPr="00401C2B">
        <w:t>что независимо от применяемого налогового режима организации обязаны вести полноценный бухгалтерский учет. Нормы законодательства об обществах с ограниченной ответственностью (ГК РФ</w:t>
      </w:r>
      <w:r>
        <w:t xml:space="preserve">, </w:t>
      </w:r>
      <w:r w:rsidRPr="00401C2B">
        <w:t>Федеральный закон от 08.02.1998 № 14</w:t>
      </w:r>
      <w:r w:rsidRPr="00401C2B">
        <w:noBreakHyphen/>
        <w:t>ФЗ «Об обществах с ограниченной ответственностью») и об акционерных обществах (Федеральный закон от 26.12.1995 № 208</w:t>
      </w:r>
      <w:r w:rsidRPr="00401C2B">
        <w:noBreakHyphen/>
        <w:t>ФЗ «Об акционерных обществах») обязывают их вести бухгалтерский учет и составлять бухгалтерскую отчетность</w:t>
      </w:r>
      <w:r>
        <w:t xml:space="preserve">, </w:t>
      </w:r>
      <w:r w:rsidRPr="00401C2B">
        <w:t>а также утверждать распределение прибыли и убытков. Вышеуказанные нормы законодательства РФ подлежат применению всеми акционерными обществами и обществами с ограниченной ответственностью</w:t>
      </w:r>
      <w:r>
        <w:t xml:space="preserve">, </w:t>
      </w:r>
      <w:r w:rsidRPr="00401C2B">
        <w:t>включая перешедшие на УСНО (Письмо Минфина РФ от 31.05.2011 № 03</w:t>
      </w:r>
      <w:r w:rsidRPr="00401C2B">
        <w:noBreakHyphen/>
        <w:t>11</w:t>
      </w:r>
      <w:r w:rsidRPr="00401C2B">
        <w:noBreakHyphen/>
        <w:t>06/2/85).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Рекомендации</w:t>
      </w:r>
      <w:r>
        <w:t xml:space="preserve">, </w:t>
      </w:r>
      <w:r w:rsidRPr="00401C2B">
        <w:t>приведенные в Информации № ПЗ-3/2010</w:t>
      </w:r>
      <w:r>
        <w:t xml:space="preserve">, </w:t>
      </w:r>
      <w:r w:rsidRPr="00401C2B">
        <w:t>предназначены для субъектов малого бизнеса</w:t>
      </w:r>
      <w:r>
        <w:t xml:space="preserve">, </w:t>
      </w:r>
      <w:r w:rsidRPr="00401C2B">
        <w:t>критерии отнесения к которому определены Федеральным законом от 24.07.2007 № 209</w:t>
      </w:r>
      <w:r w:rsidRPr="00401C2B">
        <w:noBreakHyphen/>
        <w:t>ФЗ «О развитии малого и среднего предпринимательства в Российской Федерации». К субъектам малого предпринимательства относятся зарегистрированные в установленном порядке юридические лица и индивидуальные предприниматели</w:t>
      </w:r>
      <w:r>
        <w:t xml:space="preserve">, </w:t>
      </w:r>
      <w:r w:rsidRPr="00401C2B">
        <w:t>соответствующие следующим условиям: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для юридических лиц – суммарная доля участия в уставном капитале РФ</w:t>
      </w:r>
      <w:r>
        <w:t xml:space="preserve">, </w:t>
      </w:r>
      <w:r w:rsidRPr="00401C2B">
        <w:t xml:space="preserve">субъектов РФ и других указанных в законе лиц не должна превышать 25%;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средняя численность работников за предшествующий календарный год не должна превышать 100 человек;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выручка от реализации товаров (работ</w:t>
      </w:r>
      <w:r>
        <w:t xml:space="preserve">, </w:t>
      </w:r>
      <w:r w:rsidRPr="00401C2B">
        <w:t>услуг) без учета НДС или балансовая стоимость активов (остаточная стоимость основных средств и нематериальных активов) за предшествующий календарный год не должны превышать предельные значения</w:t>
      </w:r>
      <w:r>
        <w:t xml:space="preserve">, </w:t>
      </w:r>
      <w:r w:rsidRPr="00401C2B">
        <w:t>установленные Правительством РФ</w:t>
      </w:r>
      <w:r>
        <w:t xml:space="preserve">, </w:t>
      </w:r>
      <w:r w:rsidRPr="00401C2B">
        <w:t>– 400 млн руб. (Постановление Правительства РФ от 22.07.2008 № 556 «О предельных значениях выручки от реализации товаров (работ</w:t>
      </w:r>
      <w:r>
        <w:t xml:space="preserve">, </w:t>
      </w:r>
      <w:r w:rsidRPr="00401C2B">
        <w:t xml:space="preserve">услуг) для каждой категории субъектов малого и среднего предпринимательства»).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Прежде чем следовать рекомендациям Минфина по ведению упрощенного варианта бухгалтерского учета</w:t>
      </w:r>
      <w:r>
        <w:t xml:space="preserve">, </w:t>
      </w:r>
      <w:r w:rsidRPr="00401C2B">
        <w:t>«упрощенцы» должны проверить</w:t>
      </w:r>
      <w:r>
        <w:t xml:space="preserve">, </w:t>
      </w:r>
      <w:r w:rsidRPr="00401C2B">
        <w:t>по всем ли критериям они подходят под категорию субъектов малого бизнеса</w:t>
      </w:r>
      <w:r>
        <w:t xml:space="preserve">, </w:t>
      </w:r>
      <w:r w:rsidRPr="00401C2B">
        <w:t>особенно те организации</w:t>
      </w:r>
      <w:r>
        <w:t xml:space="preserve">, </w:t>
      </w:r>
      <w:r w:rsidRPr="00401C2B">
        <w:t>которые имеют разноплановый состав учредителей. По таким показателям</w:t>
      </w:r>
      <w:r>
        <w:t xml:space="preserve">, </w:t>
      </w:r>
      <w:r w:rsidRPr="00401C2B">
        <w:t>как средняя численность работников и выручка от реализации</w:t>
      </w:r>
      <w:r>
        <w:t xml:space="preserve">, </w:t>
      </w:r>
      <w:r w:rsidRPr="00401C2B">
        <w:t>вопросов к «упрощенцам» возникнуть не может.</w:t>
      </w:r>
    </w:p>
    <w:p w:rsidR="00287E2B" w:rsidRPr="00401C2B" w:rsidRDefault="00287E2B" w:rsidP="00287E2B">
      <w:pPr>
        <w:spacing w:before="120"/>
        <w:jc w:val="center"/>
        <w:rPr>
          <w:b/>
          <w:sz w:val="28"/>
        </w:rPr>
      </w:pPr>
      <w:r w:rsidRPr="00401C2B">
        <w:rPr>
          <w:b/>
          <w:sz w:val="28"/>
        </w:rPr>
        <w:t>Упрощенная система бухгалтерского учета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Принципы построения и ведения бухгалтерского учета определяются в учетной политике. Учетная политика – это принятая совокупность способов ведения бухгалтерского учета: первичного наблюдения</w:t>
      </w:r>
      <w:r>
        <w:t xml:space="preserve">, </w:t>
      </w:r>
      <w:r w:rsidRPr="00401C2B">
        <w:t>стоимостного измерения</w:t>
      </w:r>
      <w:r>
        <w:t xml:space="preserve">, </w:t>
      </w:r>
      <w:r w:rsidRPr="00401C2B">
        <w:t>текущей группировки и итогового обобщения фактов хозяйственной деятельности (ПБУ 1/2008[2]).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Учетная политика должна обеспечивать: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полноту отражения в бухгалтерском учете всех фактов хозяйственной деятельности (требование полноты);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своевременное отражение фактов хозяйственной деятельности в бухгалтерском учете и бухгалтерской отчетности (требование своевременности);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большую готовность к признанию в бухгалтерском учете расходов и обязательств</w:t>
      </w:r>
      <w:r>
        <w:t xml:space="preserve">, </w:t>
      </w:r>
      <w:r w:rsidRPr="00401C2B">
        <w:t>чем возможных доходов и активов</w:t>
      </w:r>
      <w:r>
        <w:t xml:space="preserve">, </w:t>
      </w:r>
      <w:r w:rsidRPr="00401C2B">
        <w:t xml:space="preserve">не допуская создания скрытых резервов (требование осмотрительности);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отражение в бухгалтерском учете фактов хозяйственной деятельности исходя не столько из их правовой формы</w:t>
      </w:r>
      <w:r>
        <w:t xml:space="preserve">, </w:t>
      </w:r>
      <w:r w:rsidRPr="00401C2B">
        <w:t xml:space="preserve">сколько из их экономического содержания и условий хозяйствования (требование приоритета содержания перед формой);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тождество данных аналитического учета оборотам и остаткам по счетам синтетического учета на последний календарный день каждого месяца (требование непротиворечивости);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рациональное ведение бухгалтерского учета исходя из условий хозяйствования и величины организации (требование рациональности).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Для субъектов малого предпринимательства при выполнении прочих требований к учетной политике важным является требование рациональности. Из этого исходит и Минфин в своих рекомендациях. Условия хозяйствования и величина организации имеют решающее значение при организации бухгалтерского учета субъектов малого бизнеса.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Предпочтительные формы ведения бухгалтерского учета. Субъектам малого предпринимательства рекомендованы в качестве предпочтительных следующие организационные формы ведения бухгалтерского учета (в зависимости от объема учетной работы):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ввести в штат должность бухгалтера;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передать на договорных началах ведение бухгалтерского учета специализированной организации (централизованной бухгалтерии) или бухгалтеру-специалисту;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вести бухгалтерский учет лично руководителем.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Данные варианты предусмотрены Федеральным законом от 21.11.1996 № 129</w:t>
      </w:r>
      <w:r w:rsidRPr="00401C2B">
        <w:noBreakHyphen/>
        <w:t>ФЗ «О бухгалтерском учете»</w:t>
      </w:r>
      <w:r>
        <w:t xml:space="preserve">, </w:t>
      </w:r>
      <w:r w:rsidRPr="00401C2B">
        <w:t>также Положением по ведению бухгалтерского учета и бухгалтерской отчетности в Российской Федерации[3].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Какой вариант выбрать руководителю малого предприятия? Ответ на этот вопрос зависит прежде всего от объема учетной работы. Во-вторых</w:t>
      </w:r>
      <w:r>
        <w:t xml:space="preserve">, </w:t>
      </w:r>
      <w:r w:rsidRPr="00401C2B">
        <w:t>важным фактором являются личные предпочтения руководителя: кому</w:t>
      </w:r>
      <w:r w:rsidRPr="00401C2B">
        <w:noBreakHyphen/>
        <w:t>то нравится работать со своим бухгалтером</w:t>
      </w:r>
      <w:r>
        <w:t xml:space="preserve">, </w:t>
      </w:r>
      <w:r w:rsidRPr="00401C2B">
        <w:t>а кому</w:t>
      </w:r>
      <w:r w:rsidRPr="00401C2B">
        <w:noBreakHyphen/>
        <w:t>то проще передать ведение бухгалтерского учета и сдачу всей отчетности сторонней организации.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Только вариант ведения бухгалтерского учета лично руководителем представляется сомнительным. Например</w:t>
      </w:r>
      <w:r>
        <w:t xml:space="preserve">, </w:t>
      </w:r>
      <w:r w:rsidRPr="00401C2B">
        <w:t>руководителю</w:t>
      </w:r>
      <w:r>
        <w:t xml:space="preserve"> </w:t>
      </w:r>
      <w:r w:rsidRPr="00401C2B">
        <w:t>аудиторской фирмы не составляет никакого труда вести бухгалтерский учет и сдавать отчетность своей организации. А вот руководителю строительной организации</w:t>
      </w:r>
      <w:r>
        <w:t xml:space="preserve">, </w:t>
      </w:r>
      <w:r w:rsidRPr="00401C2B">
        <w:t>наверное</w:t>
      </w:r>
      <w:r>
        <w:t xml:space="preserve">, </w:t>
      </w:r>
      <w:r w:rsidRPr="00401C2B">
        <w:t>это будет сделать сложно. Все</w:t>
      </w:r>
      <w:r w:rsidRPr="00401C2B">
        <w:noBreakHyphen/>
        <w:t xml:space="preserve">таки каждый должен заниматься своим делом.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Сокращенный вариант рабочего плана счетов. Для практической реализации требования рациональности Минфин предлагает сократить количество синтетических счетов в принимаемом субъектом малого бизнеса рабочем плане счетов бухгалтерского учета по сравнению с Планом счетов бухгалтерского учета финансово-хозяйственной деятельности организаций[4]. Данные рекомендации приведем в таблице 1.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Таблица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109"/>
      </w:tblGrid>
      <w:tr w:rsidR="00287E2B" w:rsidRPr="00401C2B" w:rsidTr="00C64AB2">
        <w:trPr>
          <w:tblCellSpacing w:w="0" w:type="dxa"/>
        </w:trPr>
        <w:tc>
          <w:tcPr>
            <w:tcW w:w="23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Упрощенный вариант рабочего плана счетов</w:t>
            </w:r>
          </w:p>
        </w:tc>
        <w:tc>
          <w:tcPr>
            <w:tcW w:w="2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Счета</w:t>
            </w:r>
            <w:r>
              <w:t xml:space="preserve">, </w:t>
            </w:r>
            <w:r w:rsidRPr="00401C2B">
              <w:t>которые можно заменить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Производственные запасы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23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10 «Материалы»</w:t>
            </w:r>
          </w:p>
        </w:tc>
        <w:tc>
          <w:tcPr>
            <w:tcW w:w="2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07 «Оборудование к установке»;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10 «Материалы»;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11 «Животные на выращивании и откорме»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Затраты</w:t>
            </w:r>
            <w:r>
              <w:t xml:space="preserve">, </w:t>
            </w:r>
            <w:r w:rsidRPr="00401C2B">
              <w:t>связанные с производством и продажей продукции (работ</w:t>
            </w:r>
            <w:r>
              <w:t xml:space="preserve">, </w:t>
            </w:r>
            <w:r w:rsidRPr="00401C2B">
              <w:t xml:space="preserve">услуг) 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23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20 «Основное производство»</w:t>
            </w:r>
          </w:p>
        </w:tc>
        <w:tc>
          <w:tcPr>
            <w:tcW w:w="2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20 «Основное производство»;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23 «Вспомогательные производства»;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25 «Общепроизводственные расходы»;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26 «Общехозяйственные расходы»;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28 «Брак в производстве»;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29 «Обслуживающие производства и хозяйства»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Готовая продукция и товары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23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41 «Товары»</w:t>
            </w:r>
          </w:p>
        </w:tc>
        <w:tc>
          <w:tcPr>
            <w:tcW w:w="2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41 «Товары»;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43 «Готовая продукция»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Дебиторская и кредиторская задолженность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23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76 «Расчеты с разными дебиторами и кредиторами»</w:t>
            </w:r>
          </w:p>
        </w:tc>
        <w:tc>
          <w:tcPr>
            <w:tcW w:w="2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62 «Расчеты с покупателями и заказчиками»;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71 «Расчеты с подотчетными лицами»;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73 «Расчеты с персоналом по прочим операциям»;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75 «Расчеты с учредителями»;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76 «Расчеты с разными дебиторами и кредиторами»;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79 «Внутрихозяйственные расчеты»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Денежные средства в банках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23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51 «Расчетные счета»</w:t>
            </w:r>
          </w:p>
        </w:tc>
        <w:tc>
          <w:tcPr>
            <w:tcW w:w="2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51 «Расчетные счета»;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52 «Валютные счета»;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55 «Специальные счета в банках»;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57 «Переводы в пути»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Капитал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23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80 «Уставный капитал»</w:t>
            </w:r>
          </w:p>
        </w:tc>
        <w:tc>
          <w:tcPr>
            <w:tcW w:w="2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80 «Уставный капитал»;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82 «Резервный капитал»;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83 «Добавочный капитал»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Финансовые результаты</w:t>
            </w:r>
          </w:p>
        </w:tc>
      </w:tr>
      <w:tr w:rsidR="00287E2B" w:rsidRPr="00401C2B" w:rsidTr="00C64AB2">
        <w:trPr>
          <w:tblCellSpacing w:w="0" w:type="dxa"/>
        </w:trPr>
        <w:tc>
          <w:tcPr>
            <w:tcW w:w="23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99 «Прибыли и убытки»</w:t>
            </w:r>
          </w:p>
        </w:tc>
        <w:tc>
          <w:tcPr>
            <w:tcW w:w="2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счет 90 «Продажи»;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91 «Прочие доходы и расходы»;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счет 99 «Прибыли и убытки»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</w:tc>
      </w:tr>
    </w:tbl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 Упрощенная система регистров бухгалтерского учета. Для систематизации и накопления информации субъект малого предпринимательства может принять упрощенную систему регистров (упрощенную форму) бухгалтерского учета. В зависимости от характера и объема учетных операций это может быть форма бухгалтерского учета без использования (простая форма) или с использованием регистров бухгалтерского учета имущества.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Субъектам малого предпринимательства</w:t>
      </w:r>
      <w:r>
        <w:t xml:space="preserve">, </w:t>
      </w:r>
      <w:r w:rsidRPr="00401C2B">
        <w:t>совершающим незначительное количество хозяйственных операций (как правило</w:t>
      </w:r>
      <w:r>
        <w:t xml:space="preserve">, </w:t>
      </w:r>
      <w:r w:rsidRPr="00401C2B">
        <w:t>не более 30 в месяц)</w:t>
      </w:r>
      <w:r>
        <w:t xml:space="preserve">, </w:t>
      </w:r>
      <w:r w:rsidRPr="00401C2B">
        <w:t>не осуществляющим производство продукции (работ</w:t>
      </w:r>
      <w:r>
        <w:t xml:space="preserve">, </w:t>
      </w:r>
      <w:r w:rsidRPr="00401C2B">
        <w:t>услуг)</w:t>
      </w:r>
      <w:r>
        <w:t xml:space="preserve">, </w:t>
      </w:r>
      <w:r w:rsidRPr="00401C2B">
        <w:t>связанное с большими затратами материальных ресурсов</w:t>
      </w:r>
      <w:r>
        <w:t xml:space="preserve">, </w:t>
      </w:r>
      <w:r w:rsidRPr="00401C2B">
        <w:t>рекомендуется применять простую форму бухгалтерского учета. Форма бухгалтерского учета без использования регистров бухгалтерского учета имущества (простая форма) предполагает регистрацию всех хозяйственных операций только в книге (журнале) учета фактов хозяйственной деятельности. Книга (журнал) является регистром аналитического и синтетического учета</w:t>
      </w:r>
      <w:r>
        <w:t xml:space="preserve">, </w:t>
      </w:r>
      <w:r w:rsidRPr="00401C2B">
        <w:t>на основании которого можно определить наличие имущества и денежных средств</w:t>
      </w:r>
      <w:r>
        <w:t xml:space="preserve">, </w:t>
      </w:r>
      <w:r w:rsidRPr="00401C2B">
        <w:t>а также их источников у субъекта малого предпринимательства на определенную дату и составить бухгалтерскую отчетность.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Субъектам малого предпринимательства</w:t>
      </w:r>
      <w:r>
        <w:t xml:space="preserve">, </w:t>
      </w:r>
      <w:r w:rsidRPr="00401C2B">
        <w:t>осуществляющим производство продукции (работ</w:t>
      </w:r>
      <w:r>
        <w:t xml:space="preserve">, </w:t>
      </w:r>
      <w:r w:rsidRPr="00401C2B">
        <w:t>услуг)</w:t>
      </w:r>
      <w:r>
        <w:t xml:space="preserve">, </w:t>
      </w:r>
      <w:r w:rsidRPr="00401C2B">
        <w:t>рекомендуется применять форму бухгалтерского учета с использованием регистров бухгалтерского учета имущества: регистрация фактов хозяйственной деятельности в комплекте упрощенных ведомостей</w:t>
      </w:r>
      <w:r>
        <w:t xml:space="preserve">, </w:t>
      </w:r>
      <w:r w:rsidRPr="00401C2B">
        <w:t>предназначенных для формирования информации для управленческих целей и составления бухгалтерской отчетности. Каждая ведомость</w:t>
      </w:r>
      <w:r>
        <w:t xml:space="preserve">, </w:t>
      </w:r>
      <w:r w:rsidRPr="00401C2B">
        <w:t>как правило</w:t>
      </w:r>
      <w:r>
        <w:t xml:space="preserve">, </w:t>
      </w:r>
      <w:r w:rsidRPr="00401C2B">
        <w:t xml:space="preserve">применяется для учета операций по одному из используемых бухгалтерских счетов.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Послабления в методике ведения бухгалтерского учета. Субъектам малого предпринимательства сделан ряд послаблений при ведении бухгалтерского учета. Например</w:t>
      </w:r>
      <w:r>
        <w:t xml:space="preserve">, </w:t>
      </w:r>
      <w:r w:rsidRPr="00401C2B">
        <w:t>они могут не применять ряд ПБУ (таблица 2). Исключением из этого правила являются эмитенты публично размещаемых ценных бумаг</w:t>
      </w:r>
      <w:r>
        <w:t xml:space="preserve">, </w:t>
      </w:r>
      <w:r w:rsidRPr="00401C2B">
        <w:t>они не могут воспользоваться всеми льготными возможностями.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Минфин предлагает использовать данные льготы при ведении бухгалтерского учета в полном объеме.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Таблица 2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3081"/>
        <w:gridCol w:w="2407"/>
      </w:tblGrid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Послабления субъектам малого предпринимательства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Основание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Примечание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Использовать кассовый метод учета доходов и расходов </w:t>
            </w:r>
          </w:p>
          <w:p w:rsidR="00287E2B" w:rsidRPr="00401C2B" w:rsidRDefault="00287E2B" w:rsidP="00C64AB2"/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ПБУ 1/2008;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 xml:space="preserve">– </w:t>
            </w:r>
          </w:p>
          <w:p w:rsidR="00287E2B" w:rsidRPr="00401C2B" w:rsidRDefault="00287E2B" w:rsidP="00C64AB2">
            <w:r w:rsidRPr="00401C2B">
              <w:t>Положение по бухгалтерскому учету «Доходы организации» (ПБУ 9/99)</w:t>
            </w:r>
            <w:r>
              <w:t xml:space="preserve">, </w:t>
            </w:r>
            <w:r w:rsidRPr="00401C2B">
              <w:t>утвержденное Приказом Минфина РФ от 06.05.1999 № 32н;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t>Положение по бухгалтерскому учету «Расходы организации» (ПБУ 10/99)</w:t>
            </w:r>
            <w:r>
              <w:t xml:space="preserve">, </w:t>
            </w:r>
            <w:r w:rsidRPr="00401C2B">
              <w:t>утвержденное Приказом Минфина РФ от 06.05.1999 № 33н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 исключением эмитента публично размещаемых ценных бумаг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Признавать доходы и расходы по договору строительного подряда в соответствии с ПБУ 9/99 и ПБУ 10/99 (включая возможность использования кассового метода учета доходов и расходов)</w:t>
            </w:r>
            <w:r>
              <w:t xml:space="preserve">, </w:t>
            </w:r>
            <w:r w:rsidRPr="00401C2B">
              <w:t>не применяя ПБУ 2/2008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«Учет договоров строительного подряда» (ПБУ 2/2008)</w:t>
            </w:r>
            <w:r>
              <w:t xml:space="preserve">, </w:t>
            </w:r>
            <w:r w:rsidRPr="00401C2B">
              <w:t xml:space="preserve">утвержденное Приказом Минфина РФ от 24.10.2008 № 116н </w:t>
            </w:r>
          </w:p>
          <w:p w:rsidR="00287E2B" w:rsidRPr="00401C2B" w:rsidRDefault="00287E2B" w:rsidP="00C64AB2"/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 исключением эмитента публично размещаемых ценных бумаг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Не проводить переоценку основных средств для целей бухгалтерского учета </w:t>
            </w:r>
          </w:p>
          <w:p w:rsidR="00287E2B" w:rsidRPr="00401C2B" w:rsidRDefault="00287E2B" w:rsidP="00C64AB2"/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«Учет основных средств» (ПБУ 6/01)</w:t>
            </w:r>
            <w:r>
              <w:t xml:space="preserve">, </w:t>
            </w:r>
            <w:r w:rsidRPr="00401C2B">
              <w:t>утвержденное Приказом Минфина РФ от 30.03.2001 № 26н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 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Не проводить переоценку нематериальных активов для целей бухгалтерского учета. </w:t>
            </w:r>
          </w:p>
          <w:p w:rsidR="00287E2B" w:rsidRPr="00401C2B" w:rsidRDefault="00287E2B" w:rsidP="00C64AB2"/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«Учет нематериальных активов» (ПБУ 14/07)</w:t>
            </w:r>
            <w:r>
              <w:t xml:space="preserve">, </w:t>
            </w:r>
            <w:r w:rsidRPr="00401C2B">
              <w:t>утвержденное Приказом Минфина РФ от 27.12. 2007 № 153н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 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Не отражать обесценение нематериальных активов в бухгалтерском учете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ПБУ 14/07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 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Осуществлять последующую оценку всех финансовых вложений в порядке</w:t>
            </w:r>
            <w:r>
              <w:t xml:space="preserve">, </w:t>
            </w:r>
            <w:r w:rsidRPr="00401C2B">
              <w:t>установленном для финансовых вложений</w:t>
            </w:r>
            <w:r>
              <w:t xml:space="preserve">, </w:t>
            </w:r>
            <w:r w:rsidRPr="00401C2B">
              <w:t>по которым текущая рыночная стоимость не определяется. При этом субъект малого предпринимательства может принять решение не отражать обесценение финансовых вложений в бухгалтерском учете в случаях</w:t>
            </w:r>
            <w:r>
              <w:t xml:space="preserve">, </w:t>
            </w:r>
            <w:r w:rsidRPr="00401C2B">
              <w:t>когда расчет величины такого обесценения затруднителен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«Учет финансовых вложений» (ПБУ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 19/02)</w:t>
            </w:r>
            <w:r>
              <w:t xml:space="preserve">, </w:t>
            </w:r>
            <w:r w:rsidRPr="00401C2B">
              <w:t xml:space="preserve">утвержденное Приказом Минфина РФ от 10.12.2002 № 126н; </w:t>
            </w:r>
          </w:p>
          <w:p w:rsidR="00287E2B" w:rsidRPr="00401C2B" w:rsidRDefault="00287E2B" w:rsidP="00C64AB2">
            <w:r w:rsidRPr="00401C2B">
              <w:t>ПБУ 1/2008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 исключением эмитента публично размещаемых ценных бумаг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Не отражать оценочные обязательства</w:t>
            </w:r>
            <w:r>
              <w:t xml:space="preserve">, </w:t>
            </w:r>
            <w:r w:rsidRPr="00401C2B">
              <w:t>условные обязательства и условные активы в бухгалтерском учете</w:t>
            </w:r>
            <w:r>
              <w:t xml:space="preserve">, </w:t>
            </w:r>
            <w:r w:rsidRPr="00401C2B">
              <w:t>в том числе не создавать резервы предстоящих расходов (на предстоящую оплату отпусков работникам</w:t>
            </w:r>
            <w:r>
              <w:t xml:space="preserve">, </w:t>
            </w:r>
            <w:r w:rsidRPr="00401C2B">
              <w:t>выплату вознаграждений по итогам работы за год</w:t>
            </w:r>
            <w:r>
              <w:t xml:space="preserve">, </w:t>
            </w:r>
            <w:r w:rsidRPr="00401C2B">
              <w:t>гарантийный ремонт и гарантийное обслуживание и др.)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«Оценочные обязательства</w:t>
            </w:r>
            <w:r>
              <w:t xml:space="preserve">, </w:t>
            </w:r>
            <w:r w:rsidRPr="00401C2B">
              <w:t>условные обязательства и условные активы» (ПБУ 8/01)</w:t>
            </w:r>
            <w:r>
              <w:t xml:space="preserve">, </w:t>
            </w:r>
            <w:r w:rsidRPr="00401C2B">
              <w:t>утвержденное Приказом Минфина РФ от 13.12.2010 № 167н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 исключением эмитента публично размещаемых ценных бумаг;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 xml:space="preserve">– </w:t>
            </w:r>
          </w:p>
          <w:p w:rsidR="00287E2B" w:rsidRPr="00401C2B" w:rsidRDefault="00287E2B" w:rsidP="00C64AB2">
            <w:r w:rsidRPr="00401C2B">
              <w:t>начиная с отчетности 2011 года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/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Признавать коммерческие и управленческие расходы в себестоимости проданной продукции</w:t>
            </w:r>
            <w:r>
              <w:t xml:space="preserve">, </w:t>
            </w:r>
            <w:r w:rsidRPr="00401C2B">
              <w:t>товаров</w:t>
            </w:r>
            <w:r>
              <w:t xml:space="preserve">, </w:t>
            </w:r>
            <w:r w:rsidRPr="00401C2B">
              <w:t>работ</w:t>
            </w:r>
            <w:r>
              <w:t xml:space="preserve">, </w:t>
            </w:r>
            <w:r w:rsidRPr="00401C2B">
              <w:t>услуг полностью в отчетном году их признания в качестве расходов по обычным видам деятельности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ПБУ 10/99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 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Признавать все расходы по зай-мам прочими расходами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«Учет расходов по займам и кредитам» (ПБУ 15/2008)</w:t>
            </w:r>
            <w:r>
              <w:t xml:space="preserve">, </w:t>
            </w:r>
            <w:r w:rsidRPr="00401C2B">
              <w:t>утвержденное Приказом Минфина РФ от 06.10.2008 № 107н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 исключением эмитента публично размещаемых ценных бумаг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Отражать в бухгалтерском учете и бухгалтерской отчетности только суммы налога на прибыль отчетного периода без отражения сумм</w:t>
            </w:r>
            <w:r>
              <w:t xml:space="preserve">, </w:t>
            </w:r>
            <w:r w:rsidRPr="00401C2B">
              <w:t>способных оказать влияние на величину налога на прибыль последующих периодов. В бухгалтерской отчетности субъекта малого предпринимательства могут не раскрываться отложенные налоговые активы</w:t>
            </w:r>
            <w:r>
              <w:t xml:space="preserve">, </w:t>
            </w:r>
            <w:r w:rsidRPr="00401C2B">
              <w:t>отложенные налоговые обязательства и т. п. объекты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«Учет расчетов по налогу на прибыль» (ПБУ 18/02)</w:t>
            </w:r>
            <w:r>
              <w:t xml:space="preserve">, </w:t>
            </w:r>
            <w:r w:rsidRPr="00401C2B">
              <w:t>утвержденное Приказом Минфина РФ от 19.11. 2002 № 114н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 </w:t>
            </w:r>
          </w:p>
        </w:tc>
      </w:tr>
    </w:tbl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 Бухгалтерская отчетность в сокращенном варианте. При формировании бухгалтерской отчетности субъект малого предпринимательства должен исходить из того</w:t>
      </w:r>
      <w:r>
        <w:t xml:space="preserve">, </w:t>
      </w:r>
      <w:r w:rsidRPr="00401C2B">
        <w:t>что она должна давать достоверное и полное представление о его финансовом положении</w:t>
      </w:r>
      <w:r>
        <w:t xml:space="preserve">, </w:t>
      </w:r>
      <w:r w:rsidRPr="00401C2B">
        <w:t>финансовых результатах его деятельности и изменениях в финансовом положении (Положение по бухгалтерскому учету «Бухгалтерская отчетность организации» (ПБУ 4/99)</w:t>
      </w:r>
      <w:r>
        <w:t xml:space="preserve">, </w:t>
      </w:r>
      <w:r w:rsidRPr="00401C2B">
        <w:t>утвержденное Приказом Минфина РФ от 06.07.1999 № 43н). При выполнении данных условий субъектам малого предпринимательства дано право воспользоваться рядом послаблений при представлении бухгалтерской отчетности (таблица 3).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Таблица 3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5"/>
        <w:gridCol w:w="2832"/>
        <w:gridCol w:w="2971"/>
      </w:tblGrid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Послабления субъектам малого предпринимательства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Основание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Примечание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Составлять бухгалтерскую отчетность в сокращенном объеме (например</w:t>
            </w:r>
            <w:r>
              <w:t xml:space="preserve">, </w:t>
            </w:r>
            <w:r w:rsidRPr="00401C2B">
              <w:t>решение вопроса о включении в бухгалтерскую отчетность отчета об изменениях капитала и отчета о движении денежных средств определяется необходимостью приведения наиболее важной информации</w:t>
            </w:r>
            <w:r>
              <w:t xml:space="preserve">, </w:t>
            </w:r>
            <w:r w:rsidRPr="00401C2B">
              <w:t>без знания которой невозможна оценка финансового положения организации или финансовых результатов ее деятельности)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Приказ Минфина РФ от 02.07.2010 № 66н (далее – Приказ № 66н);</w:t>
            </w:r>
            <w:r w:rsidRPr="00401C2B">
              <w:rPr>
                <w:rFonts w:eastAsia="MS Mincho" w:hint="eastAsia"/>
              </w:rPr>
              <w:t> </w:t>
            </w:r>
            <w:r w:rsidRPr="00401C2B">
              <w:t>–</w:t>
            </w:r>
          </w:p>
          <w:p w:rsidR="00287E2B" w:rsidRPr="00401C2B" w:rsidRDefault="00287E2B" w:rsidP="00C64AB2">
            <w:r w:rsidRPr="00401C2B">
              <w:rPr>
                <w:rFonts w:eastAsia="MS Mincho" w:hint="eastAsia"/>
              </w:rPr>
              <w:t> </w:t>
            </w:r>
            <w:r w:rsidRPr="00401C2B">
              <w:t>– Положение по бухгалтерскому учету «Бухгалтерская отчетность организации» (ПБУ 4/99)</w:t>
            </w:r>
            <w:r>
              <w:t xml:space="preserve">, </w:t>
            </w:r>
            <w:r w:rsidRPr="00401C2B">
              <w:t>утвержденное Приказом Минфина РФ от 06.07.1999 № 43н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 исключением эмитента публично размещаемых ценных бумаг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Самостоятельно разрабатывать формы бухгалтерской отчетности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Приказ № 66н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 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Включать в бухгалтерский баланс и отчет о прибылях и убытках показатели только по группам статей без детализации показателей по статьям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Приказ № 66н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Начиная с отчетности за 2011 год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Не раскрывать информацию о связанных сторонах в бухгалтерской отчетности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«Информация о связанных сторонах» (ПБУ 11/2008)</w:t>
            </w:r>
            <w:r>
              <w:t xml:space="preserve">, </w:t>
            </w:r>
            <w:r w:rsidRPr="00401C2B">
              <w:t>утвержденное Приказом Минфина РФ от 29.04.2008 № 48н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 исключением публикующего бухгалтерскую отчетность полностью или частично согласно законодательству РФ</w:t>
            </w:r>
            <w:r>
              <w:t xml:space="preserve">, </w:t>
            </w:r>
            <w:r w:rsidRPr="00401C2B">
              <w:t>учредительным документам либо по собственной инициативе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Не представлять информацию по сегментам в бухгалтерской отчетности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«Информация по сегментам» (ПБУ 12/2010)</w:t>
            </w:r>
            <w:r>
              <w:t xml:space="preserve">, </w:t>
            </w:r>
            <w:r w:rsidRPr="00401C2B">
              <w:t>утвержденное Приказом Минфина РФ от 08.11.2010 № 143н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 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Не раскрывать информацию по прекращаемой деятельности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«Информация по прекращаемой деятельности» (ПБУ 16/02)</w:t>
            </w:r>
            <w:r>
              <w:t xml:space="preserve">, </w:t>
            </w:r>
            <w:r w:rsidRPr="00401C2B">
              <w:t>утвержденное Приказом Минфина РФ от 02.07.2002 № 66н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 исключением эмитента публично размещаемых ценных бумаг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При отражении в бухгалтерской отчетности событий после отчетной даты исходить из требования рациональности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ПБУ 1/2008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 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Показатели об отдельных активах</w:t>
            </w:r>
            <w:r>
              <w:t xml:space="preserve">, </w:t>
            </w:r>
            <w:r w:rsidRPr="00401C2B">
              <w:t>обязательствах</w:t>
            </w:r>
            <w:r>
              <w:t xml:space="preserve">, </w:t>
            </w:r>
            <w:r w:rsidRPr="00401C2B">
              <w:t>доходах</w:t>
            </w:r>
            <w:r>
              <w:t xml:space="preserve">, </w:t>
            </w:r>
            <w:r w:rsidRPr="00401C2B">
              <w:t>расходах и хозяйственных операциях приводить обособленно лишь в случае их существенности и если без знания о них заинтересованными пользователями невозможна оценка финансового положения субъекта или финансовых результатов его деятельности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ПБУ 4/99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 xml:space="preserve"> 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Отражать любые последствия изменения учетной политики перспективно</w:t>
            </w:r>
            <w:r>
              <w:t xml:space="preserve">, </w:t>
            </w:r>
            <w:r w:rsidRPr="00401C2B">
              <w:t>за исключением случаев</w:t>
            </w:r>
            <w:r>
              <w:t xml:space="preserve">, </w:t>
            </w:r>
            <w:r w:rsidRPr="00401C2B">
              <w:t>когда иной порядок установлен законодательством РФ и (или) нормативным правовым актом по бухгалтерскому учету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ПБУ 1/2008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Кроме эмитента публично размещаемых ценных бумаг</w:t>
            </w:r>
          </w:p>
        </w:tc>
      </w:tr>
      <w:tr w:rsidR="00287E2B" w:rsidRPr="00401C2B" w:rsidTr="00C64AB2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Исправлять существенные ошибки предшествующего отчетного года</w:t>
            </w:r>
            <w:r>
              <w:t xml:space="preserve">, </w:t>
            </w:r>
            <w:r w:rsidRPr="00401C2B">
              <w:t>выявленные после утверждения бухгалтерской отчетности за этот год</w:t>
            </w:r>
            <w:r>
              <w:t xml:space="preserve">, </w:t>
            </w:r>
            <w:r w:rsidRPr="00401C2B">
              <w:t>без ретроспективного пересчета с включением прибыли или убытка</w:t>
            </w:r>
            <w:r>
              <w:t xml:space="preserve">, </w:t>
            </w:r>
            <w:r w:rsidRPr="00401C2B">
              <w:t>возникших в результате исправления указанной ошибки</w:t>
            </w:r>
            <w:r>
              <w:t xml:space="preserve">, </w:t>
            </w:r>
            <w:r w:rsidRPr="00401C2B">
              <w:t>в состав прочих доходов или расходов текущего отчетного периода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Положение по бухгалтерскому учету «Исправление ошибок в бухгалтерском учете и отчетности» (ПБУ 22/2010)</w:t>
            </w:r>
            <w:r>
              <w:t xml:space="preserve">, </w:t>
            </w:r>
            <w:r w:rsidRPr="00401C2B">
              <w:t>утвержденное Приказом Минфина РФ от 28.06.2010 № 63н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7E2B" w:rsidRPr="00401C2B" w:rsidRDefault="00287E2B" w:rsidP="00C64AB2">
            <w:r w:rsidRPr="00401C2B">
              <w:t>За исключением эмитента публично размещаемых ценных бумаг</w:t>
            </w:r>
          </w:p>
        </w:tc>
      </w:tr>
    </w:tbl>
    <w:p w:rsidR="00287E2B" w:rsidRPr="00401C2B" w:rsidRDefault="00287E2B" w:rsidP="00287E2B">
      <w:pPr>
        <w:spacing w:before="120"/>
        <w:jc w:val="center"/>
        <w:rPr>
          <w:b/>
          <w:sz w:val="28"/>
        </w:rPr>
      </w:pPr>
      <w:r w:rsidRPr="00401C2B">
        <w:rPr>
          <w:b/>
          <w:sz w:val="28"/>
        </w:rPr>
        <w:t>В заключение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В целом субъектам малого предпринимательства предоставлены серьезные послабления при организации и ведении бухгалтерского учета.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На практике бухгалтеры пользуются лишь некоторыми из них. Например</w:t>
      </w:r>
      <w:r>
        <w:t xml:space="preserve">, </w:t>
      </w:r>
      <w:r w:rsidRPr="00401C2B">
        <w:t>единицы представителей субъектов малого бизнеса ведут учет с применением ПБУ 18/02. Вместо счетов 23</w:t>
      </w:r>
      <w:r>
        <w:t xml:space="preserve">, </w:t>
      </w:r>
      <w:r w:rsidRPr="00401C2B">
        <w:t>25</w:t>
      </w:r>
      <w:r>
        <w:t xml:space="preserve">, </w:t>
      </w:r>
      <w:r w:rsidRPr="00401C2B">
        <w:t>26</w:t>
      </w:r>
      <w:r>
        <w:t xml:space="preserve">, </w:t>
      </w:r>
      <w:r w:rsidRPr="00401C2B">
        <w:t>28</w:t>
      </w:r>
      <w:r>
        <w:t xml:space="preserve">, </w:t>
      </w:r>
      <w:r w:rsidRPr="00401C2B">
        <w:t>29 многие бухгалтера используют счет 20 «Основное производство»</w:t>
      </w:r>
      <w:r>
        <w:t xml:space="preserve">, </w:t>
      </w:r>
      <w:r w:rsidRPr="00401C2B">
        <w:t>на котором собирают все затраты. При этом представляется целесообразным еще раз посмотреть на все возможные упрощения бухгалтерского учета на данный момент времени</w:t>
      </w:r>
      <w:r>
        <w:t xml:space="preserve">, </w:t>
      </w:r>
      <w:r w:rsidRPr="00401C2B">
        <w:t>которые собраны в Информации № ПЗ-3/2010.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При принятии решения об изменении каких</w:t>
      </w:r>
      <w:r w:rsidRPr="00401C2B">
        <w:noBreakHyphen/>
        <w:t>либо принципов ведения бухгалтерского учета надо обязательно внести изменения в учетную политику организации и оформить приказом или распоряжением руководителя. Напомним</w:t>
      </w:r>
      <w:r>
        <w:t xml:space="preserve">, </w:t>
      </w:r>
      <w:r w:rsidRPr="00401C2B">
        <w:t>что согласно ПБУ 1/2008 изменение учетной политики организации может производиться в случае разработки организацией новых способов ведения бухгалтерского учета. Применение нового способа ведения бухгалтерского учета предполагает более достоверное представление фактов хозяйственной деятельности в бухгалтерском учете и отчетности организации или меньшую трудоемкость учетного процесса без снижения степени достоверности информации. Но изменение учетной политики в данном случае производится с начала отчетного года.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Особое внимание следует уделить рабочему плану счетов. Например</w:t>
      </w:r>
      <w:r>
        <w:t xml:space="preserve">, </w:t>
      </w:r>
      <w:r w:rsidRPr="00401C2B">
        <w:t>представляется целесообразным вместо счетов 51</w:t>
      </w:r>
      <w:r>
        <w:t xml:space="preserve">, </w:t>
      </w:r>
      <w:r w:rsidRPr="00401C2B">
        <w:t>52</w:t>
      </w:r>
      <w:r>
        <w:t xml:space="preserve">, </w:t>
      </w:r>
      <w:r w:rsidRPr="00401C2B">
        <w:t>55</w:t>
      </w:r>
      <w:r>
        <w:t xml:space="preserve">, </w:t>
      </w:r>
      <w:r w:rsidRPr="00401C2B">
        <w:t>57 вести один счет 51 «Расчетный счет». А вместо счетов 80</w:t>
      </w:r>
      <w:r>
        <w:t xml:space="preserve">, </w:t>
      </w:r>
      <w:r w:rsidRPr="00401C2B">
        <w:t>82</w:t>
      </w:r>
      <w:r>
        <w:t xml:space="preserve">, </w:t>
      </w:r>
      <w:r w:rsidRPr="00401C2B">
        <w:t>83 – счет 80 «Уставный капитал». Но тем субъектам хозяйственной деятельности</w:t>
      </w:r>
      <w:r>
        <w:t xml:space="preserve">, </w:t>
      </w:r>
      <w:r w:rsidRPr="00401C2B">
        <w:t>у которых есть движение валютных средств</w:t>
      </w:r>
      <w:r>
        <w:t xml:space="preserve">, </w:t>
      </w:r>
      <w:r w:rsidRPr="00401C2B">
        <w:t>все</w:t>
      </w:r>
      <w:r w:rsidRPr="00401C2B">
        <w:noBreakHyphen/>
        <w:t>таки целесообразнее вести полноценный счет 52 «Валютные счета».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При этом целесообразность применения счета 76 «Расчеты с разными дебиторами и кредиторами» вместо счетов 62</w:t>
      </w:r>
      <w:r>
        <w:t xml:space="preserve">, </w:t>
      </w:r>
      <w:r w:rsidRPr="00401C2B">
        <w:t>71</w:t>
      </w:r>
      <w:r>
        <w:t xml:space="preserve">, </w:t>
      </w:r>
      <w:r w:rsidRPr="00401C2B">
        <w:t>73</w:t>
      </w:r>
      <w:r>
        <w:t xml:space="preserve">, </w:t>
      </w:r>
      <w:r w:rsidRPr="00401C2B">
        <w:t>75</w:t>
      </w:r>
      <w:r>
        <w:t xml:space="preserve">, </w:t>
      </w:r>
      <w:r w:rsidRPr="00401C2B">
        <w:t>76</w:t>
      </w:r>
      <w:r>
        <w:t xml:space="preserve">, </w:t>
      </w:r>
      <w:r w:rsidRPr="00401C2B">
        <w:t>79 не столь очевидна. В этом случае надо исходить из конкретных условий хозяйствования</w:t>
      </w:r>
      <w:r>
        <w:t xml:space="preserve">, </w:t>
      </w:r>
      <w:r w:rsidRPr="00401C2B">
        <w:t>а именно из количества контрагентов</w:t>
      </w:r>
      <w:r>
        <w:t xml:space="preserve">, </w:t>
      </w:r>
      <w:r w:rsidRPr="00401C2B">
        <w:t>подотчетных лиц и других определяющих факторов.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Также вызывает вопросы применение счета 99 «Прибыли и убытки» вместо счетов 90</w:t>
      </w:r>
      <w:r>
        <w:t xml:space="preserve">, </w:t>
      </w:r>
      <w:r w:rsidRPr="00401C2B">
        <w:t>91 и 99. Поскольку подавляющее большинство субъектов предпринимательской деятельности ведет учет с применением программных средств</w:t>
      </w:r>
      <w:r>
        <w:t xml:space="preserve">, </w:t>
      </w:r>
      <w:r w:rsidRPr="00401C2B">
        <w:t>а они настроены на ведение счетов 90</w:t>
      </w:r>
      <w:r>
        <w:t xml:space="preserve">, </w:t>
      </w:r>
      <w:r w:rsidRPr="00401C2B">
        <w:t>91</w:t>
      </w:r>
      <w:r>
        <w:t xml:space="preserve">, </w:t>
      </w:r>
      <w:r w:rsidRPr="00401C2B">
        <w:t>99</w:t>
      </w:r>
      <w:r>
        <w:t xml:space="preserve">, </w:t>
      </w:r>
      <w:r w:rsidRPr="00401C2B">
        <w:t>представляется целесообразным вести счета 90</w:t>
      </w:r>
      <w:r>
        <w:t xml:space="preserve">, </w:t>
      </w:r>
      <w:r w:rsidRPr="00401C2B">
        <w:t>91</w:t>
      </w:r>
      <w:r>
        <w:t xml:space="preserve">, </w:t>
      </w:r>
      <w:r w:rsidRPr="00401C2B">
        <w:t>99. Любую программу можно настроить так</w:t>
      </w:r>
      <w:r>
        <w:t xml:space="preserve">, </w:t>
      </w:r>
      <w:r w:rsidRPr="00401C2B">
        <w:t>как нужно бухгалтеру конкретного предприятия. Для упрощения можно вести учет всех доходов на счете 90 «Продажи»</w:t>
      </w:r>
      <w:r>
        <w:t xml:space="preserve">, </w:t>
      </w:r>
      <w:r w:rsidRPr="00401C2B">
        <w:t>не применяя счет 91 «Прочие доходы и расходы». Этот вопрос надо решать исходя из конкретных условий финансово-хозяйственной деятельности.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Также серьезным послаблением в методологии ведения бухгалтерского учета является разрешение не применять целый ряд ПБУ представителям малого предпринимательства</w:t>
      </w:r>
      <w:r>
        <w:t xml:space="preserve">, </w:t>
      </w:r>
      <w:r w:rsidRPr="00401C2B">
        <w:t>за исключением эмитентов публично размещаемых ценных бумаг. Это тоже необходимо отразить в учетной политике.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Серьезным облегчением для бухгалтера будет и сокращенный вариант представления бухгалтерской отчетности. Существенным фактором в этом случае является возможность раскрывать в бухгалтерской отчетности меньший объем информации по сравнению с объемом</w:t>
      </w:r>
      <w:r>
        <w:t xml:space="preserve">, </w:t>
      </w:r>
      <w:r w:rsidRPr="00401C2B">
        <w:t>предусмотренным для иных субъектов предпринимательства.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С учетом всех приведенных послаблений для субъектов малого предпринимательства в отношении бухгалтерского учета</w:t>
      </w:r>
      <w:r>
        <w:t xml:space="preserve">, </w:t>
      </w:r>
      <w:r w:rsidRPr="00401C2B">
        <w:t>а также соответствующей его организации ведение полноценного бухгалтерского учета для «упрощенцев» не будет трудоемким и сложным процессом. Как известно</w:t>
      </w:r>
      <w:r>
        <w:t xml:space="preserve">, </w:t>
      </w:r>
      <w:r w:rsidRPr="00401C2B">
        <w:t xml:space="preserve">дорогу осилит идущий! </w:t>
      </w:r>
    </w:p>
    <w:p w:rsidR="00287E2B" w:rsidRPr="00401C2B" w:rsidRDefault="00287E2B" w:rsidP="00287E2B">
      <w:pPr>
        <w:spacing w:before="120"/>
        <w:jc w:val="center"/>
        <w:rPr>
          <w:b/>
          <w:sz w:val="28"/>
        </w:rPr>
      </w:pPr>
      <w:r w:rsidRPr="00401C2B">
        <w:rPr>
          <w:b/>
          <w:sz w:val="28"/>
        </w:rPr>
        <w:t>Список литературы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[1] Подробно об этом – в статьях Е. П. Зобовой «Упрощение бухгалтерского учета для малых предприятий»</w:t>
      </w:r>
      <w:r>
        <w:t xml:space="preserve">, </w:t>
      </w:r>
      <w:r w:rsidRPr="00401C2B">
        <w:t>№</w:t>
      </w:r>
      <w:r w:rsidRPr="00401C2B">
        <w:rPr>
          <w:rFonts w:ascii="Kozuka Mincho Pro R" w:eastAsia="Kozuka Mincho Pro R" w:hAnsi="Kozuka Mincho Pro R" w:cs="Kozuka Mincho Pro R" w:hint="eastAsia"/>
        </w:rPr>
        <w:t> </w:t>
      </w:r>
      <w:r w:rsidRPr="00401C2B">
        <w:t>1</w:t>
      </w:r>
      <w:r>
        <w:t xml:space="preserve">, </w:t>
      </w:r>
      <w:r w:rsidRPr="00401C2B">
        <w:t>2011</w:t>
      </w:r>
      <w:r>
        <w:t xml:space="preserve">, </w:t>
      </w:r>
      <w:r w:rsidRPr="00401C2B">
        <w:t>«Бухучет «упрощенцев» – 2012»</w:t>
      </w:r>
      <w:r>
        <w:t xml:space="preserve">, </w:t>
      </w:r>
      <w:r w:rsidRPr="00401C2B">
        <w:t>№ 5</w:t>
      </w:r>
      <w:r>
        <w:t xml:space="preserve">, </w:t>
      </w:r>
      <w:r w:rsidRPr="00401C2B">
        <w:t>2011</w:t>
      </w:r>
      <w:r>
        <w:t xml:space="preserve">, </w:t>
      </w:r>
      <w:r w:rsidRPr="00401C2B">
        <w:t>«Изменения в бухгалтерском учете»</w:t>
      </w:r>
      <w:r>
        <w:t xml:space="preserve">, </w:t>
      </w:r>
      <w:r w:rsidRPr="00401C2B">
        <w:t>№ 6</w:t>
      </w:r>
      <w:r>
        <w:t xml:space="preserve">, </w:t>
      </w:r>
      <w:r w:rsidRPr="00401C2B">
        <w:t>2011.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>[2] Положение по бухгалтерскому учету «Учетная политика организации» (ПБУ 1/2008)</w:t>
      </w:r>
      <w:r>
        <w:t xml:space="preserve">, </w:t>
      </w:r>
      <w:r w:rsidRPr="00401C2B">
        <w:t xml:space="preserve">утв. Приказом Минфина РФ от 06.10.2008 № 106н.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[3] Утверждено Приказом Минфина РФ от 29.07.1998 № 34н.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[4] Утвержден Приказом Минфина РФ от 31.10.2000 № 94н. </w:t>
      </w:r>
    </w:p>
    <w:p w:rsidR="00287E2B" w:rsidRPr="00401C2B" w:rsidRDefault="00287E2B" w:rsidP="00287E2B">
      <w:pPr>
        <w:spacing w:before="120"/>
        <w:ind w:firstLine="567"/>
        <w:jc w:val="both"/>
      </w:pPr>
      <w:r w:rsidRPr="00401C2B">
        <w:t xml:space="preserve">Источник http://usn.avbn.ru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zuka Mincho Pro R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E2B"/>
    <w:rsid w:val="001A35F6"/>
    <w:rsid w:val="00287E2B"/>
    <w:rsid w:val="00401C2B"/>
    <w:rsid w:val="006D4890"/>
    <w:rsid w:val="007D5675"/>
    <w:rsid w:val="00811DD4"/>
    <w:rsid w:val="009E6DA0"/>
    <w:rsid w:val="00C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CC985B-67F2-4CF0-B5BD-17CD855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2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87E2B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3192</Words>
  <Characters>18198</Characters>
  <Application>Microsoft Office Word</Application>
  <DocSecurity>0</DocSecurity>
  <Lines>151</Lines>
  <Paragraphs>42</Paragraphs>
  <ScaleCrop>false</ScaleCrop>
  <Company>Home</Company>
  <LinksUpToDate>false</LinksUpToDate>
  <CharactersWithSpaces>21348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Упрощенная система бухгалтерского учета для малого бизнеса</dc:title>
  <dc:subject/>
  <dc:creator>User</dc:creator>
  <cp:keywords/>
  <dc:description/>
  <cp:lastModifiedBy>Irina</cp:lastModifiedBy>
  <cp:revision>2</cp:revision>
  <dcterms:created xsi:type="dcterms:W3CDTF">2014-07-19T06:25:00Z</dcterms:created>
  <dcterms:modified xsi:type="dcterms:W3CDTF">2014-07-19T06:25:00Z</dcterms:modified>
</cp:coreProperties>
</file>