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52" w:rsidRDefault="00CD1E9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Міністерство охорони здоров’я</w:t>
      </w:r>
    </w:p>
    <w:p w:rsidR="00A80852" w:rsidRDefault="00A80852">
      <w:pPr>
        <w:jc w:val="center"/>
        <w:rPr>
          <w:rFonts w:ascii="Times New Roman" w:hAnsi="Times New Roman"/>
          <w:lang w:val="en-US"/>
        </w:rPr>
      </w:pPr>
    </w:p>
    <w:p w:rsidR="00A80852" w:rsidRDefault="00A80852">
      <w:pPr>
        <w:jc w:val="center"/>
        <w:rPr>
          <w:rFonts w:ascii="Times New Roman" w:hAnsi="Times New Roman"/>
          <w:lang w:val="en-US"/>
        </w:rPr>
      </w:pP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A80852">
      <w:pPr>
        <w:jc w:val="center"/>
        <w:rPr>
          <w:rFonts w:ascii="Times New Roman" w:hAnsi="Times New Roman"/>
          <w:b/>
          <w:bCs/>
          <w:sz w:val="44"/>
        </w:rPr>
      </w:pPr>
    </w:p>
    <w:p w:rsidR="00A80852" w:rsidRDefault="00CD1E99">
      <w:pPr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 xml:space="preserve">Реферат </w:t>
      </w:r>
    </w:p>
    <w:p w:rsidR="00A80852" w:rsidRDefault="00CD1E99">
      <w:pPr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sz w:val="44"/>
        </w:rPr>
        <w:t>на тему:</w:t>
      </w: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CD1E99">
      <w:pPr>
        <w:pStyle w:val="a4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ПРИНЦИПИ РОБОТИ</w:t>
      </w:r>
    </w:p>
    <w:p w:rsidR="00A80852" w:rsidRDefault="00CD1E99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ПРЕДСТАВНИЦТВ </w:t>
      </w:r>
    </w:p>
    <w:p w:rsidR="00A80852" w:rsidRDefault="00CD1E9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ФАРМАЦЕВТИЧНИХ ФІРМ</w:t>
      </w: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A80852">
      <w:pPr>
        <w:jc w:val="center"/>
        <w:rPr>
          <w:rFonts w:ascii="Times New Roman" w:hAnsi="Times New Roman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sz w:val="34"/>
        </w:rPr>
      </w:pPr>
    </w:p>
    <w:p w:rsidR="00A80852" w:rsidRDefault="00A80852">
      <w:pPr>
        <w:jc w:val="center"/>
        <w:rPr>
          <w:rFonts w:ascii="Times New Roman" w:hAnsi="Times New Roman"/>
          <w:b/>
          <w:sz w:val="34"/>
          <w:lang w:val="ru-RU"/>
        </w:rPr>
      </w:pPr>
    </w:p>
    <w:p w:rsidR="00A80852" w:rsidRDefault="00CD1E99">
      <w:pPr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2001</w:t>
      </w:r>
    </w:p>
    <w:p w:rsidR="00A80852" w:rsidRDefault="00CD1E99">
      <w:pPr>
        <w:rPr>
          <w:rFonts w:ascii="Times New Roman" w:hAnsi="Times New Roman"/>
          <w:b/>
          <w:snapToGrid w:val="0"/>
          <w:lang w:eastAsia="ru-RU"/>
        </w:rPr>
      </w:pPr>
      <w:r>
        <w:rPr>
          <w:rFonts w:ascii="Times New Roman" w:hAnsi="Times New Roman"/>
          <w:b/>
          <w:sz w:val="34"/>
        </w:rPr>
        <w:br w:type="page"/>
      </w:r>
    </w:p>
    <w:p w:rsidR="00A80852" w:rsidRDefault="00CD1E9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Сучасний маркетинг ставить перед фармацевтичними фірмами зав</w:t>
      </w:r>
      <w:r>
        <w:rPr>
          <w:rFonts w:ascii="Times New Roman" w:hAnsi="Times New Roman"/>
        </w:rPr>
        <w:softHyphen/>
        <w:t>дання не тільки щодо створення і виробництва ефективних та безпечних лікарських засобів і встановлення на них доступних цін, але й пошуку фірмою потенційних споживачів для збуту своєї продукції. З цією метою фармацевтичними фірмами формуються розгалужені мережі по просуван</w:t>
      </w:r>
      <w:r>
        <w:rPr>
          <w:rFonts w:ascii="Times New Roman" w:hAnsi="Times New Roman"/>
        </w:rPr>
        <w:softHyphen/>
        <w:t>ню і розподілу лікарських засобів. Основними тенденціями їх розвитку є:</w:t>
      </w:r>
    </w:p>
    <w:p w:rsidR="00A80852" w:rsidRDefault="00CD1E99">
      <w:pPr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— організація представництв фармацевтичних фірм;</w:t>
      </w:r>
    </w:p>
    <w:p w:rsidR="00A80852" w:rsidRDefault="00CD1E99">
      <w:pPr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— уніфікація маркетингових каналів;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— надання першочергової уваги інформації про лікарські засоби, по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легшенню її доступу до цільових споживачів (лікарів, провізорів, хворих).</w:t>
      </w:r>
    </w:p>
    <w:p w:rsidR="00A80852" w:rsidRDefault="00CD1E99">
      <w:pPr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Представництва фармацевтичних фірм, які функціонують в Україні, можна класифікувати за такими параметрами:</w:t>
      </w:r>
    </w:p>
    <w:p w:rsidR="00A80852" w:rsidRDefault="00CD1E99">
      <w:pPr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1. Представництва виробничих підприємств: вітчизняних (наприк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лад, Фармацевтичної фірми "Дарниця") та іноземних (наприклад, Угор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ського хімічного заводу "Гедеон Ріхтер").</w:t>
      </w:r>
    </w:p>
    <w:p w:rsidR="00A80852" w:rsidRDefault="00CD1E99">
      <w:pPr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2. Представництва посередницьких фірм: вітчизняних (наприклад, підприємств "Артур-К", "Біокон" тощо) та іноземних (наприклад, польської оптової фірми "Цієх-Польфа").</w:t>
      </w:r>
    </w:p>
    <w:p w:rsidR="00A80852" w:rsidRDefault="00CD1E99">
      <w:pPr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На кінець 1998 р. в Україні функціонувало 73 представництва іно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земних фармацевтичних підприємств, 16,4% з них представляли фірми Німеччини.</w:t>
      </w:r>
    </w:p>
    <w:p w:rsidR="00A80852" w:rsidRDefault="00CD1E99">
      <w:pPr>
        <w:spacing w:line="280" w:lineRule="auto"/>
        <w:ind w:firstLine="46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За рівнем економічного розвитку країни, де зареєстровано головні офіси фірм, ми поділили представництва на чотири групи: ядерну групу (60,3%), становили представництва фірм з економічно розвинутих країн, більше п'ятої частини (21,9%) — з країн з перехідною економікою, більше десятої частини (12,3%) — з країн, що розвиваються. Крім цього, 5,5% — це представництва транснаціональних компаній.</w:t>
      </w:r>
    </w:p>
    <w:p w:rsidR="00A80852" w:rsidRDefault="00CD1E99">
      <w:pPr>
        <w:spacing w:line="280" w:lineRule="auto"/>
        <w:ind w:firstLine="46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Слід зазначити, що деякі зарубіжні фармацевтичні фірми представ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лені ще й спільними підприємствами (наприклад, СП "Гедеон Ріхтер — Укрфарм" (Київ), СП "Б.Д. Люкс — Україна" (Одеса) або тільки спільними чи дочірніми підприємствами. Так, СП "Фармаркер Лтд" (Київ) пред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ставляє інтереси індійського підприємства "Русан фарма", а фірма "Фармаркет" (Львів) є дочірнім підприємством акціонерного товариства "Кутно-Польфа".</w:t>
      </w:r>
    </w:p>
    <w:p w:rsidR="00A80852" w:rsidRDefault="00CD1E99">
      <w:pPr>
        <w:spacing w:line="280" w:lineRule="auto"/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У структурному відношенні пересічне представництво має три підроз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діли: групу реєстрації лікарських засобів, групу маркетингу та групу ме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дичних представників (схема 1). Перший з них здійснює реєстрацію лікарських засобів, взаємодію із структурними підрозділами охорони здо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ров'я, клінічними центрами. Фахівці другого підрозділу аналізують дані про захворюваність, оцінюють наповненість ринку препаратами-анало-</w:t>
      </w:r>
    </w:p>
    <w:p w:rsidR="00A80852" w:rsidRDefault="00CD1E99">
      <w:pPr>
        <w:pStyle w:val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  <w:t xml:space="preserve">Типова ооганізаиійна структура </w:t>
      </w:r>
      <w:r>
        <w:rPr>
          <w:rFonts w:ascii="Times New Roman" w:hAnsi="Times New Roman"/>
          <w:sz w:val="24"/>
        </w:rPr>
        <w:br/>
        <w:t>представництва фармацевтичної фірми</w:t>
      </w:r>
    </w:p>
    <w:p w:rsidR="00A80852" w:rsidRDefault="00E447ED">
      <w:pPr>
        <w:jc w:val="center"/>
        <w:rPr>
          <w:rFonts w:ascii="Times New Roman" w:hAnsi="Times New Roman"/>
          <w:i/>
          <w:snapToGrid w:val="0"/>
          <w:sz w:val="24"/>
          <w:lang w:eastAsia="ru-RU"/>
        </w:rPr>
      </w:pPr>
      <w:r>
        <w:rPr>
          <w:rFonts w:ascii="Times New Roman" w:hAnsi="Times New Roman"/>
          <w:i/>
          <w:snapToGrid w:val="0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81.75pt" fillcolor="window">
            <v:imagedata r:id="rId6" o:title=""/>
          </v:shape>
        </w:pict>
      </w:r>
    </w:p>
    <w:p w:rsidR="00A80852" w:rsidRDefault="00CD1E99">
      <w:pPr>
        <w:spacing w:line="280" w:lineRule="auto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гами і прогнозують обсяг продажу лікарських засобів. Медичні представ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ники (третій підрозділ) здійснюють власне просування лікарських за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собів, беруть участь у виконанні національних і регіональних програм щодо охорони здоров'я населення.</w:t>
      </w:r>
    </w:p>
    <w:p w:rsidR="00A80852" w:rsidRDefault="00CD1E99">
      <w:pPr>
        <w:spacing w:line="280" w:lineRule="auto"/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При наявності спільного підприємства структура представництва може модифікуватися за рахунок підрозділів СП. На схемі 2 показано структуру представництва Угорського хімічного заводу "Гедеон Ріхтер", де функції маркетингової групи і промоційної роботи виконує відділ впровадження лікарських засобів при спільному підприємстві. На дирек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тора та його заступника покладено обов'язки щодо реєстрації і впровад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ження лікарських засобів, взаємодії з СП, структурами охорони здоров'я, клінічними центрами, участі представництва в національних і регіональ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них програмах охорони здоров'я. У функції наукового співробітника вхо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дить аналіз та узагальнення інформації з питань розвитку медицини та фармації, взаємодія з державними органами, що регулюють фармацев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тичну діяльність.</w:t>
      </w:r>
    </w:p>
    <w:p w:rsidR="00A80852" w:rsidRDefault="00CD1E99">
      <w:pPr>
        <w:pStyle w:val="20"/>
        <w:spacing w:before="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2 Організаційна структура представництва</w:t>
      </w:r>
      <w:r>
        <w:rPr>
          <w:rFonts w:ascii="Times New Roman" w:hAnsi="Times New Roman"/>
          <w:sz w:val="24"/>
        </w:rPr>
        <w:br/>
        <w:t xml:space="preserve"> Угорського хімічного заводу "Гедеон Ріхтер "</w:t>
      </w:r>
    </w:p>
    <w:p w:rsidR="00A80852" w:rsidRDefault="00E447ED">
      <w:pPr>
        <w:spacing w:before="40" w:line="360" w:lineRule="auto"/>
        <w:jc w:val="center"/>
        <w:rPr>
          <w:rFonts w:ascii="Times New Roman" w:hAnsi="Times New Roman"/>
          <w:i/>
          <w:snapToGrid w:val="0"/>
          <w:sz w:val="24"/>
          <w:lang w:eastAsia="ru-RU"/>
        </w:rPr>
      </w:pPr>
      <w:r>
        <w:rPr>
          <w:rFonts w:ascii="Times New Roman" w:hAnsi="Times New Roman"/>
          <w:i/>
          <w:snapToGrid w:val="0"/>
          <w:sz w:val="24"/>
          <w:lang w:eastAsia="ru-RU"/>
        </w:rPr>
        <w:pict>
          <v:shape id="_x0000_i1026" type="#_x0000_t75" style="width:411.75pt;height:141pt" fillcolor="window">
            <v:imagedata r:id="rId7" o:title=""/>
          </v:shape>
        </w:pict>
      </w:r>
    </w:p>
    <w:p w:rsidR="00A80852" w:rsidRDefault="00CD1E99">
      <w:pPr>
        <w:spacing w:line="280" w:lineRule="auto"/>
        <w:ind w:firstLine="46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Дещо іншого плану структура представництв характерна для вітчиз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няних виробників і посередників, оскільки питаннями маркетингових досліджень, рекламних кампаній вибору каналів розподілу займаються відповідні відділи центрального офісу фірми (схема 3). Функціями ж регіональних представництв (представників) є збирання й обробка за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мовлень на лікарські засоби, підтримка постійного контакту з цільовими споживачами, інформування їх про цінову кон'юнктуру, умови відпуску, форми розрахунку, а також збирання оперативної інформації про стан регіонального фармацевтичного ринку. Для прискорення відпуску своєї продукції при регіональних представництвах вітчизняні фармацевтичні фірми організовують аптечні склади.</w:t>
      </w:r>
    </w:p>
    <w:p w:rsidR="00A80852" w:rsidRDefault="00CD1E99">
      <w:pPr>
        <w:spacing w:line="280" w:lineRule="auto"/>
        <w:ind w:firstLine="46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Представництва фармацевтичних фірм здійснюють роботу за таки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ми принципами:</w:t>
      </w:r>
    </w:p>
    <w:p w:rsidR="00A80852" w:rsidRDefault="00CD1E99">
      <w:pPr>
        <w:spacing w:line="280" w:lineRule="auto"/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1. Територіальний — найпростіший спосіб побудови роботи. За пев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ною територією закріплюється представник або представництво на пра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вах виключного обслуговування.</w:t>
      </w:r>
    </w:p>
    <w:p w:rsidR="00A80852" w:rsidRDefault="00CD1E99">
      <w:pPr>
        <w:spacing w:line="280" w:lineRule="auto"/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2. Товарний — спеціалізація представників за певними групами лікарських засобів. За схемою роботи Представництва компанії "Еіі ІЛІу" кожен з них відповідає за забезпечення лікарів та лікувально-профілак-</w:t>
      </w:r>
    </w:p>
    <w:p w:rsidR="00A80852" w:rsidRDefault="00CD1E99">
      <w:pPr>
        <w:pStyle w:val="20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 xml:space="preserve">Організаційна структура представницької </w:t>
      </w:r>
      <w:r>
        <w:rPr>
          <w:rFonts w:ascii="Times New Roman" w:hAnsi="Times New Roman"/>
          <w:snapToGrid/>
        </w:rPr>
        <w:br/>
        <w:t>мережі вітчизняних фармацевтичних фірм</w:t>
      </w:r>
    </w:p>
    <w:p w:rsidR="00A80852" w:rsidRDefault="00E447ED">
      <w:pPr>
        <w:rPr>
          <w:rFonts w:ascii="Times New Roman" w:hAnsi="Times New Roman"/>
          <w:i/>
          <w:snapToGrid w:val="0"/>
          <w:sz w:val="24"/>
          <w:lang w:eastAsia="ru-RU"/>
        </w:rPr>
      </w:pPr>
      <w:r>
        <w:rPr>
          <w:rFonts w:ascii="Times New Roman" w:hAnsi="Times New Roman"/>
          <w:i/>
          <w:snapToGrid w:val="0"/>
          <w:sz w:val="24"/>
          <w:lang w:eastAsia="ru-RU"/>
        </w:rPr>
        <w:pict>
          <v:shape id="_x0000_i1027" type="#_x0000_t75" style="width:351.75pt;height:142.5pt" fillcolor="window">
            <v:imagedata r:id="rId8" o:title=""/>
          </v:shape>
        </w:pict>
      </w:r>
    </w:p>
    <w:p w:rsidR="00A80852" w:rsidRDefault="00CD1E99">
      <w:pPr>
        <w:spacing w:before="40" w:line="280" w:lineRule="auto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тичних закладів інформацією щодо певної групи препаратів [2]. Пред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ставництво концерну "Байєр" має у своєму складі три бізнес-групи: одну — для просування рецептурних препаратів, дві інші — безрецептурні [З]. Компанія "СмітКляйн Бічем" організувала представництва двох своїх підрозділів — СмітКляйн Бічем Конс'юмер Хелксеа (просування безрецептурних препаратів) і СмітКляйн Бічем Фармас'ютикалз (рецеп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турні лікарські засоби) [З].</w:t>
      </w:r>
    </w:p>
    <w:p w:rsidR="00A80852" w:rsidRDefault="00CD1E99">
      <w:pPr>
        <w:spacing w:line="280" w:lineRule="auto"/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3. Споживчий — спеціалізація роботи представництва за окремими споживачами (оптовими фірмами, аптеками, лікувально-профілактич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ними закладами, хворими). Так, більшість представництв орієнтуються насамперед на великі посередницькі фірми, які мають розгалужену регіо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нальну мережу (аптечні склади, аптеки). Особливе місце в роботі ком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панії "Берінгер Інгельхайм" займає створення діагностичних центрів щодо захворювань органів дихання і так званий госпітальний проект, в рамках якого відбувається співробітництво із спеціалізованими лікувально-профі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лактичними закладами щодо просування окремих препаратів [З]. Пред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ставництво компанії "Ново-Нордиск" спільно з фірмою "Медфарком" організувало автоаптеки, обладнані кліматичним устаткуванням, для за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доволення попиту споживачів на рівні районних лікарень, дрібних і роз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дрібних покупців [З]. Представництво фірми "Гексал АГ" починало свою роботу з вибору перспективних для співробітництва аптек. Їх кількість становить 20 % від загальної кількості аптек у Києві, і вони забезпечують 80 % реалізації продукції в регіоні. Крім цього, Представництвом визна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чені пріоритетні для співпраці лікувально-профілактичні заклади — це насамперед поліклініки "спальних" районів столиці [4]. Медичні пред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ставники компанії "Рон-Пуленк Рорер" щодо рецептурних препаратів працюють з групами зацікавлених споживачів в астма-клубах, де прово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дять навчання та одночасне інформування про препарати [З]. Представ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ники Угорського хімічного заводу "Гедеон Ріхтер" в рамках національної програми співпрацюють із службами планування сім'ї.</w:t>
      </w:r>
    </w:p>
    <w:p w:rsidR="00A80852" w:rsidRDefault="00CD1E99">
      <w:pPr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Варто зауважити, що свою роботу представництва фармацевтичних фірм не будують за одним принципом, оскільки вона ефективніша при оптимальному поєднанні різних принципів.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Безпосередній контакт з цільовими споживачами здійснюють ме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дичні представники. Основна мета їх роботи полягає в необхідності при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вернути потенційних споживачів (лікарів, провізорів, хворих) до розуміння своїх ідей, знань та навичок, домогтися, щоб споживачі сприйняли кон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кретну інформацію, спонукати їх до дії. Для цього медичний представ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ник повинен володіти технологією пошуку, аналізу, узагальнення і</w:t>
      </w:r>
    </w:p>
    <w:p w:rsidR="00A80852" w:rsidRDefault="00CD1E99">
      <w:pPr>
        <w:spacing w:line="280" w:lineRule="auto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доведення інформації до лікарів з метою прийняття ними оптимальних клінічних рішень. Як видно з даних, представлених на схемі 4, забезпе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чення інформаційних потреб медичного представника здійснюється різни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ми каналами. Якщо на початку діяльності представництв, особливо при впровадженні на ринок нових лікарських засобів, медичним представни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кам достатньо було первинних даних про препарат, які одержували шля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хом вивчення інструкції про застосування та проспектів, то на сьогодні цього недостатньо. Діяльність медичного представника повинна ґрунтуватися на новій парадигмі клінічної медицини, в основі якої — викори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стання сучасних інформаційних технологій та оптимізація фармакотерапії на базі принципів доказової медицини [І].</w:t>
      </w:r>
    </w:p>
    <w:p w:rsidR="00A80852" w:rsidRDefault="00CD1E99">
      <w:pPr>
        <w:spacing w:line="280" w:lineRule="auto"/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Необхідну інформацію медичний представник може отримати, ана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лізуючи наукові статті у фахових виданнях, повідомлення Фармакологіч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ного комітету МОЗ України, беручи участь в наукових симпозіумах, конференціях з певних проблем медицини та фармації, працюючи з ба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 xml:space="preserve">зами клінічних даних (наприклад, </w:t>
      </w:r>
      <w:r>
        <w:rPr>
          <w:rFonts w:ascii="Times New Roman" w:hAnsi="Times New Roman"/>
          <w:snapToGrid w:val="0"/>
          <w:sz w:val="24"/>
          <w:lang w:val="en-US" w:eastAsia="ru-RU"/>
        </w:rPr>
        <w:t>Medline</w:t>
      </w:r>
      <w:r>
        <w:rPr>
          <w:rFonts w:ascii="Times New Roman" w:hAnsi="Times New Roman"/>
          <w:snapToGrid w:val="0"/>
          <w:sz w:val="24"/>
          <w:lang w:eastAsia="ru-RU"/>
        </w:rPr>
        <w:t>). Це дає можливість ознайо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митися з новими даними про лікарські засоби, які отримані в результаті поглиблених клінічних досліджень або тривалого застосування у прак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тиці охорони здоров'я. Слід зазначити, що багато лікарських засобів не підтверджує свою ефективність і безпечність у ході постмаркетингових досліджень, а деякі проявляють додаткову фармакологічну дію.</w:t>
      </w:r>
    </w:p>
    <w:p w:rsidR="00A80852" w:rsidRDefault="00CD1E99">
      <w:pPr>
        <w:spacing w:before="100" w:line="360" w:lineRule="auto"/>
        <w:jc w:val="center"/>
        <w:rPr>
          <w:rFonts w:ascii="Times New Roman" w:hAnsi="Times New Roman"/>
          <w:b/>
          <w:i/>
          <w:snapToGrid w:val="0"/>
          <w:sz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lang w:eastAsia="ru-RU"/>
        </w:rPr>
        <w:br w:type="page"/>
        <w:t>Схема 4 Блок-схема реалізації медичним представником просування лікарських засобів</w:t>
      </w:r>
    </w:p>
    <w:p w:rsidR="00A80852" w:rsidRDefault="00E447ED">
      <w:pPr>
        <w:spacing w:before="100" w:line="360" w:lineRule="auto"/>
        <w:jc w:val="center"/>
        <w:rPr>
          <w:rFonts w:ascii="Times New Roman" w:hAnsi="Times New Roman"/>
          <w:i/>
          <w:snapToGrid w:val="0"/>
          <w:sz w:val="24"/>
          <w:lang w:eastAsia="ru-RU"/>
        </w:rPr>
      </w:pPr>
      <w:r>
        <w:rPr>
          <w:rFonts w:ascii="Times New Roman" w:hAnsi="Times New Roman"/>
          <w:i/>
          <w:snapToGrid w:val="0"/>
          <w:sz w:val="24"/>
          <w:lang w:eastAsia="ru-RU"/>
        </w:rPr>
        <w:pict>
          <v:shape id="_x0000_i1028" type="#_x0000_t75" style="width:390pt;height:479.25pt" fillcolor="window">
            <v:imagedata r:id="rId9" o:title=""/>
          </v:shape>
        </w:pict>
      </w:r>
    </w:p>
    <w:p w:rsidR="00A80852" w:rsidRDefault="00A80852">
      <w:pPr>
        <w:spacing w:line="280" w:lineRule="auto"/>
        <w:rPr>
          <w:rFonts w:ascii="Times New Roman" w:hAnsi="Times New Roman"/>
          <w:snapToGrid w:val="0"/>
          <w:sz w:val="24"/>
          <w:lang w:eastAsia="ru-RU"/>
        </w:rPr>
      </w:pPr>
    </w:p>
    <w:p w:rsidR="00A80852" w:rsidRDefault="00CD1E99">
      <w:pPr>
        <w:spacing w:line="280" w:lineRule="auto"/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Ще одним каналом забезпечення інформаційних потреб представни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ка є знайомство з результатами моніторингу фармацевтичного ринку, який регулярно повинен проводитись маркетинговою групою представництва.</w:t>
      </w:r>
    </w:p>
    <w:p w:rsidR="00A80852" w:rsidRDefault="00CD1E99">
      <w:pPr>
        <w:spacing w:line="280" w:lineRule="auto"/>
        <w:ind w:firstLine="36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Велике значення для рівня підготовки медичного представника ма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ють школи-тренінги, які організовуються фармацевтичною фірмою і на яких його навчають вмінню інформувати про препарат таким чином, щоб його візит до лікаря чи провізора запам'ятався.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Потенційний споживач керується, як правило, такими типами мо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тивації, як раціональність (якість, ефективність, безпечність, еко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номічність), емоційність (гордість, престижність), моральність (по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рядність, справедливість) та їх комбінаціями [б]. На ці мотиви медичні представники повинні цілеспрямовано впливати при просуванні лікарсь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ких засобів до споживача.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Мотиваційною функцією, яка забезпечує можливість впливати на поведінку потенційних споживачів, є комунікація. Важлива частина ко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мунікаційного процесу — вибір каналу спілкування, який буває особис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тим і неособистим. До засобів останнього належить використання корес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понденції, рекламних проспектів, листівок, плакатів, зовнішньої реклами, засобів масової інформації, фахових видань. До засобів особистого кана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лу комунікації відносяться спеціалізовані медичні виставки, наукові сим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позіуми та конференції, освітні проекти представництв, індивідуальна робота із споживачем. Для передачі інформації актуальне використання кількох засобів комунікації.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Кожен засіб каналів комунікації характеризується перешкодами, які зумовлені зовнішнім середовищем або виникають з природи людей та їх стосунків з іншими людьми. Однією з перешкод є невдалий вибір засобу комунікації. Так, рекламу безрецептурного препарату для пенсіонерів краще розміщувати на громадському транспорті, а не в ділових виданнях типу "Бізнес", "Капітал" тощо. Спеціалізовані видання також не завжди можуть бути ефективними [З].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Участь у спеціалізованих медичних виставках забезпечує формуван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ня іміджу фірми, громадської думки про неї, а також за короткий термін можливість масових контактів з потенційними споживачами. Проте вна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слідок великої кількості виставок і частоти їх проведення, переваги серед учасників посередницьких фірм знижується результативність та рівень успіху від участі у виставці виробничих підприємств. Так, згідно з Реєст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ром українських медичних виставок на 1999 р. планувалося провести 32 таких заходи, з них десять у столиці [5].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Наукові симпозіуми та конференції актуальні на сьогоднішньому етапі для презентації нового лікарського засобу або при доведенні до практикуючих лікарів результатів поглибленого клінічного вивчення кон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кретного препарату.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Освітні проекти — більш перспективні засоби особистої комуні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кації, оскільки дозволяють урізноманітнювати форми особистого кон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такту із споживачами. Зокрема, для лікарів більш ефективні ділові зустрічі обмеженого кола учасників, присвячені конкретній тематиці, які дають</w:t>
      </w:r>
    </w:p>
    <w:p w:rsidR="00A80852" w:rsidRDefault="00CD1E99">
      <w:pPr>
        <w:spacing w:line="280" w:lineRule="auto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можливість не тільки вислуховувати чиюсь думку, але і висловити свою, поспілкуватися як з медичними представниками, так і з колегами. Про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водячи освітню програму серед лікарів, важливо сконцентрувати увагу не лише на позитивних аспектах застосування того або іншого лікар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ського засобу, займаючись, по суті, рекламною діяльністю, а подавати дійсно повний спектр інформації, пов'язаної з застосуванням конкрет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ного препарату.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За ініціативи компанії "Берінгер Інгельхайм" здійснюється довгос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троковий проект "Здорові легені України", в рамках якої передбачають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ся різні освітні програми для лікарів та пацієнтів. Представництво концерну "Байєр" підготовило спеціальну програму, мета якої — надан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ня інформаційної і медичної допомоги хворим гемофілією, Представ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ництвом компанії "Еіі Ьіііу" успішно реалізується такий освітній проект, як школи для хворих цукровим діабетом, а освітній проект Представниц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тва заводу "Гедеон Ріхтер" присвячений питанням планування сім'ї. Представництво компанії "СмітКляйн Бічем" проводить освітню про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граму для провізорів "</w:t>
      </w:r>
      <w:r>
        <w:rPr>
          <w:rFonts w:ascii="Times New Roman" w:hAnsi="Times New Roman"/>
          <w:snapToGrid w:val="0"/>
          <w:sz w:val="24"/>
          <w:lang w:val="en-US" w:eastAsia="ru-RU"/>
        </w:rPr>
        <w:t>Pharmassist</w:t>
      </w:r>
      <w:r>
        <w:rPr>
          <w:rFonts w:ascii="Times New Roman" w:hAnsi="Times New Roman"/>
          <w:snapToGrid w:val="0"/>
          <w:sz w:val="24"/>
          <w:lang w:eastAsia="ru-RU"/>
        </w:rPr>
        <w:t>", яка включає порівняльну характери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стику різних груп лікарських засобів, питання маркетингу, методів торгівлі, європейського фармацевтичного законодавства тощо.</w:t>
      </w:r>
    </w:p>
    <w:p w:rsidR="00A80852" w:rsidRDefault="00CD1E99">
      <w:pPr>
        <w:spacing w:line="280" w:lineRule="auto"/>
        <w:ind w:firstLine="50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Проте найефективнішим методом щодо просування лікарських за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собів є індивідуальна робота медичного представника з лікарем або про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візором. Правда, тут можливі й особисті перешкоди, пов'язані з увагою, часом, формою та змістом повідомлення. Відсутність належної уваги до потенційного споживача може спричинити до нерозуміння інформацій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ного повідомлення медичного представника. За відсутності часу пред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ставник не має можливості оптимально структуризувати своє повідом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лення, а потенційний споживач — зрозуміти його зміст. Складність повідомлення та відсутність доступної для конкретного споживача (ліка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ря або провізора) термінології спричинить до непорозуміння у спілку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ванні. Чим ближче розшифроване потенційним споживачем інформа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ційне повідомлення до того, що в нього вклав представник фармацевтичної компанії, тим ефективніший результат спілкування. Важливе значення в комунікаційному процесі має адекватна оцінка реакції споживачів на звернення. Для прикладу, кожен візит до лікаря слід ретельно аналізува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ти з метою розробки подальшої стратегії співпраці з ним, вибору пра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вильного стилю спілкування. За підсумками не більше 4—5 візитів не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обхідно робити висновки про ефективність проведеної роботи і при необхідності проводити корекцію методів і форм спілкування.</w:t>
      </w:r>
    </w:p>
    <w:p w:rsidR="00A80852" w:rsidRDefault="00CD1E99">
      <w:pPr>
        <w:pStyle w:val="2"/>
        <w:tabs>
          <w:tab w:val="clear" w:pos="425"/>
        </w:tabs>
        <w:spacing w:before="140" w:after="0"/>
        <w:rPr>
          <w:rFonts w:ascii="Times New Roman" w:hAnsi="Times New Roman"/>
          <w:snapToGrid w:val="0"/>
          <w:lang w:eastAsia="ru-RU"/>
        </w:rPr>
      </w:pPr>
      <w:r>
        <w:rPr>
          <w:rFonts w:ascii="Times New Roman" w:hAnsi="Times New Roman"/>
          <w:snapToGrid w:val="0"/>
          <w:lang w:eastAsia="ru-RU"/>
        </w:rPr>
        <w:t>Висновок</w:t>
      </w:r>
    </w:p>
    <w:p w:rsidR="00A80852" w:rsidRDefault="00CD1E99">
      <w:pPr>
        <w:spacing w:before="20" w:line="280" w:lineRule="auto"/>
        <w:ind w:firstLine="480"/>
        <w:rPr>
          <w:rFonts w:ascii="Times New Roman" w:hAnsi="Times New Roman"/>
          <w:snapToGrid w:val="0"/>
          <w:sz w:val="24"/>
          <w:lang w:eastAsia="ru-RU"/>
        </w:rPr>
      </w:pPr>
      <w:r>
        <w:rPr>
          <w:rFonts w:ascii="Times New Roman" w:hAnsi="Times New Roman"/>
          <w:snapToGrid w:val="0"/>
          <w:sz w:val="24"/>
          <w:lang w:eastAsia="ru-RU"/>
        </w:rPr>
        <w:t>Проаналізовано діяльність і промодельовано організаційні структу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ри представництв фармацевтичних фірм в Україні та процесу просуван</w:t>
      </w:r>
      <w:r>
        <w:rPr>
          <w:rFonts w:ascii="Times New Roman" w:hAnsi="Times New Roman"/>
          <w:snapToGrid w:val="0"/>
          <w:sz w:val="24"/>
          <w:lang w:eastAsia="ru-RU"/>
        </w:rPr>
        <w:softHyphen/>
        <w:t>ня медичним представником лікарських засобів на ринок.</w:t>
      </w:r>
    </w:p>
    <w:p w:rsidR="00A80852" w:rsidRDefault="00A80852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A80852">
      <w:footerReference w:type="even" r:id="rId10"/>
      <w:footerReference w:type="default" r:id="rId11"/>
      <w:pgSz w:w="11907" w:h="16840" w:code="9"/>
      <w:pgMar w:top="1247" w:right="1134" w:bottom="124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52" w:rsidRDefault="00CD1E99">
      <w:r>
        <w:separator/>
      </w:r>
    </w:p>
  </w:endnote>
  <w:endnote w:type="continuationSeparator" w:id="0">
    <w:p w:rsidR="00A80852" w:rsidRDefault="00CD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udioScriptCT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52" w:rsidRDefault="00CD1E9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0852" w:rsidRDefault="00A808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52" w:rsidRDefault="00CD1E9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80852" w:rsidRDefault="00A808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52" w:rsidRDefault="00CD1E99">
      <w:r>
        <w:separator/>
      </w:r>
    </w:p>
  </w:footnote>
  <w:footnote w:type="continuationSeparator" w:id="0">
    <w:p w:rsidR="00A80852" w:rsidRDefault="00CD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E99"/>
    <w:rsid w:val="00A80852"/>
    <w:rsid w:val="00CD1E99"/>
    <w:rsid w:val="00E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5730388-2DB6-4F47-BEB3-388C5805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284"/>
        <w:tab w:val="left" w:pos="567"/>
      </w:tabs>
      <w:jc w:val="both"/>
    </w:pPr>
    <w:rPr>
      <w:rFonts w:ascii="SchoolDL" w:hAnsi="SchoolDL"/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0"/>
    </w:pPr>
    <w:rPr>
      <w:rFonts w:ascii="Kudriashov" w:hAnsi="Kudriashov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1"/>
    </w:pPr>
    <w:rPr>
      <w:rFonts w:ascii="Kudriashov" w:hAnsi="Kudriashov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Kudriashov" w:hAnsi="Kudriashov"/>
      <w:b/>
      <w:sz w:val="24"/>
    </w:rPr>
  </w:style>
  <w:style w:type="paragraph" w:styleId="4">
    <w:name w:val="heading 4"/>
    <w:basedOn w:val="a"/>
    <w:next w:val="a"/>
    <w:qFormat/>
    <w:pPr>
      <w:keepNext/>
      <w:ind w:left="4536"/>
      <w:jc w:val="center"/>
      <w:outlineLvl w:val="3"/>
    </w:pPr>
    <w:rPr>
      <w:rFonts w:ascii="StudioScriptCTT" w:hAnsi="StudioScriptCTT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rukLabel">
    <w:name w:val="DrukLabel"/>
    <w:basedOn w:val="a"/>
    <w:pPr>
      <w:tabs>
        <w:tab w:val="left" w:pos="425"/>
      </w:tabs>
      <w:jc w:val="right"/>
    </w:pPr>
    <w:rPr>
      <w:i/>
      <w:sz w:val="16"/>
    </w:rPr>
  </w:style>
  <w:style w:type="paragraph" w:styleId="a3">
    <w:name w:val="Title"/>
    <w:basedOn w:val="a"/>
    <w:qFormat/>
    <w:pPr>
      <w:jc w:val="center"/>
    </w:pPr>
    <w:rPr>
      <w:rFonts w:ascii="StudioScriptCTT" w:hAnsi="StudioScriptCTT"/>
      <w:b/>
      <w:sz w:val="36"/>
    </w:rPr>
  </w:style>
  <w:style w:type="paragraph" w:styleId="a4">
    <w:name w:val="Body Text"/>
    <w:basedOn w:val="a"/>
    <w:semiHidden/>
    <w:pPr>
      <w:jc w:val="center"/>
    </w:pPr>
    <w:rPr>
      <w:rFonts w:ascii="Arial" w:hAnsi="Arial"/>
      <w:b/>
      <w:i/>
      <w:snapToGrid w:val="0"/>
      <w:sz w:val="48"/>
      <w:lang w:eastAsia="ru-RU"/>
    </w:rPr>
  </w:style>
  <w:style w:type="paragraph" w:styleId="20">
    <w:name w:val="Body Text 2"/>
    <w:basedOn w:val="a"/>
    <w:semiHidden/>
    <w:pPr>
      <w:jc w:val="center"/>
    </w:pPr>
    <w:rPr>
      <w:b/>
      <w:i/>
      <w:snapToGrid w:val="0"/>
      <w:lang w:eastAsia="ru-RU"/>
    </w:rPr>
  </w:style>
  <w:style w:type="paragraph" w:styleId="a5">
    <w:name w:val="Body Text Indent"/>
    <w:basedOn w:val="a"/>
    <w:semiHidden/>
    <w:pPr>
      <w:spacing w:before="180" w:line="280" w:lineRule="auto"/>
      <w:ind w:firstLine="480"/>
    </w:pPr>
    <w:rPr>
      <w:snapToGrid w:val="0"/>
      <w:sz w:val="24"/>
      <w:lang w:eastAsia="ru-RU"/>
    </w:rPr>
  </w:style>
  <w:style w:type="paragraph" w:styleId="a6">
    <w:name w:val="footer"/>
    <w:basedOn w:val="a"/>
    <w:semiHidden/>
    <w:pPr>
      <w:tabs>
        <w:tab w:val="clear" w:pos="284"/>
        <w:tab w:val="clear" w:pos="567"/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14614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2001-06-08T10:15:00Z</cp:lastPrinted>
  <dcterms:created xsi:type="dcterms:W3CDTF">2014-04-17T11:02:00Z</dcterms:created>
  <dcterms:modified xsi:type="dcterms:W3CDTF">2014-04-17T11:02:00Z</dcterms:modified>
  <cp:category>Медицина. Безпека життєдіяльності</cp:category>
</cp:coreProperties>
</file>