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AA" w:rsidRDefault="002133AA">
      <w:pPr>
        <w:jc w:val="center"/>
        <w:rPr>
          <w:sz w:val="28"/>
        </w:rPr>
      </w:pPr>
    </w:p>
    <w:p w:rsidR="00DD7F7C" w:rsidRDefault="00DD7F7C">
      <w:pPr>
        <w:jc w:val="center"/>
      </w:pPr>
      <w:r>
        <w:rPr>
          <w:sz w:val="28"/>
        </w:rPr>
        <w:t>Ю</w:t>
      </w:r>
      <w:r>
        <w:t xml:space="preserve">ЖНО – </w:t>
      </w:r>
      <w:r>
        <w:rPr>
          <w:sz w:val="28"/>
        </w:rPr>
        <w:t>С</w:t>
      </w:r>
      <w:r>
        <w:t>АХАЛИНСКИЙ ИНСТИТУТ ЭКОНОМИКИ, ПРАВА И ИНФОРМАТИКИ</w:t>
      </w:r>
    </w:p>
    <w:p w:rsidR="00DD7F7C" w:rsidRDefault="00DD7F7C">
      <w:pPr>
        <w:jc w:val="center"/>
      </w:pPr>
    </w:p>
    <w:p w:rsidR="00DD7F7C" w:rsidRDefault="00DD7F7C">
      <w:pPr>
        <w:jc w:val="center"/>
        <w:rPr>
          <w:sz w:val="28"/>
        </w:rPr>
      </w:pPr>
    </w:p>
    <w:p w:rsidR="00DD7F7C" w:rsidRDefault="00DD7F7C">
      <w:pPr>
        <w:jc w:val="right"/>
        <w:rPr>
          <w:sz w:val="28"/>
        </w:rPr>
      </w:pPr>
    </w:p>
    <w:p w:rsidR="00DD7F7C" w:rsidRDefault="00DD7F7C">
      <w:pPr>
        <w:pStyle w:val="4"/>
      </w:pPr>
      <w:r>
        <w:t>Кафедра менеджмента и экономики</w:t>
      </w:r>
    </w:p>
    <w:p w:rsidR="00DD7F7C" w:rsidRDefault="00DD7F7C">
      <w:pPr>
        <w:jc w:val="center"/>
        <w:rPr>
          <w:sz w:val="28"/>
        </w:rPr>
      </w:pPr>
    </w:p>
    <w:p w:rsidR="00DD7F7C" w:rsidRDefault="00DD7F7C">
      <w:pPr>
        <w:jc w:val="center"/>
        <w:rPr>
          <w:sz w:val="28"/>
        </w:rPr>
      </w:pPr>
    </w:p>
    <w:p w:rsidR="00DD7F7C" w:rsidRDefault="00DD7F7C">
      <w:pPr>
        <w:jc w:val="center"/>
        <w:rPr>
          <w:sz w:val="28"/>
        </w:rPr>
      </w:pPr>
    </w:p>
    <w:p w:rsidR="00DD7F7C" w:rsidRDefault="00DD7F7C">
      <w:pPr>
        <w:pStyle w:val="1"/>
      </w:pPr>
    </w:p>
    <w:p w:rsidR="00DD7F7C" w:rsidRDefault="00DD7F7C">
      <w:pPr>
        <w:pStyle w:val="1"/>
      </w:pPr>
    </w:p>
    <w:p w:rsidR="00DD7F7C" w:rsidRDefault="00DD7F7C">
      <w:pPr>
        <w:pStyle w:val="1"/>
      </w:pPr>
    </w:p>
    <w:p w:rsidR="00DD7F7C" w:rsidRDefault="00DD7F7C">
      <w:pPr>
        <w:pStyle w:val="1"/>
        <w:jc w:val="center"/>
      </w:pPr>
      <w:r>
        <w:t>КУРСОВАЯ РАБОТА</w:t>
      </w:r>
    </w:p>
    <w:p w:rsidR="00DD7F7C" w:rsidRDefault="00DD7F7C">
      <w:pPr>
        <w:pStyle w:val="2"/>
        <w:jc w:val="center"/>
      </w:pPr>
    </w:p>
    <w:p w:rsidR="00DD7F7C" w:rsidRDefault="00DD7F7C">
      <w:pPr>
        <w:pStyle w:val="2"/>
        <w:jc w:val="center"/>
      </w:pPr>
    </w:p>
    <w:p w:rsidR="00DD7F7C" w:rsidRDefault="00DD7F7C">
      <w:pPr>
        <w:pStyle w:val="2"/>
        <w:jc w:val="center"/>
      </w:pPr>
    </w:p>
    <w:p w:rsidR="00DD7F7C" w:rsidRDefault="00DD7F7C">
      <w:pPr>
        <w:pStyle w:val="2"/>
        <w:jc w:val="center"/>
      </w:pPr>
    </w:p>
    <w:p w:rsidR="00DD7F7C" w:rsidRDefault="00DD7F7C">
      <w:pPr>
        <w:pStyle w:val="2"/>
        <w:jc w:val="center"/>
      </w:pPr>
    </w:p>
    <w:p w:rsidR="00DD7F7C" w:rsidRDefault="00DD7F7C">
      <w:pPr>
        <w:pStyle w:val="2"/>
        <w:jc w:val="center"/>
      </w:pPr>
    </w:p>
    <w:p w:rsidR="00DD7F7C" w:rsidRDefault="00DD7F7C">
      <w:pPr>
        <w:pStyle w:val="2"/>
        <w:jc w:val="center"/>
      </w:pPr>
      <w:r>
        <w:t>По дисциплине: «Статистика»</w:t>
      </w:r>
    </w:p>
    <w:p w:rsidR="00DD7F7C" w:rsidRDefault="00DD7F7C">
      <w:pPr>
        <w:pStyle w:val="3"/>
        <w:jc w:val="center"/>
      </w:pPr>
      <w:r>
        <w:t>по теме: «Валовой внутренний продукт – важнейший показатель системы национальных счетов»</w:t>
      </w:r>
    </w:p>
    <w:p w:rsidR="00DD7F7C" w:rsidRDefault="00DD7F7C">
      <w:pPr>
        <w:rPr>
          <w:sz w:val="28"/>
        </w:rPr>
      </w:pPr>
    </w:p>
    <w:p w:rsidR="00DD7F7C" w:rsidRDefault="00DD7F7C">
      <w:pPr>
        <w:jc w:val="center"/>
        <w:rPr>
          <w:sz w:val="28"/>
        </w:rPr>
      </w:pPr>
    </w:p>
    <w:p w:rsidR="00DD7F7C" w:rsidRDefault="00DD7F7C">
      <w:pPr>
        <w:pStyle w:val="4"/>
      </w:pPr>
    </w:p>
    <w:p w:rsidR="00DD7F7C" w:rsidRDefault="00DD7F7C">
      <w:pPr>
        <w:pStyle w:val="4"/>
      </w:pPr>
    </w:p>
    <w:p w:rsidR="00DD7F7C" w:rsidRDefault="00DD7F7C">
      <w:pPr>
        <w:pStyle w:val="4"/>
      </w:pPr>
    </w:p>
    <w:p w:rsidR="00DD7F7C" w:rsidRDefault="00DD7F7C">
      <w:pPr>
        <w:pStyle w:val="4"/>
      </w:pPr>
    </w:p>
    <w:p w:rsidR="00DD7F7C" w:rsidRDefault="00DD7F7C"/>
    <w:p w:rsidR="00DD7F7C" w:rsidRDefault="00DD7F7C"/>
    <w:p w:rsidR="00DD7F7C" w:rsidRDefault="00DD7F7C"/>
    <w:p w:rsidR="00DD7F7C" w:rsidRDefault="00DD7F7C">
      <w:pPr>
        <w:pStyle w:val="4"/>
      </w:pPr>
      <w:r>
        <w:t>Студента второго курса группы ЭКУ- 21</w:t>
      </w:r>
    </w:p>
    <w:p w:rsidR="00DD7F7C" w:rsidRDefault="00DD7F7C">
      <w:pPr>
        <w:jc w:val="right"/>
        <w:rPr>
          <w:sz w:val="28"/>
        </w:rPr>
      </w:pPr>
      <w:r>
        <w:rPr>
          <w:sz w:val="28"/>
        </w:rPr>
        <w:t>факультета менеджмента</w:t>
      </w:r>
    </w:p>
    <w:p w:rsidR="00DD7F7C" w:rsidRDefault="00DD7F7C">
      <w:pPr>
        <w:pStyle w:val="5"/>
        <w:jc w:val="right"/>
      </w:pPr>
      <w:r>
        <w:t xml:space="preserve">                                                  Бочарова Евгения Сергеевича</w:t>
      </w:r>
    </w:p>
    <w:p w:rsidR="00DD7F7C" w:rsidRDefault="00DD7F7C">
      <w:pPr>
        <w:jc w:val="right"/>
      </w:pPr>
    </w:p>
    <w:p w:rsidR="00DD7F7C" w:rsidRDefault="00DD7F7C">
      <w:pPr>
        <w:jc w:val="right"/>
      </w:pPr>
    </w:p>
    <w:p w:rsidR="00DD7F7C" w:rsidRDefault="00DD7F7C">
      <w:pPr>
        <w:jc w:val="right"/>
        <w:rPr>
          <w:sz w:val="28"/>
        </w:rPr>
      </w:pPr>
      <w:r>
        <w:rPr>
          <w:sz w:val="28"/>
        </w:rPr>
        <w:t xml:space="preserve">                                                                                                Научный руководитель:</w:t>
      </w:r>
    </w:p>
    <w:p w:rsidR="00DD7F7C" w:rsidRDefault="00DD7F7C">
      <w:pPr>
        <w:pStyle w:val="4"/>
      </w:pPr>
      <w:r>
        <w:t xml:space="preserve">                                 И Марина Петровна</w:t>
      </w:r>
    </w:p>
    <w:p w:rsidR="00DD7F7C" w:rsidRDefault="00DD7F7C">
      <w:pPr>
        <w:jc w:val="center"/>
        <w:rPr>
          <w:sz w:val="28"/>
        </w:rPr>
      </w:pPr>
    </w:p>
    <w:p w:rsidR="00DD7F7C" w:rsidRDefault="00DD7F7C">
      <w:pPr>
        <w:jc w:val="center"/>
        <w:rPr>
          <w:sz w:val="28"/>
        </w:rPr>
      </w:pPr>
    </w:p>
    <w:p w:rsidR="00DD7F7C" w:rsidRDefault="00DD7F7C">
      <w:pPr>
        <w:pStyle w:val="5"/>
      </w:pPr>
      <w:r>
        <w:t>Южно-Сахалинск</w:t>
      </w:r>
    </w:p>
    <w:p w:rsidR="00DD7F7C" w:rsidRDefault="00DD7F7C">
      <w:pPr>
        <w:jc w:val="center"/>
        <w:rPr>
          <w:sz w:val="28"/>
        </w:rPr>
      </w:pPr>
      <w:r>
        <w:rPr>
          <w:sz w:val="28"/>
        </w:rPr>
        <w:t xml:space="preserve">2001 </w:t>
      </w:r>
    </w:p>
    <w:p w:rsidR="00DD7F7C" w:rsidRDefault="00DD7F7C">
      <w:pPr>
        <w:pStyle w:val="6"/>
      </w:pPr>
    </w:p>
    <w:p w:rsidR="00DD7F7C" w:rsidRDefault="00DD7F7C">
      <w:pPr>
        <w:pStyle w:val="6"/>
      </w:pPr>
    </w:p>
    <w:p w:rsidR="00DD7F7C" w:rsidRDefault="00DD7F7C"/>
    <w:p w:rsidR="00DD7F7C" w:rsidRDefault="00DD7F7C">
      <w:pPr>
        <w:pStyle w:val="6"/>
      </w:pPr>
      <w:r>
        <w:lastRenderedPageBreak/>
        <w:t>СОДЕРЖАНИЕ</w:t>
      </w:r>
    </w:p>
    <w:p w:rsidR="00DD7F7C" w:rsidRDefault="00DD7F7C"/>
    <w:p w:rsidR="00DD7F7C" w:rsidRDefault="00DD7F7C">
      <w:pPr>
        <w:jc w:val="center"/>
        <w:rPr>
          <w:b/>
          <w:sz w:val="28"/>
        </w:rPr>
      </w:pPr>
    </w:p>
    <w:p w:rsidR="00DD7F7C" w:rsidRDefault="00DD7F7C">
      <w:pPr>
        <w:jc w:val="center"/>
        <w:rPr>
          <w:b/>
          <w:sz w:val="28"/>
        </w:rPr>
      </w:pPr>
    </w:p>
    <w:p w:rsidR="00DD7F7C" w:rsidRDefault="00DD7F7C">
      <w:pPr>
        <w:pStyle w:val="2"/>
        <w:jc w:val="right"/>
      </w:pPr>
      <w:r>
        <w:t xml:space="preserve">Введение……………………………………………………………………………...3                                                                                                                  </w:t>
      </w:r>
    </w:p>
    <w:p w:rsidR="00DD7F7C" w:rsidRDefault="00DD7F7C">
      <w:pPr>
        <w:pStyle w:val="a3"/>
        <w:numPr>
          <w:ilvl w:val="0"/>
          <w:numId w:val="27"/>
        </w:numPr>
      </w:pPr>
      <w:r>
        <w:t xml:space="preserve">Валовой внутренний продукт  – центральный показатель  системы                                              </w:t>
      </w:r>
    </w:p>
    <w:p w:rsidR="00DD7F7C" w:rsidRDefault="00DD7F7C">
      <w:pPr>
        <w:pStyle w:val="a3"/>
        <w:ind w:left="216"/>
        <w:jc w:val="right"/>
      </w:pPr>
      <w:r>
        <w:t xml:space="preserve">национальных счетов……………………………………………………………...4                                                                                             </w:t>
      </w:r>
    </w:p>
    <w:p w:rsidR="00DD7F7C" w:rsidRDefault="00DD7F7C">
      <w:pPr>
        <w:numPr>
          <w:ilvl w:val="1"/>
          <w:numId w:val="27"/>
        </w:numPr>
        <w:jc w:val="both"/>
        <w:rPr>
          <w:sz w:val="28"/>
        </w:rPr>
      </w:pPr>
      <w:r>
        <w:rPr>
          <w:sz w:val="28"/>
        </w:rPr>
        <w:t xml:space="preserve">Понятие валового внутреннего продукта и его место в системе </w:t>
      </w:r>
    </w:p>
    <w:p w:rsidR="00DD7F7C" w:rsidRDefault="00DD7F7C">
      <w:pPr>
        <w:pStyle w:val="20"/>
      </w:pPr>
      <w:r>
        <w:t xml:space="preserve">      национальных счетов…………………………………………………………..4           1.2.Методы расчета валового внутреннего продукта……..…..……………….7                                                                                                                                              </w:t>
      </w:r>
    </w:p>
    <w:p w:rsidR="00DD7F7C" w:rsidRDefault="00DD7F7C">
      <w:pPr>
        <w:jc w:val="both"/>
        <w:rPr>
          <w:sz w:val="28"/>
        </w:rPr>
      </w:pPr>
      <w:r>
        <w:rPr>
          <w:sz w:val="28"/>
        </w:rPr>
        <w:t xml:space="preserve">   2.Статистический анализ динамики валового внутреннего продукта </w:t>
      </w:r>
    </w:p>
    <w:p w:rsidR="00DD7F7C" w:rsidRDefault="00DD7F7C">
      <w:pPr>
        <w:jc w:val="right"/>
        <w:rPr>
          <w:sz w:val="28"/>
        </w:rPr>
      </w:pPr>
      <w:r>
        <w:rPr>
          <w:sz w:val="28"/>
        </w:rPr>
        <w:t xml:space="preserve">   России за 1995 – 2000 годы………………………………………..………….....14</w:t>
      </w:r>
    </w:p>
    <w:p w:rsidR="00DD7F7C" w:rsidRDefault="00DD7F7C">
      <w:pPr>
        <w:jc w:val="right"/>
        <w:rPr>
          <w:sz w:val="28"/>
        </w:rPr>
      </w:pPr>
      <w:r>
        <w:rPr>
          <w:sz w:val="28"/>
        </w:rPr>
        <w:t xml:space="preserve">      2.1. Динамика произведенного валового внутреннего продукта………..…..14  </w:t>
      </w:r>
    </w:p>
    <w:p w:rsidR="00DD7F7C" w:rsidRDefault="00DD7F7C">
      <w:pPr>
        <w:jc w:val="right"/>
        <w:rPr>
          <w:sz w:val="28"/>
        </w:rPr>
      </w:pPr>
      <w:r>
        <w:rPr>
          <w:sz w:val="28"/>
        </w:rPr>
        <w:t xml:space="preserve">      2.2. Динамика использования валового внутреннего продукта…………..…17</w:t>
      </w:r>
    </w:p>
    <w:p w:rsidR="00DD7F7C" w:rsidRDefault="00DD7F7C">
      <w:pPr>
        <w:jc w:val="right"/>
        <w:rPr>
          <w:sz w:val="28"/>
        </w:rPr>
      </w:pPr>
      <w:r>
        <w:rPr>
          <w:sz w:val="28"/>
        </w:rPr>
        <w:t xml:space="preserve">   3. Элементы прогнозирования валового внутреннего продукта в России.…..20             </w:t>
      </w:r>
    </w:p>
    <w:p w:rsidR="00DD7F7C" w:rsidRDefault="00DD7F7C">
      <w:pPr>
        <w:jc w:val="right"/>
        <w:rPr>
          <w:sz w:val="28"/>
        </w:rPr>
      </w:pPr>
      <w:r>
        <w:rPr>
          <w:sz w:val="28"/>
        </w:rPr>
        <w:t>Заключение………………………………………………………………………….25</w:t>
      </w:r>
    </w:p>
    <w:p w:rsidR="00DD7F7C" w:rsidRDefault="00DD7F7C">
      <w:pPr>
        <w:jc w:val="right"/>
        <w:rPr>
          <w:sz w:val="28"/>
        </w:rPr>
      </w:pPr>
      <w:r>
        <w:rPr>
          <w:sz w:val="28"/>
        </w:rPr>
        <w:t xml:space="preserve">Список использованной литературы……………………………………………...27  </w:t>
      </w:r>
    </w:p>
    <w:p w:rsidR="00DD7F7C" w:rsidRDefault="00DD7F7C">
      <w:pPr>
        <w:jc w:val="center"/>
        <w:rPr>
          <w:sz w:val="28"/>
        </w:rPr>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p>
    <w:p w:rsidR="00DD7F7C" w:rsidRDefault="00DD7F7C">
      <w:pPr>
        <w:pStyle w:val="a4"/>
      </w:pPr>
      <w:r>
        <w:t>ВВЕДЕНИЕ</w:t>
      </w:r>
    </w:p>
    <w:p w:rsidR="00DD7F7C" w:rsidRDefault="00DD7F7C">
      <w:pPr>
        <w:pStyle w:val="a4"/>
      </w:pPr>
    </w:p>
    <w:p w:rsidR="00DD7F7C" w:rsidRDefault="00DD7F7C">
      <w:pPr>
        <w:pStyle w:val="a4"/>
      </w:pPr>
    </w:p>
    <w:p w:rsidR="00DD7F7C" w:rsidRDefault="00DD7F7C">
      <w:pPr>
        <w:pStyle w:val="a4"/>
        <w:jc w:val="both"/>
        <w:rPr>
          <w:b w:val="0"/>
        </w:rPr>
      </w:pPr>
      <w:r>
        <w:rPr>
          <w:b w:val="0"/>
        </w:rPr>
        <w:t xml:space="preserve">     Валовой внутренний продукт (ВВП) – показатель общего экономического состояния страны. Он дает представление об общем материальном благосостоянии нации, так как чем выше уровень производства, тем выше благосостояние страны.</w:t>
      </w:r>
    </w:p>
    <w:p w:rsidR="00DD7F7C" w:rsidRDefault="00DD7F7C">
      <w:pPr>
        <w:pStyle w:val="a4"/>
        <w:jc w:val="both"/>
        <w:rPr>
          <w:b w:val="0"/>
        </w:rPr>
      </w:pPr>
      <w:r>
        <w:rPr>
          <w:b w:val="0"/>
        </w:rPr>
        <w:t xml:space="preserve">     Предметом изучения ВВП являются экономические единицы – резиденты, производящие товары и услуги для конечного пользования за определенный период.</w:t>
      </w:r>
    </w:p>
    <w:p w:rsidR="00DD7F7C" w:rsidRDefault="00DD7F7C">
      <w:pPr>
        <w:pStyle w:val="a4"/>
        <w:jc w:val="both"/>
        <w:rPr>
          <w:b w:val="0"/>
        </w:rPr>
      </w:pPr>
      <w:r>
        <w:rPr>
          <w:b w:val="0"/>
        </w:rPr>
        <w:t xml:space="preserve">     Показатель ВВП имеет очень важное значение для экономики в целом. Он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 и так далее. Очень часто этот показатель используется в сочетании с другими показателями, например, если анализируется отношение дефицита государственного бюджета к ВВП. То есть актуальность выбранной темы очевидна.</w:t>
      </w:r>
    </w:p>
    <w:p w:rsidR="00DD7F7C" w:rsidRDefault="00DD7F7C">
      <w:pPr>
        <w:pStyle w:val="a4"/>
        <w:jc w:val="both"/>
        <w:rPr>
          <w:b w:val="0"/>
        </w:rPr>
      </w:pPr>
      <w:r>
        <w:rPr>
          <w:b w:val="0"/>
        </w:rPr>
        <w:t xml:space="preserve">     Целью данной работы является  изучение ВВП, как важнейшего показателя системы национальных счетов. При этом решаются следующие задачи: изучение ключевых понятий ВВП, изучение методов его расчета, проведение анализа динамики ВВП в РФ, прогноз экономического развития РФ на ближайшие 10 лет.</w:t>
      </w:r>
    </w:p>
    <w:p w:rsidR="00DD7F7C" w:rsidRDefault="00DD7F7C">
      <w:pPr>
        <w:pStyle w:val="a4"/>
        <w:jc w:val="both"/>
        <w:rPr>
          <w:b w:val="0"/>
        </w:rPr>
      </w:pPr>
      <w:r>
        <w:rPr>
          <w:b w:val="0"/>
        </w:rPr>
        <w:t xml:space="preserve">     В первой главе курсовой работы рассматриваются основные понятия ВВП и три метода его расчета (производственный, метод конечного использования, распределительный метод). Во второй главе исследуется динамика показателя за последние годы, а в третьей главе говорится о прогнозировании ВВП в нашей стране.</w:t>
      </w:r>
    </w:p>
    <w:p w:rsidR="00DD7F7C" w:rsidRDefault="00DD7F7C">
      <w:pPr>
        <w:pStyle w:val="a4"/>
        <w:jc w:val="both"/>
        <w:rPr>
          <w:b w:val="0"/>
        </w:rPr>
      </w:pPr>
      <w:r>
        <w:rPr>
          <w:b w:val="0"/>
        </w:rPr>
        <w:t xml:space="preserve">     Основным источником явился учебник по экономической статистике под редакцией Ю. Н. Иванова, а также сайты Госкомстата, Министерства Финансов, Министерства экономического развития в интернете, и некоторые другие источники, которые более подробно описаны в списке использованной литературы.</w:t>
      </w:r>
    </w:p>
    <w:p w:rsidR="00DD7F7C" w:rsidRDefault="00DD7F7C">
      <w:pPr>
        <w:pStyle w:val="a4"/>
        <w:jc w:val="both"/>
      </w:pPr>
      <w:r>
        <w:t xml:space="preserve"> </w:t>
      </w: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rPr>
          <w:b/>
          <w:sz w:val="28"/>
        </w:rPr>
      </w:pPr>
    </w:p>
    <w:p w:rsidR="00DD7F7C" w:rsidRDefault="00DD7F7C">
      <w:pPr>
        <w:numPr>
          <w:ilvl w:val="0"/>
          <w:numId w:val="2"/>
        </w:numPr>
        <w:jc w:val="center"/>
        <w:rPr>
          <w:b/>
          <w:sz w:val="28"/>
        </w:rPr>
      </w:pPr>
      <w:r>
        <w:rPr>
          <w:b/>
          <w:sz w:val="28"/>
        </w:rPr>
        <w:t>ВАЛОВОЙ ВНУТРЕННИЙ ПРОДУКТ – ЦЕНТРАЛЬНЫЙ ПОКАЗАТЕЛЬ СИСТЕМЫ НАЦИОНАЛЬНЫХ СЧЕТОВ</w:t>
      </w:r>
    </w:p>
    <w:p w:rsidR="00DD7F7C" w:rsidRDefault="00DD7F7C">
      <w:pPr>
        <w:jc w:val="center"/>
        <w:rPr>
          <w:b/>
          <w:sz w:val="28"/>
        </w:rPr>
      </w:pPr>
    </w:p>
    <w:p w:rsidR="00DD7F7C" w:rsidRDefault="00DD7F7C">
      <w:pPr>
        <w:jc w:val="center"/>
        <w:rPr>
          <w:b/>
          <w:sz w:val="28"/>
        </w:rPr>
      </w:pPr>
    </w:p>
    <w:p w:rsidR="00DD7F7C" w:rsidRDefault="00DD7F7C">
      <w:pPr>
        <w:numPr>
          <w:ilvl w:val="1"/>
          <w:numId w:val="2"/>
        </w:numPr>
        <w:jc w:val="center"/>
        <w:rPr>
          <w:b/>
          <w:sz w:val="28"/>
        </w:rPr>
      </w:pPr>
      <w:r>
        <w:rPr>
          <w:b/>
          <w:sz w:val="28"/>
        </w:rPr>
        <w:t>Понятие валового внутреннего продукта и его место в системе национальных счетов</w:t>
      </w:r>
    </w:p>
    <w:p w:rsidR="00DD7F7C" w:rsidRDefault="00DD7F7C">
      <w:pPr>
        <w:jc w:val="center"/>
        <w:rPr>
          <w:b/>
          <w:sz w:val="28"/>
        </w:rPr>
      </w:pPr>
    </w:p>
    <w:p w:rsidR="00DD7F7C" w:rsidRDefault="00DD7F7C">
      <w:pPr>
        <w:jc w:val="both"/>
        <w:rPr>
          <w:b/>
          <w:sz w:val="28"/>
        </w:rPr>
      </w:pPr>
    </w:p>
    <w:p w:rsidR="00DD7F7C" w:rsidRDefault="00DD7F7C">
      <w:pPr>
        <w:pStyle w:val="a3"/>
        <w:ind w:firstLine="360"/>
      </w:pPr>
      <w:r>
        <w:t xml:space="preserve">Валовой внутренний продукт (ВВП) – центральный показатель системы национальных счетов (СНС), который характеризует стоимость конечных товаров и услуг, произведенных резидентами страны за тот или иной период. ВВП исчисляется в рыночных ценах конечного потребления, то есть в ценах, оплачиваемых покупателем, включая все торгово – транспортные наценки и налоги на продукты. ВВП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 и так далее.   </w:t>
      </w:r>
    </w:p>
    <w:p w:rsidR="00DD7F7C" w:rsidRDefault="00DD7F7C">
      <w:pPr>
        <w:jc w:val="both"/>
        <w:rPr>
          <w:sz w:val="28"/>
        </w:rPr>
      </w:pPr>
      <w:r>
        <w:rPr>
          <w:sz w:val="28"/>
        </w:rPr>
        <w:t xml:space="preserve">     Прежде чем приступить к характеристике  методов расчета ВВП, необходимо заострить внимание на ключевых моментах в понятии показателя.</w:t>
      </w:r>
    </w:p>
    <w:p w:rsidR="00DD7F7C" w:rsidRDefault="00DD7F7C">
      <w:pPr>
        <w:pStyle w:val="a5"/>
        <w:ind w:firstLine="0"/>
      </w:pPr>
      <w:r>
        <w:t xml:space="preserve">     Прежде всего, ВВП – это показатель произведенного продукта, который представляет собой стоимость </w:t>
      </w:r>
      <w:r>
        <w:rPr>
          <w:spacing w:val="2"/>
        </w:rPr>
        <w:t>произведенных</w:t>
      </w:r>
      <w:r>
        <w:t xml:space="preserve"> конечных товаров и услуг. Это означает, что стоимость промежуточных товаров и услуг, использованных в процессе производства (таких, как сырье, материалы, топливо, энергия, семена, корма, услуги грузового транспорта, оптовой торговли, коммерческие и финансовые услуги и т. п.), не входит в ВВП. В противном случае ВВП содержал бы повторный счет.     </w:t>
      </w:r>
    </w:p>
    <w:p w:rsidR="00DD7F7C" w:rsidRDefault="00DD7F7C">
      <w:pPr>
        <w:jc w:val="both"/>
        <w:rPr>
          <w:sz w:val="26"/>
        </w:rPr>
      </w:pPr>
      <w:r>
        <w:rPr>
          <w:sz w:val="28"/>
        </w:rPr>
        <w:t xml:space="preserve">     Конечная продукция — это товары и услуги, которые покупаются потребителями для конечного использования, а не для перепродажи. Промежуточная продукция — это товары и услуги, которые проходят дальнейшую переработку или перепродаются несколько раз, прежде чем попасть к конечному потребителю</w:t>
      </w:r>
      <w:r>
        <w:rPr>
          <w:sz w:val="26"/>
        </w:rPr>
        <w:t>.</w:t>
      </w:r>
    </w:p>
    <w:p w:rsidR="00DD7F7C" w:rsidRDefault="00DD7F7C">
      <w:pPr>
        <w:pStyle w:val="a3"/>
      </w:pPr>
      <w:r>
        <w:t xml:space="preserve">     Для того чтобы правильно рассчитать совокупный объем производства, необходимо, чтобы все продукты и услуги, произведенные в данном году, были учтены один раз, и не более того. Большинство продуктов проходят несколько производственных стадий, прежде чем попадают на рынок. В результате отдельные части и компоненты большинства продуктов покупаются и продаются несколько раз. Таким образом, чтобы избежать многократного учета частей продуктов, которые продаются и перепродаются, при расчете ВВП учитывается только рыночная стоимость конечных продуктов и исключается промежуточный продукция.</w:t>
      </w:r>
    </w:p>
    <w:p w:rsidR="00DD7F7C" w:rsidRDefault="00DD7F7C">
      <w:pPr>
        <w:jc w:val="both"/>
        <w:rPr>
          <w:sz w:val="28"/>
        </w:rPr>
      </w:pPr>
      <w:r>
        <w:rPr>
          <w:sz w:val="28"/>
        </w:rPr>
        <w:t xml:space="preserve">     Например, зерно, выращенное в сельском хозяйстве, прежде чем превратиться в конечный продукт — хлеб, проходит четыре стадии обработки: 1) сбор, обмолот и сортировка зерна в сельском хозяйстве; 2) очистка, сушка и хранение на элеваторах; 3) размол зерна на мельницах; 4) выпечка хлеба на хлебозаводах.</w:t>
      </w:r>
    </w:p>
    <w:p w:rsidR="00DD7F7C" w:rsidRDefault="00DD7F7C">
      <w:pPr>
        <w:ind w:firstLine="280"/>
        <w:jc w:val="both"/>
        <w:rPr>
          <w:sz w:val="28"/>
        </w:rPr>
      </w:pPr>
      <w:r>
        <w:rPr>
          <w:sz w:val="28"/>
        </w:rPr>
        <w:t xml:space="preserve">Если, предположим, цена зерна, произведенного в сельском хозяйстве, составляет </w:t>
      </w:r>
      <w:r>
        <w:rPr>
          <w:sz w:val="28"/>
          <w:lang w:val="en-US"/>
        </w:rPr>
        <w:t>n</w:t>
      </w:r>
      <w:r>
        <w:rPr>
          <w:sz w:val="28"/>
        </w:rPr>
        <w:t xml:space="preserve"> единиц, то при его обработке и переработке на трех последующих стадиях эта цена еще трижды включается в издержки производства на элеваторе, мельнице хлебозаводе и в конечном итоге четырежды суммируется при счете объема продукции по всем отраслям. Однако реальная стоимость, создаваемая на каждой стадии обработки зерна и охватывающая стоимость производства и доход, предстает лишь в виде заработной платы, амортизации и прибыли этого конкретного предприятия.</w:t>
      </w:r>
    </w:p>
    <w:p w:rsidR="00DD7F7C" w:rsidRDefault="00DD7F7C">
      <w:pPr>
        <w:ind w:firstLine="280"/>
        <w:jc w:val="both"/>
        <w:rPr>
          <w:sz w:val="28"/>
        </w:rPr>
      </w:pPr>
      <w:r>
        <w:rPr>
          <w:sz w:val="28"/>
        </w:rPr>
        <w:t>Следовательно, для исключения многократного повторного счета, ВВП должен выступать как стоимость конеч</w:t>
      </w:r>
      <w:r>
        <w:rPr>
          <w:sz w:val="28"/>
        </w:rPr>
        <w:softHyphen/>
        <w:t>ных товаров и услуг и включать только стоимость, создаваемую (добавляемую) на каждой промежуточной стадии обработки.</w:t>
      </w:r>
    </w:p>
    <w:p w:rsidR="00DD7F7C" w:rsidRDefault="00DD7F7C">
      <w:pPr>
        <w:ind w:firstLine="280"/>
        <w:jc w:val="both"/>
        <w:rPr>
          <w:sz w:val="28"/>
        </w:rPr>
      </w:pPr>
      <w:r>
        <w:rPr>
          <w:sz w:val="28"/>
        </w:rPr>
        <w:t>Рассмотрим подробней понятие добавленной стоимости.</w:t>
      </w:r>
    </w:p>
    <w:p w:rsidR="00DD7F7C" w:rsidRDefault="00DD7F7C">
      <w:pPr>
        <w:ind w:firstLine="280"/>
        <w:jc w:val="both"/>
        <w:rPr>
          <w:sz w:val="28"/>
        </w:rPr>
      </w:pPr>
      <w:r>
        <w:rPr>
          <w:sz w:val="28"/>
        </w:rPr>
        <w:t>Добавленная стоимость (ДС) - это стоимость, созданная в процессе про</w:t>
      </w:r>
      <w:r>
        <w:rPr>
          <w:sz w:val="28"/>
        </w:rPr>
        <w:softHyphen/>
        <w:t>изводства на данном предприятии и охватывающая реальный вклад предприятия в создание стоимости конкретного продукта, т.е. заработную плату, прибыль и амортизацию конкретного предприятия. Поэтому стоимость потребленных сырья и материалов, ко</w:t>
      </w:r>
      <w:r>
        <w:rPr>
          <w:sz w:val="28"/>
        </w:rPr>
        <w:softHyphen/>
        <w:t>торые приобретались у поставщиков, и в создании которых пред</w:t>
      </w:r>
      <w:r>
        <w:rPr>
          <w:sz w:val="28"/>
        </w:rPr>
        <w:softHyphen/>
        <w:t>приятие не принимало участия, в добавленную стоимость про</w:t>
      </w:r>
      <w:r>
        <w:rPr>
          <w:sz w:val="28"/>
        </w:rPr>
        <w:softHyphen/>
        <w:t>изведенного данным предприятием продукта не включается.</w:t>
      </w:r>
    </w:p>
    <w:p w:rsidR="00DD7F7C" w:rsidRDefault="00DD7F7C">
      <w:pPr>
        <w:pStyle w:val="21"/>
      </w:pPr>
      <w:r>
        <w:t>Иначе говоря, добавленная стоимость — это валовая про</w:t>
      </w:r>
      <w:r>
        <w:softHyphen/>
        <w:t>дукция предприятия (или рыночная цена выпущенной продук</w:t>
      </w:r>
      <w:r>
        <w:softHyphen/>
        <w:t>ции) за минусом текущих материальных издержек, но с вклю</w:t>
      </w:r>
      <w:r>
        <w:softHyphen/>
        <w:t>чением в нее отчислений на амортизацию (так как основные фонды предприятия принимают участие в создании новой сто</w:t>
      </w:r>
      <w:r>
        <w:softHyphen/>
        <w:t>имости производимой продукции). В советской практике этот показатель носил название условно чистой продукции.</w:t>
      </w:r>
    </w:p>
    <w:p w:rsidR="00DD7F7C" w:rsidRDefault="00DD7F7C">
      <w:pPr>
        <w:pStyle w:val="a5"/>
        <w:ind w:firstLine="300"/>
      </w:pPr>
      <w:r>
        <w:t xml:space="preserve">ВВП – это также внутренний продукт, потому что он произведен резидентами. К резидентам относятся все экономические единицы (предприятия и домашние хозяйства) независимо от их национальной принадлежности и гражданства, имеющие центр экономического интереса на территории данной страны. Это означает, что они занимаются производственной деятельностью или проживают на экономической территории страны длительное время (не менее года). Экономическая территория страны – это территория, административно управляемая правительством данной страны, в пределах которой лица, товары и деньги могут свободно перемещаться. В отличии от географической территории она не включает территориальные анклавы других стран (посольства, военные базы), но включает такие анклавы данной страны, расположенные на территории других стран. </w:t>
      </w:r>
    </w:p>
    <w:p w:rsidR="00DD7F7C" w:rsidRDefault="00DD7F7C">
      <w:pPr>
        <w:pStyle w:val="a5"/>
        <w:ind w:firstLine="300"/>
      </w:pPr>
      <w:r>
        <w:t>ВВП – это валовой продукт, потому что он исчисляется до вычета потребления основного капитала. Потребление основного капитала представляет собой уменьшение стоимости основного капитала в течение отчетного периода в результате его физического и морального износа и случайных повреждений, не носящих катастрофического характера. Теоретически внутренний продукт должен определяться на чистой основе за вычетом потребления основного капитала. Однако для определения потребления основного капитала в соответствии с принципами СНС требуются специальные расчеты на основе данных о восстановительной стоимости основных фондов, их сроке службы и износе по видам основных фондов. Амортизация по данным бухгалтерского учета не подходит для этой цели. Не все страны производят такие расчеты, а те, которые производят, используют различные методы. Таким образом, данные о ВВП более доступны и сравнимы между странами, и поэтому показатель ВВП получил более широкое распространение, чем чистый внутренний продукт.</w:t>
      </w:r>
    </w:p>
    <w:p w:rsidR="00DD7F7C" w:rsidRDefault="00DD7F7C">
      <w:pPr>
        <w:pStyle w:val="a5"/>
        <w:ind w:firstLine="300"/>
      </w:pPr>
      <w:r>
        <w:t xml:space="preserve"> В 2000 году ВВП по оценке составил 6940 млрд. руб., что в реальном выражении превышает аналогичный показатель 1999 года на 7,6% (4545,5 млрд. руб.).</w:t>
      </w:r>
    </w:p>
    <w:p w:rsidR="00DD7F7C" w:rsidRDefault="00DD7F7C">
      <w:pPr>
        <w:pStyle w:val="a3"/>
        <w:ind w:firstLine="240"/>
      </w:pPr>
      <w:r>
        <w:t>Помимо ВВП в статистике ряда зарубежных стран используется и более ранний макроэкономический показатель — валовой национальный продукт (ВНП). Оба они отражают результаты деятельности в двух сферах народного хозяйства материального производства и услуг. Оба определяют стоимость всего объема конечного производства товаров и услуг в экономике за один год (квартал, месяц). Эти показатели подсчитываются в ценах как текущих (действующих), так постоянных (ценах какого-либо базового года).</w:t>
      </w:r>
    </w:p>
    <w:p w:rsidR="00DD7F7C" w:rsidRDefault="00DD7F7C">
      <w:pPr>
        <w:ind w:left="240"/>
        <w:jc w:val="both"/>
        <w:rPr>
          <w:sz w:val="28"/>
        </w:rPr>
      </w:pPr>
      <w:r>
        <w:rPr>
          <w:sz w:val="28"/>
        </w:rPr>
        <w:t>Разница между ВНП и ВВП состоит в следующем:</w:t>
      </w:r>
    </w:p>
    <w:p w:rsidR="00DD7F7C" w:rsidRDefault="00DD7F7C">
      <w:pPr>
        <w:ind w:firstLine="240"/>
        <w:jc w:val="both"/>
        <w:rPr>
          <w:sz w:val="28"/>
        </w:rPr>
      </w:pPr>
      <w:r>
        <w:rPr>
          <w:sz w:val="28"/>
        </w:rPr>
        <w:t>1) ВВП подсчитывается по так называемому территориальному признаку. Это совокупная стоимость продукции сфер материального производства и сферы услуг независимо от национальной принадлежности предприятий, расположенных территории данной страны;</w:t>
      </w:r>
    </w:p>
    <w:p w:rsidR="00DD7F7C" w:rsidRDefault="00DD7F7C">
      <w:pPr>
        <w:pStyle w:val="20"/>
        <w:ind w:firstLine="240"/>
      </w:pPr>
      <w:r>
        <w:t>2) ВНП — это совокупная стоимость всего объема продукции и услуг в обеих сферах национальной экономики независимо от местонахождения национальных предприятий (в  стране или за рубежом).</w:t>
      </w:r>
    </w:p>
    <w:p w:rsidR="00DD7F7C" w:rsidRDefault="00DD7F7C">
      <w:pPr>
        <w:pStyle w:val="30"/>
      </w:pPr>
      <w:r>
        <w:t>Таким образом, ВНП отличается от ВВП на сумму так называемых факторных доходов от использования ресурсов данной страны за рубежом переведенная в страну прибыль вложенного за рубежом капитала, имеющейся там собственности, заработная плата граждан, работающих за рубежом за минусом аналогичных вывезенных из страны доходов иностранцев.</w:t>
      </w:r>
    </w:p>
    <w:p w:rsidR="00DD7F7C" w:rsidRDefault="00DD7F7C">
      <w:pPr>
        <w:ind w:left="40" w:firstLine="260"/>
        <w:jc w:val="both"/>
        <w:rPr>
          <w:sz w:val="28"/>
        </w:rPr>
      </w:pPr>
      <w:r>
        <w:rPr>
          <w:sz w:val="28"/>
        </w:rPr>
        <w:t>Обычно, чтобы рассчитать ВНП, к показателю ВВП добавляют разность между прибылями и доходами, полученными предприятиями и физическими лицами данной страны за рубежом, с одной стороны, и прибылями и доходами, полученными иностранными инвесторами и иностранными работниками в данной стране, с другой стороны.</w:t>
      </w:r>
    </w:p>
    <w:p w:rsidR="00DD7F7C" w:rsidRDefault="00DD7F7C">
      <w:pPr>
        <w:ind w:left="40" w:firstLine="260"/>
        <w:jc w:val="both"/>
        <w:rPr>
          <w:sz w:val="28"/>
        </w:rPr>
      </w:pPr>
      <w:r>
        <w:rPr>
          <w:sz w:val="28"/>
        </w:rPr>
        <w:t xml:space="preserve">Эта разность весьма невелика: для ведущих стран Запада не более ±1 % от ВВП. Статистическая служба ООН рекомендует в качестве основного показателя использовать показатель ВВП. В США и Японии используется показатель ВНП. </w:t>
      </w:r>
    </w:p>
    <w:p w:rsidR="00DD7F7C" w:rsidRDefault="00DD7F7C">
      <w:pPr>
        <w:ind w:left="40" w:firstLine="260"/>
        <w:jc w:val="both"/>
        <w:rPr>
          <w:sz w:val="28"/>
        </w:rPr>
      </w:pPr>
    </w:p>
    <w:p w:rsidR="00DD7F7C" w:rsidRDefault="00DD7F7C">
      <w:pPr>
        <w:jc w:val="center"/>
        <w:rPr>
          <w:sz w:val="28"/>
          <w:lang w:val="en-US"/>
        </w:rPr>
      </w:pPr>
      <w:r>
        <w:rPr>
          <w:sz w:val="28"/>
        </w:rPr>
        <w:t xml:space="preserve">                                               </w:t>
      </w:r>
      <w:r>
        <w:rPr>
          <w:sz w:val="28"/>
          <w:lang w:val="en-US"/>
        </w:rPr>
        <w:t>GDP = GNP – E,                                                          (1)</w:t>
      </w:r>
    </w:p>
    <w:p w:rsidR="00DD7F7C" w:rsidRDefault="00DD7F7C">
      <w:pPr>
        <w:ind w:left="40" w:firstLine="260"/>
        <w:jc w:val="both"/>
        <w:rPr>
          <w:sz w:val="28"/>
          <w:lang w:val="en-US"/>
        </w:rPr>
      </w:pPr>
    </w:p>
    <w:p w:rsidR="00DD7F7C" w:rsidRDefault="00DD7F7C">
      <w:pPr>
        <w:ind w:left="40" w:firstLine="260"/>
        <w:jc w:val="both"/>
        <w:rPr>
          <w:sz w:val="28"/>
        </w:rPr>
      </w:pPr>
      <w:r>
        <w:rPr>
          <w:sz w:val="28"/>
        </w:rPr>
        <w:t>где   G</w:t>
      </w:r>
      <w:r>
        <w:rPr>
          <w:sz w:val="28"/>
          <w:lang w:val="en-US"/>
        </w:rPr>
        <w:t>D</w:t>
      </w:r>
      <w:r>
        <w:rPr>
          <w:sz w:val="28"/>
        </w:rPr>
        <w:t>P –    валовой внутренний продукт;</w:t>
      </w:r>
    </w:p>
    <w:p w:rsidR="00DD7F7C" w:rsidRDefault="00DD7F7C">
      <w:pPr>
        <w:ind w:left="40" w:firstLine="260"/>
        <w:jc w:val="both"/>
        <w:rPr>
          <w:sz w:val="28"/>
        </w:rPr>
      </w:pPr>
      <w:r>
        <w:rPr>
          <w:sz w:val="28"/>
        </w:rPr>
        <w:t xml:space="preserve">         GNP –    валовой национальный продукт;</w:t>
      </w:r>
    </w:p>
    <w:p w:rsidR="00DD7F7C" w:rsidRDefault="00DD7F7C">
      <w:pPr>
        <w:ind w:left="40" w:firstLine="260"/>
        <w:jc w:val="both"/>
        <w:rPr>
          <w:sz w:val="28"/>
        </w:rPr>
      </w:pPr>
      <w:r>
        <w:rPr>
          <w:sz w:val="28"/>
        </w:rPr>
        <w:t xml:space="preserve">         E      –     чистый экспорт.</w:t>
      </w:r>
    </w:p>
    <w:p w:rsidR="00DD7F7C" w:rsidRDefault="00DD7F7C">
      <w:pPr>
        <w:pStyle w:val="a5"/>
      </w:pPr>
      <w:r>
        <w:tab/>
      </w:r>
    </w:p>
    <w:p w:rsidR="00DD7F7C" w:rsidRDefault="00DD7F7C">
      <w:pPr>
        <w:pStyle w:val="a5"/>
        <w:numPr>
          <w:ilvl w:val="1"/>
          <w:numId w:val="2"/>
        </w:numPr>
        <w:jc w:val="left"/>
        <w:rPr>
          <w:b/>
        </w:rPr>
      </w:pPr>
      <w:r>
        <w:rPr>
          <w:b/>
        </w:rPr>
        <w:t>Методы расчета валового внутреннего продукта</w:t>
      </w:r>
    </w:p>
    <w:p w:rsidR="00DD7F7C" w:rsidRDefault="00DD7F7C">
      <w:pPr>
        <w:pStyle w:val="a5"/>
        <w:jc w:val="left"/>
        <w:rPr>
          <w:b/>
        </w:rPr>
      </w:pPr>
    </w:p>
    <w:p w:rsidR="00DD7F7C" w:rsidRDefault="00DD7F7C">
      <w:pPr>
        <w:pStyle w:val="a5"/>
        <w:jc w:val="left"/>
        <w:rPr>
          <w:b/>
        </w:rPr>
      </w:pPr>
    </w:p>
    <w:p w:rsidR="00DD7F7C" w:rsidRDefault="00DD7F7C">
      <w:pPr>
        <w:pStyle w:val="a5"/>
        <w:ind w:firstLine="360"/>
      </w:pPr>
      <w:r>
        <w:t>Валовой внутренний продукт может быть исчислен следующими тремя методами:</w:t>
      </w:r>
    </w:p>
    <w:p w:rsidR="00DD7F7C" w:rsidRDefault="00DD7F7C">
      <w:pPr>
        <w:pStyle w:val="a5"/>
        <w:numPr>
          <w:ilvl w:val="0"/>
          <w:numId w:val="10"/>
        </w:numPr>
      </w:pPr>
      <w:r>
        <w:t>как сумма валовой добавленной стоимости (производственный метод)</w:t>
      </w:r>
    </w:p>
    <w:p w:rsidR="00DD7F7C" w:rsidRDefault="00DD7F7C">
      <w:pPr>
        <w:pStyle w:val="a5"/>
        <w:numPr>
          <w:ilvl w:val="0"/>
          <w:numId w:val="10"/>
        </w:numPr>
      </w:pPr>
      <w:r>
        <w:t>как сумма компонентов конечного использования (метод конечного использования)</w:t>
      </w:r>
    </w:p>
    <w:p w:rsidR="00DD7F7C" w:rsidRDefault="00DD7F7C">
      <w:pPr>
        <w:pStyle w:val="a5"/>
        <w:numPr>
          <w:ilvl w:val="0"/>
          <w:numId w:val="10"/>
        </w:numPr>
      </w:pPr>
      <w:r>
        <w:t>как сумма первичных доходов (распределительный метод)</w:t>
      </w:r>
    </w:p>
    <w:p w:rsidR="00DD7F7C" w:rsidRDefault="00DD7F7C">
      <w:pPr>
        <w:pStyle w:val="a5"/>
        <w:ind w:firstLine="360"/>
      </w:pPr>
      <w:r>
        <w:t xml:space="preserve">При расчете производственным методом ВВП исчисляется путем суммирования валовой добавленной стоимости всех производственных единиц – резидентов, сгруппированных по отраслям или секторам. </w:t>
      </w:r>
    </w:p>
    <w:p w:rsidR="00DD7F7C" w:rsidRDefault="00DD7F7C">
      <w:pPr>
        <w:pStyle w:val="a5"/>
        <w:ind w:firstLine="360"/>
      </w:pPr>
      <w:r>
        <w:t>В СНС показатель добавленной стоимости оценивается в так называемых основных ценах, включающих субсидии на продукты, но за вычетом налогов на продукты (например, налог на продажи, НДС и т.п.). Такой подход позволяет более точно измерить вклад каждой отрасли в создание ВВП. Надо отметить, что взаимосвязь между валовой добавленной стоимостью и ВВП принимает следующий вид:</w:t>
      </w:r>
    </w:p>
    <w:p w:rsidR="00DD7F7C" w:rsidRDefault="00DD7F7C">
      <w:pPr>
        <w:pStyle w:val="a5"/>
        <w:ind w:firstLine="360"/>
        <w:jc w:val="center"/>
        <w:rPr>
          <w:lang w:val="en-US"/>
        </w:rPr>
      </w:pPr>
      <w:r>
        <w:t xml:space="preserve">                                                   </w:t>
      </w:r>
      <w:r>
        <w:rPr>
          <w:lang w:val="en-US"/>
        </w:rPr>
        <w:t>GDP = D + N – U,                                              (2)</w:t>
      </w:r>
    </w:p>
    <w:p w:rsidR="00DD7F7C" w:rsidRDefault="00DD7F7C">
      <w:pPr>
        <w:pStyle w:val="a5"/>
        <w:ind w:firstLine="360"/>
        <w:jc w:val="center"/>
        <w:rPr>
          <w:lang w:val="en-US"/>
        </w:rPr>
      </w:pPr>
    </w:p>
    <w:p w:rsidR="00DD7F7C" w:rsidRDefault="00DD7F7C">
      <w:pPr>
        <w:pStyle w:val="a5"/>
        <w:ind w:left="1440" w:hanging="1080"/>
      </w:pPr>
      <w:r>
        <w:t>где</w:t>
      </w:r>
      <w:r>
        <w:tab/>
      </w:r>
      <w:r>
        <w:rPr>
          <w:lang w:val="en-US"/>
        </w:rPr>
        <w:t>D</w:t>
      </w:r>
      <w:r>
        <w:t xml:space="preserve"> – добавленная стоимость всех отраслей экономики в основных      ценах;</w:t>
      </w:r>
    </w:p>
    <w:p w:rsidR="00DD7F7C" w:rsidRDefault="00DD7F7C">
      <w:pPr>
        <w:pStyle w:val="a5"/>
        <w:ind w:left="1440" w:hanging="1080"/>
      </w:pPr>
      <w:r>
        <w:tab/>
      </w:r>
      <w:r>
        <w:rPr>
          <w:lang w:val="en-US"/>
        </w:rPr>
        <w:t>N</w:t>
      </w:r>
      <w:r>
        <w:t xml:space="preserve"> – налоги на продукты;</w:t>
      </w:r>
    </w:p>
    <w:p w:rsidR="00DD7F7C" w:rsidRDefault="00DD7F7C">
      <w:pPr>
        <w:pStyle w:val="a5"/>
        <w:ind w:left="1440" w:hanging="1080"/>
      </w:pPr>
      <w:r>
        <w:tab/>
      </w:r>
      <w:r>
        <w:rPr>
          <w:lang w:val="en-US"/>
        </w:rPr>
        <w:t>U</w:t>
      </w:r>
      <w:r>
        <w:t xml:space="preserve"> – субсидии на продукты.</w:t>
      </w:r>
    </w:p>
    <w:p w:rsidR="00DD7F7C" w:rsidRDefault="00DD7F7C">
      <w:pPr>
        <w:pStyle w:val="a5"/>
        <w:ind w:left="1440" w:hanging="1080"/>
      </w:pPr>
    </w:p>
    <w:p w:rsidR="00DD7F7C" w:rsidRDefault="00DD7F7C">
      <w:pPr>
        <w:pStyle w:val="a5"/>
        <w:ind w:firstLine="0"/>
      </w:pPr>
      <w:r>
        <w:t xml:space="preserve">     В соответствии с принятой в СНС трактовкой границ сферы производственной деятельности включает:</w:t>
      </w:r>
    </w:p>
    <w:p w:rsidR="00DD7F7C" w:rsidRDefault="00DD7F7C">
      <w:pPr>
        <w:pStyle w:val="a5"/>
        <w:numPr>
          <w:ilvl w:val="0"/>
          <w:numId w:val="14"/>
        </w:numPr>
        <w:tabs>
          <w:tab w:val="clear" w:pos="360"/>
          <w:tab w:val="num" w:pos="720"/>
        </w:tabs>
        <w:ind w:left="720"/>
      </w:pPr>
      <w:r>
        <w:t>все товары независимо от их использования</w:t>
      </w:r>
    </w:p>
    <w:p w:rsidR="00DD7F7C" w:rsidRDefault="00DD7F7C">
      <w:pPr>
        <w:pStyle w:val="a5"/>
        <w:numPr>
          <w:ilvl w:val="0"/>
          <w:numId w:val="14"/>
        </w:numPr>
        <w:tabs>
          <w:tab w:val="clear" w:pos="360"/>
          <w:tab w:val="num" w:pos="720"/>
        </w:tabs>
        <w:ind w:left="720"/>
      </w:pPr>
      <w:r>
        <w:t>услуги, предоставленные другим институциональным единицам, в частности, нерыночные услуги органов государственного управления и некоммерческих организаций</w:t>
      </w:r>
    </w:p>
    <w:p w:rsidR="00DD7F7C" w:rsidRDefault="00DD7F7C">
      <w:pPr>
        <w:pStyle w:val="a5"/>
        <w:numPr>
          <w:ilvl w:val="0"/>
          <w:numId w:val="14"/>
        </w:numPr>
        <w:tabs>
          <w:tab w:val="clear" w:pos="360"/>
          <w:tab w:val="num" w:pos="720"/>
        </w:tabs>
        <w:ind w:left="720"/>
      </w:pPr>
      <w:r>
        <w:t xml:space="preserve">услуги домохозяйств по проживанию в собственном жилище и домашние услуги, оказываемые оплачиваемой домашней прислугой. Бесплатные домашние услуги, оказываемые членами домашних хозяйств друг другу (приготовление пищи, стирка, уборка, ремонт домашнего оборудования), не включаются в границы сферы производства в СНС.  </w:t>
      </w:r>
    </w:p>
    <w:p w:rsidR="00DD7F7C" w:rsidRDefault="00DD7F7C">
      <w:pPr>
        <w:pStyle w:val="a5"/>
        <w:ind w:firstLine="0"/>
      </w:pPr>
      <w:r>
        <w:t xml:space="preserve">     В  границы сферы производства должны включаться также производство товаров и оказание услуг теневой экономикой, т.е. производство товаров и оказание услуг, запрещенные законом (незаконное производство), и производство товаров и оказание услуг, в принципе разрешенные законом, но скрываемые от государственных органов с целью сокрытия доходов (скрытое производство).</w:t>
      </w:r>
    </w:p>
    <w:p w:rsidR="00DD7F7C" w:rsidRDefault="00DD7F7C">
      <w:pPr>
        <w:pStyle w:val="a5"/>
        <w:ind w:firstLine="0"/>
      </w:pPr>
      <w:r>
        <w:t xml:space="preserve">     Различаются два типа выпуска: рыночный и нерыночный. Рыночный выпуск включает товары и услуги:</w:t>
      </w:r>
    </w:p>
    <w:p w:rsidR="00DD7F7C" w:rsidRDefault="00DD7F7C">
      <w:pPr>
        <w:pStyle w:val="a5"/>
        <w:ind w:firstLine="0"/>
      </w:pPr>
      <w:r>
        <w:t xml:space="preserve">     1) реализуемые по экономически  значимым ценам путем продажи или бартера;</w:t>
      </w:r>
    </w:p>
    <w:p w:rsidR="00DD7F7C" w:rsidRDefault="00DD7F7C">
      <w:pPr>
        <w:pStyle w:val="a5"/>
        <w:ind w:firstLine="0"/>
      </w:pPr>
      <w:r>
        <w:t xml:space="preserve">     2) предоставляемые работникам в качестве оплаты труда в натуральной форме;</w:t>
      </w:r>
    </w:p>
    <w:p w:rsidR="00DD7F7C" w:rsidRDefault="00DD7F7C">
      <w:pPr>
        <w:pStyle w:val="a5"/>
        <w:ind w:firstLine="0"/>
      </w:pPr>
      <w:r>
        <w:t xml:space="preserve">     3) производимые одним заведением предприятия(подразделением, находящимся на самостоятельном балансе или являющимся отдельной учетной единицей) и поставляемые другим заведениям того же предприятия для использования в производстве в том же или последующих периодах (например, продукты питания, переданные подсобными хозяйствами предприятия в столовые, детские учреждения, дома отдыха, принадлежащие данному предприятию, и т.п.);</w:t>
      </w:r>
    </w:p>
    <w:p w:rsidR="00DD7F7C" w:rsidRDefault="00DD7F7C">
      <w:pPr>
        <w:pStyle w:val="a5"/>
        <w:ind w:firstLine="0"/>
      </w:pPr>
      <w:r>
        <w:t xml:space="preserve">     4) готовую продукцию и незавершенное производство, поступающие в запасы материальных оборотных средств у производителя и предназначенные для рыночного использования, то есть на перечисленные выше цели.</w:t>
      </w:r>
    </w:p>
    <w:p w:rsidR="00DD7F7C" w:rsidRDefault="00DD7F7C">
      <w:pPr>
        <w:pStyle w:val="a5"/>
        <w:ind w:firstLine="0"/>
      </w:pPr>
      <w:r>
        <w:t xml:space="preserve">     Нерыночный выпуск включает товары и услуги:</w:t>
      </w:r>
    </w:p>
    <w:p w:rsidR="00DD7F7C" w:rsidRDefault="00DD7F7C">
      <w:pPr>
        <w:pStyle w:val="a5"/>
        <w:ind w:firstLine="0"/>
      </w:pPr>
      <w:r>
        <w:t xml:space="preserve">     1) производимые экономическими единицами для их собственного конечного потребления или накопления (например, сельскохозяйственные и другие продукты, произведенные для этих целей в фермерских, крестьянских или подсобных хозяйствах населения, строительство хозяйственным способом, услуги по проживанию в собственном жилище, услуги  оплачиваемой домашней прислуги и т.п.)</w:t>
      </w:r>
    </w:p>
    <w:p w:rsidR="00DD7F7C" w:rsidRDefault="00DD7F7C">
      <w:pPr>
        <w:pStyle w:val="a5"/>
        <w:ind w:firstLine="0"/>
      </w:pPr>
      <w:r>
        <w:t xml:space="preserve">     2) предоставляемые бесплатно или по ценам, не имеющим экономического значения, другим институциональным единицам, включая услуги, оказываемые обществу в целом (например, бесплатное образование и медицинское обслуживание, услуги государственного управления, обороны и др.);</w:t>
      </w:r>
    </w:p>
    <w:p w:rsidR="00DD7F7C" w:rsidRDefault="00DD7F7C">
      <w:pPr>
        <w:pStyle w:val="a5"/>
        <w:ind w:firstLine="0"/>
      </w:pPr>
      <w:r>
        <w:t xml:space="preserve">     3) готовую продукцию и незавершенное производство, предназначенные для нерыночного использования и  поступающие в запасы материальных оборотных средств у производителя.</w:t>
      </w:r>
    </w:p>
    <w:p w:rsidR="00DD7F7C" w:rsidRDefault="00DD7F7C">
      <w:pPr>
        <w:pStyle w:val="a5"/>
        <w:ind w:firstLine="0"/>
      </w:pPr>
      <w:r>
        <w:t xml:space="preserve">     Товары и услуги, произведенные для собственного конечного использования, оцениваются в основных ценах на аналогичные рыночные товары и услуги. Нерыночные услуги, оказываемые учреждениями государственного управления и некоммерческими организациями, обслуживающими домашние хозяйства, оцениваются исходя из текущих затрат этих организаций, включая потребление основного капитала.</w:t>
      </w:r>
    </w:p>
    <w:p w:rsidR="00DD7F7C" w:rsidRDefault="00DD7F7C">
      <w:pPr>
        <w:pStyle w:val="a5"/>
        <w:ind w:firstLine="0"/>
      </w:pPr>
      <w:r>
        <w:t xml:space="preserve">     Расходы на промежуточное потребление – это стоимость товаров (за исключением основных фондов) и рыночных услуг, потребленных в течение данного периода с целью производства других товаров или услуг. Они включают:</w:t>
      </w:r>
    </w:p>
    <w:p w:rsidR="00DD7F7C" w:rsidRDefault="00DD7F7C">
      <w:pPr>
        <w:pStyle w:val="a5"/>
        <w:ind w:firstLine="0"/>
      </w:pPr>
      <w:r>
        <w:t xml:space="preserve">     1) затраты сырья, материалов, топлива, энергии, семян, кормов (покупных и собственного производства), продуктов питания, медикаментов, канцелярских принадлежностей, спецодежды и т.п.;</w:t>
      </w:r>
    </w:p>
    <w:p w:rsidR="00DD7F7C" w:rsidRDefault="00DD7F7C">
      <w:pPr>
        <w:pStyle w:val="a5"/>
        <w:ind w:firstLine="0"/>
        <w:rPr>
          <w:color w:val="000000"/>
        </w:rPr>
      </w:pPr>
      <w:r>
        <w:t xml:space="preserve">     2</w:t>
      </w:r>
      <w:r>
        <w:rPr>
          <w:color w:val="000000"/>
        </w:rPr>
        <w:t>) оплату работ и услуг, предоставленных другими предприятиями и  отдельными лицами (ремонт, услуги транспорта, связи, вычислительных центров, коммунальные услуги, услуги рекламы,  банков, юристов, консультантов, страхование и т.п.);</w:t>
      </w:r>
    </w:p>
    <w:p w:rsidR="00DD7F7C" w:rsidRDefault="00DD7F7C">
      <w:pPr>
        <w:pStyle w:val="a5"/>
        <w:ind w:firstLine="0"/>
        <w:rPr>
          <w:color w:val="000000"/>
        </w:rPr>
      </w:pPr>
      <w:r>
        <w:rPr>
          <w:color w:val="000000"/>
        </w:rPr>
        <w:t xml:space="preserve">     3) расходы на командировки в части оплаты проезда и гостиниц.</w:t>
      </w:r>
    </w:p>
    <w:p w:rsidR="00DD7F7C" w:rsidRDefault="00DD7F7C">
      <w:pPr>
        <w:pStyle w:val="a5"/>
        <w:ind w:firstLine="0"/>
        <w:rPr>
          <w:color w:val="000000"/>
        </w:rPr>
      </w:pPr>
      <w:r>
        <w:rPr>
          <w:color w:val="000000"/>
        </w:rPr>
        <w:t xml:space="preserve">     Промежуточное потребление оценивается по ценам покупателей, действующим на момент поступления товаров и услуг в процесс производства и включающим торгово-транспортную наценку и налоги на продукты (кроме налога на добавленную стоимость) за вычетом субсидий на продукты.</w:t>
      </w:r>
    </w:p>
    <w:p w:rsidR="00DD7F7C" w:rsidRDefault="00DD7F7C">
      <w:pPr>
        <w:pStyle w:val="a5"/>
        <w:ind w:firstLine="0"/>
        <w:rPr>
          <w:color w:val="000000"/>
        </w:rPr>
      </w:pPr>
      <w:r>
        <w:rPr>
          <w:color w:val="000000"/>
        </w:rPr>
        <w:t xml:space="preserve">     При исчислении валовой добавленной стоимости должны учитываться также расходы на промежуточное потребление косвенно измеряемых услуг финансового посредничества, которые определяются как разница между процентами, полученными и выплаченными финансовыми посредниками (например, банками), и относятся ко всем их клиентам, то есть к предприятиям и домашним хозяйствам, резидентам и нерезидентам. Поэтому они должны быть распределены между ними и показаны, соответственно, в промежуточном потреблении производственных единиц, конечном потреблении домашних хозяйств и экспорте услуг, что соответствует требованиям СНС 1993 года. Однако данная методика расчета находится в стадии рассмотрения, а пока большинство стран использует метод СНС 1968 года, согласно которому все косвенно измеряемые услуги финансового посредничества относятся к расходам на промежуточное потребление условной единицы, выпуск которой равен нулю. Таким образом, сумма валовой добавленной стоимости отраслей или секторов должна быть уменьшена на величину стоимости услуг финансового посредничества.</w:t>
      </w:r>
    </w:p>
    <w:p w:rsidR="00DD7F7C" w:rsidRDefault="00DD7F7C">
      <w:pPr>
        <w:pStyle w:val="a5"/>
        <w:ind w:firstLine="0"/>
        <w:rPr>
          <w:color w:val="000000"/>
        </w:rPr>
      </w:pPr>
      <w:r>
        <w:rPr>
          <w:color w:val="000000"/>
        </w:rPr>
        <w:t xml:space="preserve">     Однако для оценки ВВП в рыночных ценах этого недостаточно. Необходимо учитывать также чистые налоги на продукты, т.е. добавить налоги на продукты, не включенные в оценку валовой добавленной стоимости отраслей или секторов, и вычесть субсидии на продукты, включенные в  оценку валовой добавленной стоимости. К  таким налогам на продукты относятся, прежде всего, налоги на импорт и налог на добавленную стоимость, которые не учитываются в валовой добавленной стоимости. Кроме того, если валовая добавленная стоимость  исчисляется в основных ценах, как это рекомендует СНС 1993 года, то необходимо добавить и все остальные налоги на продукты (акцизы, налоги на экспорт, налог с продаж, налог с оборота и т.п.), так как в этом случае они не учитываются в валовой добавленной стоимости. Субсидии на продукты (кроме субсидий на импорт), напротив, включаются в оценку валовой добавленной стоимости отраслей или секторов в основных ценах и поэтому должны быть исключены из общего итога ВВП в рыночных ценах.</w:t>
      </w:r>
    </w:p>
    <w:p w:rsidR="00DD7F7C" w:rsidRDefault="00DD7F7C">
      <w:pPr>
        <w:pStyle w:val="a5"/>
        <w:ind w:firstLine="360"/>
        <w:rPr>
          <w:color w:val="000000"/>
        </w:rPr>
      </w:pPr>
      <w:r>
        <w:rPr>
          <w:color w:val="000000"/>
        </w:rPr>
        <w:t>Согласно методу конечного использования ВВП определяется как сумма следующих компонентов:</w:t>
      </w:r>
    </w:p>
    <w:p w:rsidR="00DD7F7C" w:rsidRDefault="00DD7F7C">
      <w:pPr>
        <w:pStyle w:val="a5"/>
        <w:numPr>
          <w:ilvl w:val="0"/>
          <w:numId w:val="12"/>
        </w:numPr>
        <w:tabs>
          <w:tab w:val="clear" w:pos="360"/>
          <w:tab w:val="num" w:pos="720"/>
        </w:tabs>
        <w:ind w:left="720"/>
        <w:rPr>
          <w:color w:val="000000"/>
        </w:rPr>
      </w:pPr>
      <w:r>
        <w:rPr>
          <w:color w:val="000000"/>
        </w:rPr>
        <w:t>расходы на конечное потребление товаров и услуг;</w:t>
      </w:r>
    </w:p>
    <w:p w:rsidR="00DD7F7C" w:rsidRDefault="00DD7F7C">
      <w:pPr>
        <w:pStyle w:val="a5"/>
        <w:numPr>
          <w:ilvl w:val="0"/>
          <w:numId w:val="12"/>
        </w:numPr>
        <w:tabs>
          <w:tab w:val="clear" w:pos="360"/>
          <w:tab w:val="num" w:pos="720"/>
        </w:tabs>
        <w:ind w:left="720"/>
        <w:rPr>
          <w:color w:val="000000"/>
        </w:rPr>
      </w:pPr>
      <w:r>
        <w:rPr>
          <w:color w:val="000000"/>
        </w:rPr>
        <w:t>валовое накопление;</w:t>
      </w:r>
    </w:p>
    <w:p w:rsidR="00DD7F7C" w:rsidRDefault="00DD7F7C">
      <w:pPr>
        <w:pStyle w:val="a5"/>
        <w:numPr>
          <w:ilvl w:val="0"/>
          <w:numId w:val="12"/>
        </w:numPr>
        <w:tabs>
          <w:tab w:val="clear" w:pos="360"/>
          <w:tab w:val="num" w:pos="720"/>
        </w:tabs>
        <w:ind w:left="720"/>
        <w:rPr>
          <w:color w:val="000000"/>
        </w:rPr>
      </w:pPr>
      <w:r>
        <w:rPr>
          <w:color w:val="000000"/>
        </w:rPr>
        <w:t>сальдо экспорта и импорта товаров и услуг.</w:t>
      </w:r>
    </w:p>
    <w:p w:rsidR="00DD7F7C" w:rsidRDefault="00DD7F7C">
      <w:pPr>
        <w:pStyle w:val="a5"/>
        <w:ind w:left="360" w:firstLine="0"/>
      </w:pPr>
      <w:r>
        <w:rPr>
          <w:color w:val="000000"/>
        </w:rPr>
        <w:t>Формула расчета ВВП данным методом выглядит следующим</w:t>
      </w:r>
      <w:r>
        <w:t xml:space="preserve"> образом:</w:t>
      </w:r>
    </w:p>
    <w:p w:rsidR="00DD7F7C" w:rsidRDefault="00DD7F7C">
      <w:pPr>
        <w:pStyle w:val="a5"/>
        <w:ind w:left="360" w:firstLine="0"/>
        <w:jc w:val="center"/>
      </w:pPr>
      <w:r>
        <w:t xml:space="preserve">                                                  </w:t>
      </w:r>
    </w:p>
    <w:p w:rsidR="00DD7F7C" w:rsidRDefault="00DD7F7C">
      <w:pPr>
        <w:pStyle w:val="a5"/>
        <w:ind w:left="360" w:firstLine="0"/>
        <w:jc w:val="center"/>
        <w:rPr>
          <w:lang w:val="en-US"/>
        </w:rPr>
      </w:pPr>
      <w:r>
        <w:t xml:space="preserve">                                                  </w:t>
      </w:r>
      <w:r>
        <w:rPr>
          <w:lang w:val="en-US"/>
        </w:rPr>
        <w:t>GDP = C + I + E,                                                 (3)</w:t>
      </w:r>
    </w:p>
    <w:p w:rsidR="00DD7F7C" w:rsidRDefault="00DD7F7C">
      <w:pPr>
        <w:pStyle w:val="a5"/>
        <w:ind w:left="360" w:firstLine="0"/>
        <w:jc w:val="center"/>
        <w:rPr>
          <w:lang w:val="en-US"/>
        </w:rPr>
      </w:pPr>
    </w:p>
    <w:p w:rsidR="00DD7F7C" w:rsidRDefault="00DD7F7C">
      <w:pPr>
        <w:pStyle w:val="a5"/>
        <w:ind w:left="360" w:firstLine="0"/>
      </w:pPr>
      <w:r>
        <w:t>где</w:t>
      </w:r>
      <w:r>
        <w:tab/>
      </w:r>
      <w:r>
        <w:rPr>
          <w:lang w:val="en-US"/>
        </w:rPr>
        <w:t>GDP</w:t>
      </w:r>
      <w:r>
        <w:t xml:space="preserve"> – валовой внутренний продукт;</w:t>
      </w:r>
    </w:p>
    <w:p w:rsidR="00DD7F7C" w:rsidRDefault="00DD7F7C">
      <w:pPr>
        <w:pStyle w:val="a5"/>
        <w:ind w:left="360" w:firstLine="0"/>
      </w:pPr>
      <w:r>
        <w:tab/>
      </w:r>
      <w:r>
        <w:tab/>
      </w:r>
      <w:r>
        <w:rPr>
          <w:lang w:val="en-US"/>
        </w:rPr>
        <w:t>C</w:t>
      </w:r>
      <w:r>
        <w:t xml:space="preserve"> – конечное потребление;</w:t>
      </w:r>
    </w:p>
    <w:p w:rsidR="00DD7F7C" w:rsidRDefault="00DD7F7C">
      <w:pPr>
        <w:pStyle w:val="a5"/>
        <w:ind w:left="1440" w:firstLine="0"/>
      </w:pPr>
      <w:r>
        <w:rPr>
          <w:lang w:val="en-US"/>
        </w:rPr>
        <w:t>I</w:t>
      </w:r>
      <w:r>
        <w:t xml:space="preserve"> – инвестиции (валовое накопление основных фонов, прирост                    запасов материальных оборотных средств, чистое приобретение ценностей);</w:t>
      </w:r>
    </w:p>
    <w:p w:rsidR="00DD7F7C" w:rsidRDefault="00DD7F7C">
      <w:pPr>
        <w:pStyle w:val="a5"/>
        <w:ind w:left="1440" w:firstLine="0"/>
      </w:pPr>
      <w:r>
        <w:rPr>
          <w:lang w:val="en-US"/>
        </w:rPr>
        <w:t>E</w:t>
      </w:r>
      <w:r>
        <w:t xml:space="preserve"> – чистый экспорт. </w:t>
      </w:r>
    </w:p>
    <w:p w:rsidR="00DD7F7C" w:rsidRDefault="00DD7F7C">
      <w:pPr>
        <w:pStyle w:val="a5"/>
        <w:ind w:left="1440" w:firstLine="0"/>
      </w:pPr>
      <w:r>
        <w:t xml:space="preserve">     </w:t>
      </w:r>
      <w:r>
        <w:tab/>
      </w:r>
    </w:p>
    <w:p w:rsidR="00DD7F7C" w:rsidRDefault="00DD7F7C">
      <w:pPr>
        <w:pStyle w:val="a5"/>
        <w:ind w:firstLine="360"/>
      </w:pPr>
      <w:r>
        <w:t>Под расходами на конечное потребление товаров и услуг понимают расходы домашних хозяйств на потребительские товары и услуги, а также расходы учреждений государственного управления (бюджетных организаций) и некоммерческих организаций на товары и услуги для индивидуального и коллективного потребления. Расходы на конечное потребление домашних хозяйств включают:</w:t>
      </w:r>
    </w:p>
    <w:p w:rsidR="00DD7F7C" w:rsidRDefault="00DD7F7C">
      <w:pPr>
        <w:pStyle w:val="a5"/>
        <w:numPr>
          <w:ilvl w:val="0"/>
          <w:numId w:val="15"/>
        </w:numPr>
        <w:tabs>
          <w:tab w:val="clear" w:pos="360"/>
          <w:tab w:val="num" w:pos="720"/>
        </w:tabs>
        <w:ind w:left="720"/>
      </w:pPr>
      <w:r>
        <w:t>расходы на покупку потребительских товаров и услуг</w:t>
      </w:r>
    </w:p>
    <w:p w:rsidR="00DD7F7C" w:rsidRDefault="00DD7F7C">
      <w:pPr>
        <w:pStyle w:val="a5"/>
        <w:numPr>
          <w:ilvl w:val="0"/>
          <w:numId w:val="15"/>
        </w:numPr>
        <w:tabs>
          <w:tab w:val="clear" w:pos="360"/>
          <w:tab w:val="num" w:pos="720"/>
        </w:tabs>
        <w:ind w:left="720"/>
      </w:pPr>
      <w:r>
        <w:t>потребление товаров и услуг, полученных в натуральной форме в порядке оплаты труда и так далее</w:t>
      </w:r>
    </w:p>
    <w:p w:rsidR="00DD7F7C" w:rsidRDefault="00DD7F7C">
      <w:pPr>
        <w:pStyle w:val="a5"/>
        <w:numPr>
          <w:ilvl w:val="0"/>
          <w:numId w:val="15"/>
        </w:numPr>
        <w:tabs>
          <w:tab w:val="clear" w:pos="360"/>
          <w:tab w:val="num" w:pos="84"/>
        </w:tabs>
        <w:ind w:left="720"/>
      </w:pPr>
      <w:r>
        <w:t xml:space="preserve">потребление товаров и услуг, произведенных домашними хозяйствами для собственного конечного потребления                                                                                     </w:t>
      </w:r>
    </w:p>
    <w:p w:rsidR="00DD7F7C" w:rsidRDefault="00DD7F7C">
      <w:pPr>
        <w:pStyle w:val="a5"/>
        <w:ind w:firstLine="360"/>
      </w:pPr>
      <w:r>
        <w:t>Расходы на конечное потребление учреждений государственного управления и некоммерческих организаций определяются следующим образом: текущие расходы на содержание этих учреждений минус поступления этим учреждениям от продажи товаров и услуг по рыночным ценам плюс стоимость потребительских товаров и услуг, купленные этими учреждениями у рыночных производителей для передачи домашним хозяйствам бесплатно или по ценам, не имеющим экономического значения, плюс возмещение расходов домохозяйствам на приобретение товаров и услуг за счет государственных фондов социального страхования.</w:t>
      </w:r>
    </w:p>
    <w:p w:rsidR="00DD7F7C" w:rsidRDefault="00DD7F7C">
      <w:pPr>
        <w:pStyle w:val="a5"/>
        <w:ind w:firstLine="360"/>
      </w:pPr>
      <w:r>
        <w:t xml:space="preserve">Бюджетные организации здравоохранения, социального обеспечения и т.д. представляют товары и услуги для индивидуального потребления, которые используются домашними хозяйствами для удовлетворения личных потребностей. Услугами для коллективного потребления являются услуги бюджетных организаций управления, обороны. </w:t>
      </w:r>
    </w:p>
    <w:p w:rsidR="00DD7F7C" w:rsidRDefault="00DD7F7C">
      <w:pPr>
        <w:pStyle w:val="a5"/>
        <w:ind w:firstLine="0"/>
      </w:pPr>
      <w:r>
        <w:t xml:space="preserve">     Под валовым накоплением понимается чистое приобретение (приобретение за вычетом выбытия) резидентами товаров и услуг, произведенных и оказанных в текущем периоде, но не потребленных в нем. Валовое накопление включает валовое накопление основного капитала, изменение запасов материальных оборотных средств и чистое приобретение ценностей.</w:t>
      </w:r>
    </w:p>
    <w:p w:rsidR="00DD7F7C" w:rsidRDefault="00DD7F7C">
      <w:pPr>
        <w:pStyle w:val="a5"/>
        <w:ind w:firstLine="0"/>
      </w:pPr>
      <w:r>
        <w:t xml:space="preserve">     Валовое накопление основного капитала представляет собой вложение средств в объекты основного капитала для создания нового дохода в будущем путем использования их в производстве. Валовое накопление основного капитала определяется как приобретение активов за вычетом выбытия новых и существующих основных фондов. Приобретение активов включает покупки, бартер, получение капитального использования, капитальный ремонт. Выбытие активов показывается как отрицательное приобретение.</w:t>
      </w:r>
    </w:p>
    <w:p w:rsidR="00DD7F7C" w:rsidRDefault="00DD7F7C">
      <w:pPr>
        <w:pStyle w:val="a5"/>
        <w:ind w:firstLine="0"/>
      </w:pPr>
      <w:r>
        <w:t xml:space="preserve">     Изменение запасов материальных оборотных средств – это изменение стоимости производственных запасов, незавершенного производства, готовой продукции и товаров для перепродажи. Изменение стоимости запасов  материальных оборотных средств должно определяться как разница между поступлениями продукции в запасы и изъятия из них, при этом продукция должна оцениваться в рыночных ценах, действующих соответственно в момент поступления или изъятия. Однако на практике трудно получить информацию о всех поступлениях и изъятиях продукции в течение отчетного периода, поэтому изменение запасов обычно рассчитывается как разница между стоимостью запасов на конец и начало периода по данным бухгалтерских отчетов предприятий. В этом случае необходимо исключить влияние изменения стоимости продукции в результате изменения цен за время нахождения её в запасах.</w:t>
      </w:r>
    </w:p>
    <w:p w:rsidR="00DD7F7C" w:rsidRDefault="00DD7F7C">
      <w:pPr>
        <w:pStyle w:val="a5"/>
        <w:ind w:firstLine="0"/>
      </w:pPr>
      <w:r>
        <w:t xml:space="preserve">     Чистое приобретение ценностей – новая категория, появившаяся в СНС 1993 года. Ценностями являются предметы, которые приобретаются не для производственных или потребительских целей, а для сохранения стоимости, т.е. предметы, ценность которых со временем увеличивается: драгоценные металлы и камни (кроме монетарного золота, а также золота и камней, предназначенных для промышленного использования), ювелирные изделия, антиквариат, коллекции и т.п. В СНС 1968 года они учитывались в ВВП в составе конечного потребления.  </w:t>
      </w:r>
    </w:p>
    <w:p w:rsidR="00DD7F7C" w:rsidRDefault="00DD7F7C">
      <w:pPr>
        <w:pStyle w:val="a5"/>
        <w:ind w:firstLine="0"/>
      </w:pPr>
      <w:r>
        <w:t xml:space="preserve">     Экспорт и импорт товаров и услуг – экспортно-импортные операции данной страны со всеми странами (туризм, транспортные услуги, строительные, страховые, финансовые, компьютерные услуги, реклама и другие услуги). Экспорт и импорт представляет собой стоимость вывезенных из страны или ввезенных в страну товаров.    </w:t>
      </w:r>
    </w:p>
    <w:p w:rsidR="00DD7F7C" w:rsidRDefault="00DD7F7C">
      <w:pPr>
        <w:pStyle w:val="a5"/>
        <w:ind w:firstLine="360"/>
      </w:pPr>
      <w:r>
        <w:t>При определении распределительным методом ВВП включает следующие виды первичных доходов: оплату труда наемных работников, чистые  налоги на производство и импорт (налоги на производство и импорт минус субсидии на производство и импорт), валовую прибыль и валовые смешанные доходы.</w:t>
      </w:r>
    </w:p>
    <w:p w:rsidR="00DD7F7C" w:rsidRDefault="00DD7F7C">
      <w:pPr>
        <w:pStyle w:val="a5"/>
        <w:ind w:firstLine="360"/>
        <w:jc w:val="center"/>
      </w:pPr>
    </w:p>
    <w:p w:rsidR="00DD7F7C" w:rsidRDefault="00DD7F7C">
      <w:pPr>
        <w:pStyle w:val="a5"/>
        <w:ind w:firstLine="360"/>
        <w:jc w:val="center"/>
        <w:rPr>
          <w:lang w:val="en-US"/>
        </w:rPr>
      </w:pPr>
      <w:r>
        <w:t xml:space="preserve">                                          </w:t>
      </w:r>
      <w:r>
        <w:rPr>
          <w:lang w:val="en-US"/>
        </w:rPr>
        <w:t>GDP = W + Q + R + P + T,                                         (4)</w:t>
      </w:r>
    </w:p>
    <w:p w:rsidR="00DD7F7C" w:rsidRDefault="00DD7F7C">
      <w:pPr>
        <w:pStyle w:val="a5"/>
        <w:ind w:firstLine="0"/>
        <w:rPr>
          <w:lang w:val="en-US"/>
        </w:rPr>
      </w:pPr>
    </w:p>
    <w:p w:rsidR="00DD7F7C" w:rsidRDefault="00DD7F7C">
      <w:pPr>
        <w:pStyle w:val="a5"/>
        <w:ind w:firstLine="360"/>
      </w:pPr>
      <w:r>
        <w:t xml:space="preserve">где          </w:t>
      </w:r>
      <w:r>
        <w:rPr>
          <w:lang w:val="en-US"/>
        </w:rPr>
        <w:t>GDP</w:t>
      </w:r>
      <w:r>
        <w:t xml:space="preserve">   – валовой внутренний продукт  </w:t>
      </w:r>
    </w:p>
    <w:p w:rsidR="00DD7F7C" w:rsidRDefault="00DD7F7C">
      <w:pPr>
        <w:pStyle w:val="a5"/>
        <w:ind w:left="2160" w:hanging="732"/>
      </w:pPr>
      <w:r>
        <w:rPr>
          <w:lang w:val="en-US"/>
        </w:rPr>
        <w:t>W</w:t>
      </w:r>
      <w:r>
        <w:t xml:space="preserve"> </w:t>
      </w:r>
      <w:r>
        <w:tab/>
        <w:t xml:space="preserve">– заработная плата, выплаченная предприятиями и                                   </w:t>
      </w:r>
    </w:p>
    <w:p w:rsidR="00DD7F7C" w:rsidRDefault="00DD7F7C">
      <w:pPr>
        <w:pStyle w:val="a5"/>
        <w:ind w:left="2160" w:hanging="732"/>
      </w:pPr>
      <w:r>
        <w:t xml:space="preserve">организациями данной страны своим рабочим и служащим, </w:t>
      </w:r>
    </w:p>
    <w:p w:rsidR="00DD7F7C" w:rsidRDefault="00DD7F7C">
      <w:pPr>
        <w:pStyle w:val="a5"/>
        <w:ind w:left="2160" w:hanging="732"/>
      </w:pPr>
      <w:r>
        <w:t xml:space="preserve">независимо   от того, являются ли они резидентами или </w:t>
      </w:r>
    </w:p>
    <w:p w:rsidR="00DD7F7C" w:rsidRDefault="00DD7F7C">
      <w:pPr>
        <w:pStyle w:val="a5"/>
        <w:ind w:left="2160" w:hanging="732"/>
      </w:pPr>
      <w:r>
        <w:t>нерезидентами данной страны;</w:t>
      </w:r>
    </w:p>
    <w:p w:rsidR="00DD7F7C" w:rsidRDefault="00DD7F7C">
      <w:pPr>
        <w:pStyle w:val="a5"/>
        <w:ind w:left="1440" w:firstLine="0"/>
      </w:pPr>
      <w:r>
        <w:rPr>
          <w:lang w:val="en-US"/>
        </w:rPr>
        <w:t>Q</w:t>
      </w:r>
      <w:r>
        <w:t xml:space="preserve">   </w:t>
      </w:r>
      <w:r>
        <w:tab/>
        <w:t xml:space="preserve">– отчисления на социальное страхование; </w:t>
      </w:r>
    </w:p>
    <w:p w:rsidR="00DD7F7C" w:rsidRDefault="00DD7F7C">
      <w:pPr>
        <w:pStyle w:val="a5"/>
        <w:ind w:left="720"/>
      </w:pPr>
      <w:r>
        <w:rPr>
          <w:lang w:val="en-US"/>
        </w:rPr>
        <w:t>R</w:t>
      </w:r>
      <w:r>
        <w:t xml:space="preserve">   </w:t>
      </w:r>
      <w:r>
        <w:tab/>
        <w:t>– валовая прибыль;</w:t>
      </w:r>
    </w:p>
    <w:p w:rsidR="00DD7F7C" w:rsidRDefault="00DD7F7C">
      <w:pPr>
        <w:pStyle w:val="a5"/>
        <w:ind w:left="720"/>
      </w:pPr>
      <w:r>
        <w:rPr>
          <w:lang w:val="en-US"/>
        </w:rPr>
        <w:t>P</w:t>
      </w:r>
      <w:r>
        <w:t xml:space="preserve"> </w:t>
      </w:r>
      <w:r>
        <w:tab/>
        <w:t>– валовой смешанный доход;</w:t>
      </w:r>
    </w:p>
    <w:p w:rsidR="00DD7F7C" w:rsidRDefault="00DD7F7C">
      <w:pPr>
        <w:pStyle w:val="a5"/>
        <w:ind w:left="720"/>
      </w:pPr>
      <w:r>
        <w:rPr>
          <w:lang w:val="en-US"/>
        </w:rPr>
        <w:t>T</w:t>
      </w:r>
      <w:r>
        <w:tab/>
        <w:t>– налоги на производство и импорт (за вычетом субсидий).</w:t>
      </w:r>
    </w:p>
    <w:p w:rsidR="00DD7F7C" w:rsidRDefault="00DD7F7C">
      <w:pPr>
        <w:pStyle w:val="a5"/>
        <w:ind w:left="720"/>
      </w:pPr>
    </w:p>
    <w:p w:rsidR="00DD7F7C" w:rsidRDefault="00DD7F7C">
      <w:pPr>
        <w:pStyle w:val="a3"/>
      </w:pPr>
      <w:r>
        <w:t xml:space="preserve">     Оплата труда наемных работников - это сумма всех вознаграждений в денежной или натуральной форме, выплачиваемых работодателями наемному работнику в обмен на работу, выполненную в течении отчетного периода. Она складывается из двух компонентов: </w:t>
      </w:r>
      <w:r>
        <w:tab/>
      </w:r>
    </w:p>
    <w:p w:rsidR="00DD7F7C" w:rsidRDefault="00DD7F7C">
      <w:pPr>
        <w:pStyle w:val="a3"/>
      </w:pPr>
      <w:r>
        <w:t xml:space="preserve">     а) заработная плата. Охватывает все виды заработков, включая различные премии, надбавки, начисленные в денежной или натуральной форме за счет себестоимости и прибыли. А также денежные суммы, начисленные в соответствии с законодательством за непроработанное время (отпуск, праздничные дни и т.п.). Заработная плата учитывается до вычета налогов и других удержаний, взимаемые с наёмных работников. </w:t>
      </w:r>
    </w:p>
    <w:p w:rsidR="00DD7F7C" w:rsidRDefault="00DD7F7C">
      <w:pPr>
        <w:pStyle w:val="a3"/>
      </w:pPr>
      <w:r>
        <w:t xml:space="preserve">     б) отчисление работодателей на социальное страхование производится работодателями, чтобы обеспечить работникам в будущем право на получение социальных пособий.</w:t>
      </w:r>
    </w:p>
    <w:p w:rsidR="00DD7F7C" w:rsidRDefault="00DD7F7C">
      <w:pPr>
        <w:pStyle w:val="a3"/>
      </w:pPr>
      <w:r>
        <w:t xml:space="preserve">     Различают фактические (платежи, производимые работодателями третьей стороне, то есть организации социального страхования в соответствии с программой социального страхования и обеспечения) и условно исчисленные (эквивалент социальным пособиям, выплачиваемым работодателями непосредственно их работникам или бывшим работникам).</w:t>
      </w:r>
    </w:p>
    <w:p w:rsidR="00DD7F7C" w:rsidRDefault="00DD7F7C">
      <w:pPr>
        <w:pStyle w:val="a3"/>
      </w:pPr>
      <w:r>
        <w:t xml:space="preserve">     Налоги на производство и импорт - это обязательные платежи, взимаемые органами государственного управления с предприятий в связи с производством и импортом товаров и услуг или использованием факторов производства. Сюда входят налоги, такие как: НДС, акцизы, налоги на продажи, налог с оборота, налоги на отдельные виды услуг, прибыли фискальных монополий, налоги на импорт, экспорт, таможенные пошлины, налоги на землю, средства производства и рабочую силу.</w:t>
      </w:r>
    </w:p>
    <w:p w:rsidR="00DD7F7C" w:rsidRDefault="00DD7F7C">
      <w:pPr>
        <w:pStyle w:val="a3"/>
      </w:pPr>
      <w:r>
        <w:t xml:space="preserve">     Субсидии на производство и импорт – это текущие безвозмездные невозвратные платежи, которые государство производит предприятиям  в связи с производством, продажей или импортом товаров и услуг.</w:t>
      </w:r>
    </w:p>
    <w:p w:rsidR="00DD7F7C" w:rsidRDefault="00DD7F7C">
      <w:pPr>
        <w:pStyle w:val="a3"/>
      </w:pPr>
      <w:r>
        <w:t xml:space="preserve">     Валовая прибыль и валовые смешанные доходы - прибыль и доходы представляют собой ту часть добавленной стоимости, которая остаётся у производителей после вычета расходов, связанных с оплатой труда наёмных работников и чистых налогов на производство и импорт. В данном случае измеряется прибыль (или убыток), полученный от производства, до учёта доходов от собственности. Для некорпоративных предприятий, принадлежащих домашним хозяйствам, этот вид дохода содержит элементарное вознаграждение за работу, который не может быть отделён от дохода владельца или предпринимателя. В этом случаи она называется смешанным доходом. </w:t>
      </w:r>
    </w:p>
    <w:p w:rsidR="00DD7F7C" w:rsidRDefault="00DD7F7C">
      <w:pPr>
        <w:pStyle w:val="a3"/>
      </w:pPr>
      <w:r>
        <w:t xml:space="preserve">     Особенность распределительного метода расчета ВВП заключается в том, что один из его компонентов (валовая прибыль и валовые смешанные доходы) представляют собой балансирующую статью счета образования доходов и рассчитывается сальдовым путем, то есть как разница между ВВП и другими компонентами первичных доходов (оплата труда и чистые налоги на производство и импорт). Таким образом, по сравнению с двумя другими методами он носит подчиненный характер. </w:t>
      </w:r>
    </w:p>
    <w:p w:rsidR="00DD7F7C" w:rsidRDefault="00DD7F7C">
      <w:pPr>
        <w:pStyle w:val="a5"/>
        <w:ind w:firstLine="360"/>
      </w:pPr>
      <w:r>
        <w:t>Для исчисления индексов физического объема ВВП и его компонентов показатели ВВП, первоначально оцененные в текущих ценах, должны быть переоценены в постоянные цены, в качестве которых обычно используются текущие цены какого – либо периода, принятого за базу сравнения, т.е. базисного периода. Существует несколько методов исчисления ВВП и его компонентов в постоянных ценах, наиболее важными из которых являются:</w:t>
      </w:r>
    </w:p>
    <w:p w:rsidR="00DD7F7C" w:rsidRDefault="00DD7F7C">
      <w:pPr>
        <w:pStyle w:val="a5"/>
        <w:numPr>
          <w:ilvl w:val="0"/>
          <w:numId w:val="18"/>
        </w:numPr>
        <w:tabs>
          <w:tab w:val="clear" w:pos="360"/>
          <w:tab w:val="num" w:pos="720"/>
        </w:tabs>
        <w:ind w:left="720"/>
      </w:pPr>
      <w:r>
        <w:t>метод дефлятирования с помощью индексов цен;</w:t>
      </w:r>
    </w:p>
    <w:p w:rsidR="00DD7F7C" w:rsidRDefault="00DD7F7C">
      <w:pPr>
        <w:pStyle w:val="a5"/>
        <w:numPr>
          <w:ilvl w:val="0"/>
          <w:numId w:val="18"/>
        </w:numPr>
        <w:tabs>
          <w:tab w:val="clear" w:pos="360"/>
          <w:tab w:val="num" w:pos="720"/>
        </w:tabs>
        <w:ind w:left="720"/>
      </w:pPr>
      <w:r>
        <w:t>метод двойного дефлятирования;</w:t>
      </w:r>
    </w:p>
    <w:p w:rsidR="00DD7F7C" w:rsidRDefault="00DD7F7C">
      <w:pPr>
        <w:pStyle w:val="a5"/>
        <w:numPr>
          <w:ilvl w:val="0"/>
          <w:numId w:val="18"/>
        </w:numPr>
        <w:tabs>
          <w:tab w:val="clear" w:pos="360"/>
          <w:tab w:val="num" w:pos="720"/>
        </w:tabs>
        <w:ind w:left="720"/>
      </w:pPr>
      <w:r>
        <w:t>метод экстраполяции показателей базисного периода с помощью индексов физического объема;</w:t>
      </w:r>
    </w:p>
    <w:p w:rsidR="00DD7F7C" w:rsidRDefault="00DD7F7C">
      <w:pPr>
        <w:pStyle w:val="a5"/>
        <w:numPr>
          <w:ilvl w:val="0"/>
          <w:numId w:val="18"/>
        </w:numPr>
        <w:tabs>
          <w:tab w:val="clear" w:pos="360"/>
          <w:tab w:val="num" w:pos="720"/>
        </w:tabs>
        <w:ind w:left="720"/>
      </w:pPr>
      <w:r>
        <w:t>метод переоценки элементов затрат.</w:t>
      </w:r>
    </w:p>
    <w:p w:rsidR="00DD7F7C" w:rsidRDefault="00DD7F7C">
      <w:pPr>
        <w:pStyle w:val="a5"/>
        <w:ind w:firstLine="0"/>
      </w:pPr>
      <w:r>
        <w:t xml:space="preserve">     Например, метод экстраполяции предполагает исчисление показателей в постоянных ценах путем умножения стоимости в текущих ценах в базисном периоде на индекс физического объема, выражающий отношение физического объема в текущем периоде к физическому объему в базисном. Эта процедура расчета описывается с помощью следующего равенства:</w:t>
      </w:r>
    </w:p>
    <w:p w:rsidR="00DD7F7C" w:rsidRDefault="00DD7F7C">
      <w:pPr>
        <w:pStyle w:val="a5"/>
        <w:ind w:firstLine="0"/>
      </w:pPr>
    </w:p>
    <w:p w:rsidR="00DD7F7C" w:rsidRDefault="00DD7F7C">
      <w:pPr>
        <w:pStyle w:val="a5"/>
        <w:ind w:firstLine="0"/>
        <w:jc w:val="center"/>
      </w:pPr>
      <w:r>
        <w:t xml:space="preserve">                                                       </w:t>
      </w:r>
      <w:r>
        <w:sym w:font="Symbol" w:char="F0E5"/>
      </w:r>
      <w:r>
        <w:rPr>
          <w:lang w:val="en-US"/>
        </w:rPr>
        <w:t>q</w:t>
      </w:r>
      <w:r>
        <w:rPr>
          <w:vertAlign w:val="subscript"/>
        </w:rPr>
        <w:t>0</w:t>
      </w:r>
      <w:r>
        <w:rPr>
          <w:lang w:val="en-US"/>
        </w:rPr>
        <w:t>p</w:t>
      </w:r>
      <w:r>
        <w:rPr>
          <w:vertAlign w:val="subscript"/>
        </w:rPr>
        <w:t>0</w:t>
      </w:r>
      <w:r>
        <w:rPr>
          <w:lang w:val="en-US"/>
        </w:rPr>
        <w:t>I</w:t>
      </w:r>
      <w:r>
        <w:rPr>
          <w:vertAlign w:val="subscript"/>
          <w:lang w:val="en-US"/>
        </w:rPr>
        <w:t>q</w:t>
      </w:r>
      <w:r>
        <w:t xml:space="preserve"> = </w:t>
      </w:r>
      <w:r>
        <w:rPr>
          <w:lang w:val="en-US"/>
        </w:rPr>
        <w:sym w:font="Symbol" w:char="F0E5"/>
      </w:r>
      <w:r>
        <w:rPr>
          <w:lang w:val="en-US"/>
        </w:rPr>
        <w:t>q</w:t>
      </w:r>
      <w:r>
        <w:rPr>
          <w:vertAlign w:val="subscript"/>
        </w:rPr>
        <w:t>1</w:t>
      </w:r>
      <w:r>
        <w:rPr>
          <w:lang w:val="en-US"/>
        </w:rPr>
        <w:t>p</w:t>
      </w:r>
      <w:r>
        <w:rPr>
          <w:vertAlign w:val="subscript"/>
        </w:rPr>
        <w:t xml:space="preserve">0 </w:t>
      </w:r>
      <w:r>
        <w:t xml:space="preserve"> ,                                                 (5)</w:t>
      </w:r>
    </w:p>
    <w:p w:rsidR="00DD7F7C" w:rsidRDefault="00DD7F7C">
      <w:pPr>
        <w:pStyle w:val="a5"/>
        <w:ind w:firstLine="0"/>
        <w:jc w:val="center"/>
      </w:pPr>
    </w:p>
    <w:p w:rsidR="00DD7F7C" w:rsidRDefault="00DD7F7C">
      <w:pPr>
        <w:pStyle w:val="a5"/>
        <w:ind w:left="1440" w:hanging="1080"/>
      </w:pPr>
      <w:r>
        <w:t>где</w:t>
      </w:r>
      <w:r>
        <w:tab/>
      </w:r>
      <w:r>
        <w:rPr>
          <w:lang w:val="en-US"/>
        </w:rPr>
        <w:t>q</w:t>
      </w:r>
      <w:r>
        <w:rPr>
          <w:vertAlign w:val="subscript"/>
        </w:rPr>
        <w:t>0</w:t>
      </w:r>
      <w:r>
        <w:rPr>
          <w:lang w:val="en-US"/>
        </w:rPr>
        <w:t>p</w:t>
      </w:r>
      <w:r>
        <w:rPr>
          <w:vertAlign w:val="subscript"/>
        </w:rPr>
        <w:t>0</w:t>
      </w:r>
      <w:r>
        <w:t xml:space="preserve"> – показатель в базисном периоде в текущих ценах базисного периода;</w:t>
      </w:r>
    </w:p>
    <w:p w:rsidR="00DD7F7C" w:rsidRDefault="00DD7F7C">
      <w:pPr>
        <w:pStyle w:val="a5"/>
        <w:ind w:left="1440" w:firstLine="0"/>
      </w:pPr>
      <w:r>
        <w:rPr>
          <w:lang w:val="en-US"/>
        </w:rPr>
        <w:t>I</w:t>
      </w:r>
      <w:r>
        <w:rPr>
          <w:vertAlign w:val="subscript"/>
          <w:lang w:val="en-US"/>
        </w:rPr>
        <w:t>q</w:t>
      </w:r>
      <w:r>
        <w:t xml:space="preserve"> – индекс физического объема;</w:t>
      </w:r>
    </w:p>
    <w:p w:rsidR="00DD7F7C" w:rsidRDefault="00DD7F7C">
      <w:pPr>
        <w:pStyle w:val="a5"/>
        <w:ind w:left="1440" w:firstLine="0"/>
      </w:pPr>
      <w:r>
        <w:rPr>
          <w:lang w:val="en-US"/>
        </w:rPr>
        <w:t>q</w:t>
      </w:r>
      <w:r>
        <w:rPr>
          <w:vertAlign w:val="subscript"/>
        </w:rPr>
        <w:t>1</w:t>
      </w:r>
      <w:r>
        <w:rPr>
          <w:lang w:val="en-US"/>
        </w:rPr>
        <w:t>p</w:t>
      </w:r>
      <w:r>
        <w:rPr>
          <w:vertAlign w:val="subscript"/>
        </w:rPr>
        <w:t>0</w:t>
      </w:r>
      <w:r>
        <w:t xml:space="preserve"> – показатель в текущем периоде в постоянных ценах (ценах базисного периода).</w:t>
      </w:r>
    </w:p>
    <w:p w:rsidR="00DD7F7C" w:rsidRDefault="00DD7F7C">
      <w:pPr>
        <w:pStyle w:val="a5"/>
        <w:ind w:left="1440" w:firstLine="0"/>
      </w:pPr>
    </w:p>
    <w:p w:rsidR="00DD7F7C" w:rsidRDefault="00DD7F7C">
      <w:pPr>
        <w:pStyle w:val="a5"/>
        <w:ind w:firstLine="0"/>
        <w:rPr>
          <w:vertAlign w:val="subscript"/>
        </w:rPr>
      </w:pPr>
      <w:r>
        <w:t xml:space="preserve">     Теперь рассмотрим динамику ВВП в России за последние годы.  </w:t>
      </w:r>
    </w:p>
    <w:p w:rsidR="00DD7F7C" w:rsidRDefault="00DD7F7C">
      <w:pPr>
        <w:pStyle w:val="a5"/>
        <w:ind w:left="1440" w:hanging="1080"/>
      </w:pPr>
      <w:r>
        <w:rPr>
          <w:vertAlign w:val="subscript"/>
        </w:rPr>
        <w:t xml:space="preserve">                              </w:t>
      </w:r>
      <w:r>
        <w:tab/>
      </w:r>
    </w:p>
    <w:p w:rsidR="00DD7F7C" w:rsidRDefault="00DD7F7C">
      <w:pPr>
        <w:pStyle w:val="a5"/>
        <w:ind w:firstLine="0"/>
      </w:pPr>
      <w:r>
        <w:t xml:space="preserve">    </w:t>
      </w:r>
    </w:p>
    <w:p w:rsidR="00DD7F7C" w:rsidRDefault="00DD7F7C">
      <w:pPr>
        <w:pStyle w:val="a5"/>
      </w:pPr>
    </w:p>
    <w:p w:rsidR="00DD7F7C" w:rsidRDefault="00DD7F7C">
      <w:pPr>
        <w:pStyle w:val="a5"/>
      </w:pPr>
    </w:p>
    <w:p w:rsidR="00DD7F7C" w:rsidRDefault="00DD7F7C">
      <w:pPr>
        <w:pStyle w:val="a5"/>
        <w:ind w:left="-372" w:firstLine="0"/>
      </w:pPr>
      <w:r>
        <w:tab/>
      </w:r>
      <w:r>
        <w:tab/>
      </w:r>
      <w:r>
        <w:tab/>
      </w:r>
      <w:r>
        <w:tab/>
      </w:r>
      <w:r>
        <w:tab/>
      </w: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p>
    <w:p w:rsidR="00DD7F7C" w:rsidRDefault="00DD7F7C">
      <w:pPr>
        <w:pStyle w:val="a5"/>
        <w:ind w:left="-372" w:firstLine="0"/>
      </w:pPr>
      <w:r>
        <w:tab/>
      </w:r>
      <w:r>
        <w:tab/>
      </w:r>
      <w:r>
        <w:tab/>
      </w:r>
      <w:r>
        <w:tab/>
      </w:r>
      <w:r>
        <w:tab/>
      </w:r>
      <w:r>
        <w:tab/>
      </w:r>
      <w:r>
        <w:tab/>
      </w:r>
      <w:r>
        <w:tab/>
      </w:r>
      <w:r>
        <w:tab/>
      </w:r>
      <w:r>
        <w:tab/>
      </w:r>
      <w:r>
        <w:tab/>
      </w:r>
      <w:r>
        <w:tab/>
        <w:t xml:space="preserve"> </w:t>
      </w:r>
    </w:p>
    <w:p w:rsidR="00DD7F7C" w:rsidRDefault="00DD7F7C">
      <w:pPr>
        <w:pStyle w:val="a5"/>
        <w:ind w:firstLine="360"/>
      </w:pPr>
    </w:p>
    <w:p w:rsidR="00DD7F7C" w:rsidRDefault="00DD7F7C">
      <w:pPr>
        <w:pStyle w:val="a5"/>
        <w:ind w:firstLine="0"/>
      </w:pPr>
    </w:p>
    <w:p w:rsidR="00DD7F7C" w:rsidRDefault="00DD7F7C">
      <w:pPr>
        <w:pStyle w:val="a5"/>
        <w:ind w:firstLine="0"/>
      </w:pPr>
    </w:p>
    <w:p w:rsidR="00DD7F7C" w:rsidRDefault="00DD7F7C">
      <w:pPr>
        <w:pStyle w:val="a5"/>
        <w:numPr>
          <w:ilvl w:val="0"/>
          <w:numId w:val="2"/>
        </w:numPr>
        <w:jc w:val="center"/>
        <w:rPr>
          <w:b/>
        </w:rPr>
      </w:pPr>
      <w:r>
        <w:rPr>
          <w:b/>
        </w:rPr>
        <w:t>СТАТИСТИЧЕСКИЙ АНАЛИЗ ДИНАМИКИ ВАЛОВОГО ВНУТРЕННЕГО ПРОДУКТА В РОССИИ ЗА 1995 – 2000 ГОДЫ</w:t>
      </w: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numPr>
          <w:ilvl w:val="1"/>
          <w:numId w:val="2"/>
        </w:numPr>
        <w:rPr>
          <w:b/>
        </w:rPr>
      </w:pPr>
      <w:r>
        <w:rPr>
          <w:b/>
        </w:rPr>
        <w:t>Динамика произведенного валового внутреннего продукта</w:t>
      </w:r>
    </w:p>
    <w:p w:rsidR="00DD7F7C" w:rsidRDefault="00DD7F7C">
      <w:pPr>
        <w:pStyle w:val="a5"/>
        <w:ind w:left="360" w:firstLine="0"/>
      </w:pPr>
    </w:p>
    <w:p w:rsidR="00DD7F7C" w:rsidRDefault="00DD7F7C">
      <w:pPr>
        <w:pStyle w:val="a5"/>
        <w:ind w:firstLine="0"/>
      </w:pPr>
    </w:p>
    <w:p w:rsidR="00DD7F7C" w:rsidRDefault="00DD7F7C">
      <w:pPr>
        <w:pStyle w:val="a5"/>
        <w:ind w:firstLine="0"/>
      </w:pPr>
      <w:r>
        <w:t xml:space="preserve">     Прирост физического объема ВВП в 2000 году составил, по оценке Минэкономразвития, 7.6%. Номинальный объем ВВП (в текущих рыночных ценах) достиг 6940 млрд. руб., при индексе-дефляторе 141.5%. Дефлятор ВВП в течение всего года значительно превосходил индекс потребительских цен, такой разрыв объясняется резким повышением цен на экспортную составляющую ВВП и более высоким индексом цен на инвестиции. </w:t>
      </w:r>
    </w:p>
    <w:p w:rsidR="00DD7F7C" w:rsidRDefault="002A07F1">
      <w:pPr>
        <w:pStyle w:val="a5"/>
        <w:ind w:firstLine="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4.95pt;margin-top:118.15pt;width:294.65pt;height:183.05pt;z-index:251657216;visibility:visible;mso-wrap-edited:f" o:allowincell="f">
            <v:imagedata r:id="rId7" o:title=""/>
            <w10:wrap type="topAndBottom"/>
          </v:shape>
          <o:OLEObject Type="Embed" ProgID="Word.Picture.8" ShapeID="_x0000_s1027" DrawAspect="Content" ObjectID="_1469611201" r:id="rId8"/>
        </w:object>
      </w:r>
      <w:r w:rsidR="00DD7F7C">
        <w:t xml:space="preserve">     Структура ВВП в 2000 году характеризовалась опережающим ростом доли отраслей, производящих товары. В структуре ВВП, рассчитанному по производственному методу, доля производства товаров составила 41,2% против 40,9% за 1999 год, а доля производства услуг, соответственно, - 48,9%  против 50,1%. Доля чистых (за вычетом субсидий) налогов на продукты составила 9,9% против 9,0% в 1999 году (см. рис. 1,2 и табл. 1).</w:t>
      </w:r>
    </w:p>
    <w:p w:rsidR="00DD7F7C" w:rsidRDefault="00DD7F7C">
      <w:pPr>
        <w:pStyle w:val="a5"/>
        <w:ind w:firstLine="0"/>
      </w:pPr>
    </w:p>
    <w:p w:rsidR="00DD7F7C" w:rsidRDefault="00DD7F7C">
      <w:pPr>
        <w:pStyle w:val="a5"/>
        <w:ind w:firstLine="0"/>
      </w:pPr>
    </w:p>
    <w:p w:rsidR="00DD7F7C" w:rsidRDefault="002A07F1">
      <w:pPr>
        <w:pStyle w:val="a5"/>
        <w:ind w:firstLine="0"/>
        <w:jc w:val="right"/>
      </w:pPr>
      <w:r>
        <w:rPr>
          <w:noProof/>
        </w:rPr>
        <w:object w:dxaOrig="1440" w:dyaOrig="1440">
          <v:shape id="_x0000_s1028" type="#_x0000_t75" style="position:absolute;left:0;text-align:left;margin-left:102.15pt;margin-top:16.85pt;width:277.2pt;height:177.05pt;z-index:251658240;visibility:visible;mso-wrap-edited:f" o:allowincell="f">
            <v:imagedata r:id="rId9" o:title=""/>
            <w10:wrap type="topAndBottom"/>
          </v:shape>
          <o:OLEObject Type="Embed" ProgID="Word.Picture.8" ShapeID="_x0000_s1028" DrawAspect="Content" ObjectID="_1469611202" r:id="rId10"/>
        </w:object>
      </w:r>
    </w:p>
    <w:p w:rsidR="00DD7F7C" w:rsidRDefault="00DD7F7C">
      <w:pPr>
        <w:pStyle w:val="a5"/>
        <w:ind w:firstLine="0"/>
        <w:jc w:val="right"/>
      </w:pPr>
    </w:p>
    <w:p w:rsidR="00DD7F7C" w:rsidRDefault="00DD7F7C">
      <w:pPr>
        <w:pStyle w:val="a5"/>
        <w:ind w:firstLine="0"/>
        <w:jc w:val="right"/>
      </w:pPr>
      <w:r>
        <w:t xml:space="preserve">Таблица 1 </w:t>
      </w:r>
    </w:p>
    <w:p w:rsidR="00DD7F7C" w:rsidRDefault="00DD7F7C">
      <w:pPr>
        <w:pStyle w:val="a5"/>
        <w:ind w:firstLine="0"/>
        <w:jc w:val="center"/>
      </w:pPr>
      <w:r>
        <w:t>Структура произведенного ВВП в России в 1999 –2000 годах</w:t>
      </w:r>
    </w:p>
    <w:p w:rsidR="00DD7F7C" w:rsidRDefault="00DD7F7C">
      <w:pPr>
        <w:pStyle w:val="a5"/>
        <w:ind w:firstLine="0"/>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80"/>
        <w:gridCol w:w="734"/>
        <w:gridCol w:w="677"/>
        <w:gridCol w:w="677"/>
        <w:gridCol w:w="734"/>
        <w:gridCol w:w="759"/>
        <w:gridCol w:w="749"/>
        <w:gridCol w:w="748"/>
        <w:gridCol w:w="687"/>
        <w:gridCol w:w="916"/>
        <w:gridCol w:w="708"/>
      </w:tblGrid>
      <w:tr w:rsidR="00DD7F7C">
        <w:trPr>
          <w:trHeight w:val="189"/>
        </w:trPr>
        <w:tc>
          <w:tcPr>
            <w:tcW w:w="2280" w:type="dxa"/>
            <w:tcBorders>
              <w:top w:val="single" w:sz="4" w:space="0" w:color="auto"/>
              <w:bottom w:val="nil"/>
            </w:tcBorders>
          </w:tcPr>
          <w:p w:rsidR="00DD7F7C" w:rsidRDefault="00DD7F7C">
            <w:pPr>
              <w:rPr>
                <w:rFonts w:ascii="Arial" w:hAnsi="Arial"/>
                <w:snapToGrid w:val="0"/>
                <w:color w:val="000000"/>
                <w:sz w:val="16"/>
              </w:rPr>
            </w:pPr>
          </w:p>
        </w:tc>
        <w:tc>
          <w:tcPr>
            <w:tcW w:w="1411" w:type="dxa"/>
            <w:gridSpan w:val="2"/>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I квартал</w:t>
            </w:r>
          </w:p>
        </w:tc>
        <w:tc>
          <w:tcPr>
            <w:tcW w:w="1411" w:type="dxa"/>
            <w:gridSpan w:val="2"/>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II квартал</w:t>
            </w:r>
          </w:p>
        </w:tc>
        <w:tc>
          <w:tcPr>
            <w:tcW w:w="1508" w:type="dxa"/>
            <w:gridSpan w:val="2"/>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III квартал</w:t>
            </w:r>
          </w:p>
        </w:tc>
        <w:tc>
          <w:tcPr>
            <w:tcW w:w="1435" w:type="dxa"/>
            <w:gridSpan w:val="2"/>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Январь-сентябрь</w:t>
            </w:r>
          </w:p>
        </w:tc>
        <w:tc>
          <w:tcPr>
            <w:tcW w:w="916"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Год</w:t>
            </w:r>
          </w:p>
        </w:tc>
        <w:tc>
          <w:tcPr>
            <w:tcW w:w="708" w:type="dxa"/>
            <w:tcBorders>
              <w:top w:val="single" w:sz="4" w:space="0" w:color="auto"/>
              <w:bottom w:val="nil"/>
            </w:tcBorders>
          </w:tcPr>
          <w:p w:rsidR="00DD7F7C" w:rsidRDefault="00DD7F7C">
            <w:pPr>
              <w:jc w:val="center"/>
              <w:rPr>
                <w:rFonts w:ascii="Arial" w:hAnsi="Arial"/>
                <w:snapToGrid w:val="0"/>
                <w:color w:val="000000"/>
                <w:sz w:val="16"/>
              </w:rPr>
            </w:pPr>
          </w:p>
        </w:tc>
      </w:tr>
      <w:tr w:rsidR="00DD7F7C">
        <w:trPr>
          <w:trHeight w:val="384"/>
        </w:trPr>
        <w:tc>
          <w:tcPr>
            <w:tcW w:w="2280" w:type="dxa"/>
            <w:tcBorders>
              <w:top w:val="nil"/>
              <w:bottom w:val="single" w:sz="4" w:space="0" w:color="auto"/>
            </w:tcBorders>
          </w:tcPr>
          <w:p w:rsidR="00DD7F7C" w:rsidRDefault="00DD7F7C">
            <w:pPr>
              <w:rPr>
                <w:rFonts w:ascii="Arial" w:hAnsi="Arial"/>
                <w:snapToGrid w:val="0"/>
                <w:color w:val="000000"/>
                <w:sz w:val="16"/>
              </w:rPr>
            </w:pPr>
          </w:p>
        </w:tc>
        <w:tc>
          <w:tcPr>
            <w:tcW w:w="734"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млрд. рублей</w:t>
            </w:r>
          </w:p>
        </w:tc>
        <w:tc>
          <w:tcPr>
            <w:tcW w:w="677"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в % к итогу</w:t>
            </w:r>
          </w:p>
        </w:tc>
        <w:tc>
          <w:tcPr>
            <w:tcW w:w="677"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Млрд. рублей</w:t>
            </w:r>
          </w:p>
        </w:tc>
        <w:tc>
          <w:tcPr>
            <w:tcW w:w="734"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в % к итогу</w:t>
            </w:r>
          </w:p>
        </w:tc>
        <w:tc>
          <w:tcPr>
            <w:tcW w:w="759"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млрд. рублей</w:t>
            </w:r>
          </w:p>
        </w:tc>
        <w:tc>
          <w:tcPr>
            <w:tcW w:w="749"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в % к итогу</w:t>
            </w:r>
          </w:p>
        </w:tc>
        <w:tc>
          <w:tcPr>
            <w:tcW w:w="748"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млрд. рублей</w:t>
            </w:r>
          </w:p>
        </w:tc>
        <w:tc>
          <w:tcPr>
            <w:tcW w:w="687"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в % к итогу</w:t>
            </w:r>
          </w:p>
        </w:tc>
        <w:tc>
          <w:tcPr>
            <w:tcW w:w="916"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Млрд. рублей</w:t>
            </w:r>
          </w:p>
        </w:tc>
        <w:tc>
          <w:tcPr>
            <w:tcW w:w="708" w:type="dxa"/>
            <w:tcBorders>
              <w:top w:val="nil"/>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в % к итогу</w:t>
            </w:r>
          </w:p>
        </w:tc>
      </w:tr>
      <w:tr w:rsidR="00DD7F7C">
        <w:trPr>
          <w:trHeight w:val="250"/>
        </w:trPr>
        <w:tc>
          <w:tcPr>
            <w:tcW w:w="2280" w:type="dxa"/>
            <w:tcBorders>
              <w:top w:val="nil"/>
              <w:left w:val="single" w:sz="4" w:space="0" w:color="auto"/>
              <w:bottom w:val="nil"/>
              <w:right w:val="nil"/>
            </w:tcBorders>
          </w:tcPr>
          <w:p w:rsidR="00DD7F7C" w:rsidRDefault="00DD7F7C">
            <w:pPr>
              <w:rPr>
                <w:rFonts w:ascii="Arial" w:hAnsi="Arial"/>
                <w:snapToGrid w:val="0"/>
                <w:color w:val="000000"/>
                <w:sz w:val="16"/>
              </w:rPr>
            </w:pPr>
          </w:p>
        </w:tc>
        <w:tc>
          <w:tcPr>
            <w:tcW w:w="734" w:type="dxa"/>
            <w:tcBorders>
              <w:top w:val="nil"/>
              <w:left w:val="nil"/>
              <w:bottom w:val="nil"/>
              <w:right w:val="nil"/>
            </w:tcBorders>
          </w:tcPr>
          <w:p w:rsidR="00DD7F7C" w:rsidRDefault="00DD7F7C">
            <w:pPr>
              <w:jc w:val="center"/>
              <w:rPr>
                <w:rFonts w:ascii="Arial" w:hAnsi="Arial"/>
                <w:snapToGrid w:val="0"/>
                <w:color w:val="000000"/>
                <w:sz w:val="16"/>
              </w:rPr>
            </w:pPr>
          </w:p>
        </w:tc>
        <w:tc>
          <w:tcPr>
            <w:tcW w:w="677" w:type="dxa"/>
            <w:tcBorders>
              <w:top w:val="nil"/>
              <w:left w:val="nil"/>
              <w:bottom w:val="nil"/>
              <w:right w:val="nil"/>
            </w:tcBorders>
          </w:tcPr>
          <w:p w:rsidR="00DD7F7C" w:rsidRDefault="00DD7F7C">
            <w:pPr>
              <w:jc w:val="center"/>
              <w:rPr>
                <w:rFonts w:ascii="Arial" w:hAnsi="Arial"/>
                <w:snapToGrid w:val="0"/>
                <w:color w:val="000000"/>
                <w:sz w:val="16"/>
              </w:rPr>
            </w:pPr>
          </w:p>
        </w:tc>
        <w:tc>
          <w:tcPr>
            <w:tcW w:w="677" w:type="dxa"/>
            <w:tcBorders>
              <w:top w:val="nil"/>
              <w:left w:val="nil"/>
              <w:bottom w:val="nil"/>
              <w:right w:val="nil"/>
            </w:tcBorders>
          </w:tcPr>
          <w:p w:rsidR="00DD7F7C" w:rsidRDefault="00DD7F7C">
            <w:pPr>
              <w:jc w:val="center"/>
              <w:rPr>
                <w:rFonts w:ascii="Arial" w:hAnsi="Arial"/>
                <w:snapToGrid w:val="0"/>
                <w:color w:val="000000"/>
                <w:sz w:val="16"/>
              </w:rPr>
            </w:pPr>
          </w:p>
        </w:tc>
        <w:tc>
          <w:tcPr>
            <w:tcW w:w="734" w:type="dxa"/>
            <w:tcBorders>
              <w:top w:val="nil"/>
              <w:left w:val="nil"/>
              <w:bottom w:val="nil"/>
              <w:right w:val="nil"/>
            </w:tcBorders>
          </w:tcPr>
          <w:p w:rsidR="00DD7F7C" w:rsidRDefault="00DD7F7C">
            <w:pPr>
              <w:jc w:val="center"/>
              <w:rPr>
                <w:rFonts w:ascii="Arial" w:hAnsi="Arial"/>
                <w:snapToGrid w:val="0"/>
                <w:color w:val="000000"/>
                <w:sz w:val="16"/>
              </w:rPr>
            </w:pPr>
            <w:r>
              <w:rPr>
                <w:rFonts w:ascii="Arial" w:hAnsi="Arial"/>
                <w:snapToGrid w:val="0"/>
                <w:color w:val="000000"/>
                <w:sz w:val="16"/>
              </w:rPr>
              <w:t>1999 г.</w:t>
            </w:r>
          </w:p>
        </w:tc>
        <w:tc>
          <w:tcPr>
            <w:tcW w:w="759" w:type="dxa"/>
            <w:tcBorders>
              <w:top w:val="nil"/>
              <w:left w:val="nil"/>
              <w:bottom w:val="nil"/>
              <w:right w:val="nil"/>
            </w:tcBorders>
          </w:tcPr>
          <w:p w:rsidR="00DD7F7C" w:rsidRDefault="00DD7F7C">
            <w:pPr>
              <w:jc w:val="center"/>
              <w:rPr>
                <w:rFonts w:ascii="Arial" w:hAnsi="Arial"/>
                <w:snapToGrid w:val="0"/>
                <w:color w:val="000000"/>
                <w:sz w:val="16"/>
              </w:rPr>
            </w:pPr>
          </w:p>
        </w:tc>
        <w:tc>
          <w:tcPr>
            <w:tcW w:w="749" w:type="dxa"/>
            <w:tcBorders>
              <w:top w:val="nil"/>
              <w:left w:val="nil"/>
              <w:bottom w:val="nil"/>
              <w:right w:val="nil"/>
            </w:tcBorders>
          </w:tcPr>
          <w:p w:rsidR="00DD7F7C" w:rsidRDefault="00DD7F7C">
            <w:pPr>
              <w:jc w:val="center"/>
              <w:rPr>
                <w:rFonts w:ascii="Arial" w:hAnsi="Arial"/>
                <w:snapToGrid w:val="0"/>
                <w:color w:val="000000"/>
                <w:sz w:val="16"/>
              </w:rPr>
            </w:pPr>
          </w:p>
        </w:tc>
        <w:tc>
          <w:tcPr>
            <w:tcW w:w="748" w:type="dxa"/>
            <w:tcBorders>
              <w:top w:val="nil"/>
              <w:left w:val="nil"/>
              <w:bottom w:val="nil"/>
              <w:right w:val="nil"/>
            </w:tcBorders>
          </w:tcPr>
          <w:p w:rsidR="00DD7F7C" w:rsidRDefault="00DD7F7C">
            <w:pPr>
              <w:jc w:val="center"/>
              <w:rPr>
                <w:rFonts w:ascii="Arial" w:hAnsi="Arial"/>
                <w:snapToGrid w:val="0"/>
                <w:color w:val="000000"/>
                <w:sz w:val="16"/>
              </w:rPr>
            </w:pPr>
          </w:p>
        </w:tc>
        <w:tc>
          <w:tcPr>
            <w:tcW w:w="687" w:type="dxa"/>
            <w:tcBorders>
              <w:top w:val="nil"/>
              <w:left w:val="nil"/>
              <w:bottom w:val="nil"/>
              <w:right w:val="nil"/>
            </w:tcBorders>
          </w:tcPr>
          <w:p w:rsidR="00DD7F7C" w:rsidRDefault="00DD7F7C">
            <w:pPr>
              <w:jc w:val="center"/>
              <w:rPr>
                <w:rFonts w:ascii="Arial" w:hAnsi="Arial"/>
                <w:snapToGrid w:val="0"/>
                <w:color w:val="000000"/>
                <w:sz w:val="16"/>
              </w:rPr>
            </w:pPr>
          </w:p>
        </w:tc>
        <w:tc>
          <w:tcPr>
            <w:tcW w:w="916" w:type="dxa"/>
            <w:tcBorders>
              <w:top w:val="nil"/>
              <w:left w:val="nil"/>
              <w:bottom w:val="nil"/>
              <w:right w:val="nil"/>
            </w:tcBorders>
          </w:tcPr>
          <w:p w:rsidR="00DD7F7C" w:rsidRDefault="00DD7F7C">
            <w:pPr>
              <w:jc w:val="center"/>
              <w:rPr>
                <w:rFonts w:ascii="Arial" w:hAnsi="Arial"/>
                <w:snapToGrid w:val="0"/>
                <w:color w:val="000000"/>
                <w:sz w:val="16"/>
              </w:rPr>
            </w:pPr>
          </w:p>
        </w:tc>
        <w:tc>
          <w:tcPr>
            <w:tcW w:w="708" w:type="dxa"/>
            <w:tcBorders>
              <w:top w:val="nil"/>
              <w:left w:val="nil"/>
              <w:bottom w:val="nil"/>
              <w:right w:val="single" w:sz="4" w:space="0" w:color="auto"/>
            </w:tcBorders>
          </w:tcPr>
          <w:p w:rsidR="00DD7F7C" w:rsidRDefault="00DD7F7C">
            <w:pPr>
              <w:jc w:val="center"/>
              <w:rPr>
                <w:rFonts w:ascii="Arial" w:hAnsi="Arial"/>
                <w:snapToGrid w:val="0"/>
                <w:color w:val="000000"/>
                <w:sz w:val="16"/>
              </w:rPr>
            </w:pPr>
          </w:p>
        </w:tc>
      </w:tr>
      <w:tr w:rsidR="00DD7F7C">
        <w:trPr>
          <w:trHeight w:val="250"/>
        </w:trPr>
        <w:tc>
          <w:tcPr>
            <w:tcW w:w="2280" w:type="dxa"/>
            <w:tcBorders>
              <w:top w:val="single" w:sz="4" w:space="0" w:color="auto"/>
              <w:bottom w:val="nil"/>
            </w:tcBorders>
          </w:tcPr>
          <w:p w:rsidR="00DD7F7C" w:rsidRDefault="00DD7F7C">
            <w:pPr>
              <w:rPr>
                <w:rFonts w:ascii="Arial" w:hAnsi="Arial"/>
                <w:snapToGrid w:val="0"/>
                <w:color w:val="000000"/>
                <w:sz w:val="16"/>
              </w:rPr>
            </w:pPr>
            <w:r>
              <w:rPr>
                <w:rFonts w:ascii="Arial" w:hAnsi="Arial"/>
                <w:snapToGrid w:val="0"/>
                <w:color w:val="000000"/>
                <w:sz w:val="16"/>
              </w:rPr>
              <w:t>ВВП - всего</w:t>
            </w:r>
          </w:p>
        </w:tc>
        <w:tc>
          <w:tcPr>
            <w:tcW w:w="734"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836,5</w:t>
            </w:r>
          </w:p>
        </w:tc>
        <w:tc>
          <w:tcPr>
            <w:tcW w:w="677"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677"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1041,8</w:t>
            </w:r>
          </w:p>
        </w:tc>
        <w:tc>
          <w:tcPr>
            <w:tcW w:w="734"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759"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1257,8</w:t>
            </w:r>
          </w:p>
        </w:tc>
        <w:tc>
          <w:tcPr>
            <w:tcW w:w="749"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748"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3154,1</w:t>
            </w:r>
          </w:p>
        </w:tc>
        <w:tc>
          <w:tcPr>
            <w:tcW w:w="687"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916"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4545,5</w:t>
            </w:r>
          </w:p>
        </w:tc>
        <w:tc>
          <w:tcPr>
            <w:tcW w:w="708"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r>
      <w:tr w:rsidR="00DD7F7C">
        <w:trPr>
          <w:trHeight w:val="250"/>
        </w:trPr>
        <w:tc>
          <w:tcPr>
            <w:tcW w:w="2280" w:type="dxa"/>
            <w:tcBorders>
              <w:top w:val="nil"/>
              <w:bottom w:val="nil"/>
            </w:tcBorders>
          </w:tcPr>
          <w:p w:rsidR="00DD7F7C" w:rsidRDefault="00DD7F7C">
            <w:pPr>
              <w:rPr>
                <w:rFonts w:ascii="Arial" w:hAnsi="Arial"/>
                <w:snapToGrid w:val="0"/>
                <w:color w:val="000000"/>
                <w:sz w:val="16"/>
              </w:rPr>
            </w:pPr>
            <w:r>
              <w:rPr>
                <w:rFonts w:ascii="Arial" w:hAnsi="Arial"/>
                <w:snapToGrid w:val="0"/>
                <w:color w:val="000000"/>
                <w:sz w:val="16"/>
              </w:rPr>
              <w:t>в том числе:</w:t>
            </w:r>
          </w:p>
        </w:tc>
        <w:tc>
          <w:tcPr>
            <w:tcW w:w="734" w:type="dxa"/>
            <w:tcBorders>
              <w:top w:val="nil"/>
              <w:bottom w:val="nil"/>
            </w:tcBorders>
          </w:tcPr>
          <w:p w:rsidR="00DD7F7C" w:rsidRDefault="00DD7F7C">
            <w:pPr>
              <w:jc w:val="center"/>
              <w:rPr>
                <w:rFonts w:ascii="Arial" w:hAnsi="Arial"/>
                <w:snapToGrid w:val="0"/>
                <w:color w:val="000000"/>
                <w:sz w:val="16"/>
              </w:rPr>
            </w:pPr>
          </w:p>
        </w:tc>
        <w:tc>
          <w:tcPr>
            <w:tcW w:w="677" w:type="dxa"/>
            <w:tcBorders>
              <w:top w:val="nil"/>
              <w:bottom w:val="nil"/>
            </w:tcBorders>
          </w:tcPr>
          <w:p w:rsidR="00DD7F7C" w:rsidRDefault="00DD7F7C">
            <w:pPr>
              <w:jc w:val="center"/>
              <w:rPr>
                <w:rFonts w:ascii="Arial" w:hAnsi="Arial"/>
                <w:snapToGrid w:val="0"/>
                <w:color w:val="000000"/>
                <w:sz w:val="16"/>
              </w:rPr>
            </w:pPr>
          </w:p>
        </w:tc>
        <w:tc>
          <w:tcPr>
            <w:tcW w:w="677" w:type="dxa"/>
            <w:tcBorders>
              <w:top w:val="nil"/>
              <w:bottom w:val="nil"/>
            </w:tcBorders>
          </w:tcPr>
          <w:p w:rsidR="00DD7F7C" w:rsidRDefault="00DD7F7C">
            <w:pPr>
              <w:jc w:val="center"/>
              <w:rPr>
                <w:rFonts w:ascii="Arial" w:hAnsi="Arial"/>
                <w:snapToGrid w:val="0"/>
                <w:color w:val="000000"/>
                <w:sz w:val="16"/>
              </w:rPr>
            </w:pPr>
          </w:p>
        </w:tc>
        <w:tc>
          <w:tcPr>
            <w:tcW w:w="734" w:type="dxa"/>
            <w:tcBorders>
              <w:top w:val="nil"/>
              <w:bottom w:val="nil"/>
            </w:tcBorders>
          </w:tcPr>
          <w:p w:rsidR="00DD7F7C" w:rsidRDefault="00DD7F7C">
            <w:pPr>
              <w:jc w:val="center"/>
              <w:rPr>
                <w:rFonts w:ascii="Arial" w:hAnsi="Arial"/>
                <w:snapToGrid w:val="0"/>
                <w:color w:val="000000"/>
                <w:sz w:val="16"/>
              </w:rPr>
            </w:pPr>
          </w:p>
        </w:tc>
        <w:tc>
          <w:tcPr>
            <w:tcW w:w="759" w:type="dxa"/>
            <w:tcBorders>
              <w:top w:val="nil"/>
              <w:bottom w:val="nil"/>
            </w:tcBorders>
          </w:tcPr>
          <w:p w:rsidR="00DD7F7C" w:rsidRDefault="00DD7F7C">
            <w:pPr>
              <w:jc w:val="center"/>
              <w:rPr>
                <w:rFonts w:ascii="Arial" w:hAnsi="Arial"/>
                <w:snapToGrid w:val="0"/>
                <w:color w:val="000000"/>
                <w:sz w:val="16"/>
              </w:rPr>
            </w:pPr>
          </w:p>
        </w:tc>
        <w:tc>
          <w:tcPr>
            <w:tcW w:w="749" w:type="dxa"/>
            <w:tcBorders>
              <w:top w:val="nil"/>
              <w:bottom w:val="nil"/>
            </w:tcBorders>
          </w:tcPr>
          <w:p w:rsidR="00DD7F7C" w:rsidRDefault="00DD7F7C">
            <w:pPr>
              <w:jc w:val="center"/>
              <w:rPr>
                <w:rFonts w:ascii="Arial" w:hAnsi="Arial"/>
                <w:snapToGrid w:val="0"/>
                <w:color w:val="000000"/>
                <w:sz w:val="16"/>
              </w:rPr>
            </w:pPr>
          </w:p>
        </w:tc>
        <w:tc>
          <w:tcPr>
            <w:tcW w:w="748" w:type="dxa"/>
            <w:tcBorders>
              <w:top w:val="nil"/>
              <w:bottom w:val="nil"/>
            </w:tcBorders>
          </w:tcPr>
          <w:p w:rsidR="00DD7F7C" w:rsidRDefault="00DD7F7C">
            <w:pPr>
              <w:jc w:val="center"/>
              <w:rPr>
                <w:rFonts w:ascii="Arial" w:hAnsi="Arial"/>
                <w:snapToGrid w:val="0"/>
                <w:color w:val="000000"/>
                <w:sz w:val="16"/>
              </w:rPr>
            </w:pPr>
          </w:p>
        </w:tc>
        <w:tc>
          <w:tcPr>
            <w:tcW w:w="687" w:type="dxa"/>
            <w:tcBorders>
              <w:top w:val="nil"/>
              <w:bottom w:val="nil"/>
            </w:tcBorders>
          </w:tcPr>
          <w:p w:rsidR="00DD7F7C" w:rsidRDefault="00DD7F7C">
            <w:pPr>
              <w:jc w:val="center"/>
              <w:rPr>
                <w:rFonts w:ascii="Arial" w:hAnsi="Arial"/>
                <w:snapToGrid w:val="0"/>
                <w:color w:val="000000"/>
                <w:sz w:val="16"/>
              </w:rPr>
            </w:pPr>
          </w:p>
        </w:tc>
        <w:tc>
          <w:tcPr>
            <w:tcW w:w="916" w:type="dxa"/>
            <w:tcBorders>
              <w:top w:val="nil"/>
              <w:bottom w:val="nil"/>
            </w:tcBorders>
          </w:tcPr>
          <w:p w:rsidR="00DD7F7C" w:rsidRDefault="00DD7F7C">
            <w:pPr>
              <w:jc w:val="center"/>
              <w:rPr>
                <w:rFonts w:ascii="Arial" w:hAnsi="Arial"/>
                <w:snapToGrid w:val="0"/>
                <w:color w:val="000000"/>
                <w:sz w:val="16"/>
              </w:rPr>
            </w:pPr>
          </w:p>
        </w:tc>
        <w:tc>
          <w:tcPr>
            <w:tcW w:w="708" w:type="dxa"/>
            <w:tcBorders>
              <w:top w:val="nil"/>
              <w:bottom w:val="nil"/>
            </w:tcBorders>
          </w:tcPr>
          <w:p w:rsidR="00DD7F7C" w:rsidRDefault="00DD7F7C">
            <w:pPr>
              <w:jc w:val="center"/>
              <w:rPr>
                <w:rFonts w:ascii="Arial" w:hAnsi="Arial"/>
                <w:snapToGrid w:val="0"/>
                <w:color w:val="000000"/>
                <w:sz w:val="16"/>
              </w:rPr>
            </w:pPr>
          </w:p>
        </w:tc>
      </w:tr>
      <w:tr w:rsidR="00DD7F7C">
        <w:trPr>
          <w:trHeight w:val="250"/>
        </w:trPr>
        <w:tc>
          <w:tcPr>
            <w:tcW w:w="2280" w:type="dxa"/>
            <w:tcBorders>
              <w:top w:val="nil"/>
              <w:bottom w:val="nil"/>
            </w:tcBorders>
          </w:tcPr>
          <w:p w:rsidR="00DD7F7C" w:rsidRDefault="00DD7F7C">
            <w:pPr>
              <w:rPr>
                <w:rFonts w:ascii="Arial" w:hAnsi="Arial"/>
                <w:snapToGrid w:val="0"/>
                <w:color w:val="000000"/>
                <w:sz w:val="16"/>
              </w:rPr>
            </w:pPr>
            <w:r>
              <w:rPr>
                <w:rFonts w:ascii="Arial" w:hAnsi="Arial"/>
                <w:snapToGrid w:val="0"/>
                <w:color w:val="000000"/>
                <w:sz w:val="16"/>
              </w:rPr>
              <w:t>Производство товаров</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324,0</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38,7</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379,1</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36,4</w:t>
            </w:r>
          </w:p>
        </w:tc>
        <w:tc>
          <w:tcPr>
            <w:tcW w:w="75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591,6</w:t>
            </w:r>
          </w:p>
        </w:tc>
        <w:tc>
          <w:tcPr>
            <w:tcW w:w="74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46,4</w:t>
            </w:r>
          </w:p>
        </w:tc>
        <w:tc>
          <w:tcPr>
            <w:tcW w:w="74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1294,7</w:t>
            </w:r>
          </w:p>
        </w:tc>
        <w:tc>
          <w:tcPr>
            <w:tcW w:w="68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41,1</w:t>
            </w:r>
          </w:p>
        </w:tc>
        <w:tc>
          <w:tcPr>
            <w:tcW w:w="916"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1859,1</w:t>
            </w:r>
          </w:p>
        </w:tc>
        <w:tc>
          <w:tcPr>
            <w:tcW w:w="70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40,9</w:t>
            </w:r>
          </w:p>
        </w:tc>
      </w:tr>
      <w:tr w:rsidR="00DD7F7C">
        <w:trPr>
          <w:trHeight w:val="250"/>
        </w:trPr>
        <w:tc>
          <w:tcPr>
            <w:tcW w:w="2280" w:type="dxa"/>
            <w:tcBorders>
              <w:top w:val="nil"/>
              <w:bottom w:val="nil"/>
            </w:tcBorders>
          </w:tcPr>
          <w:p w:rsidR="00DD7F7C" w:rsidRDefault="00DD7F7C">
            <w:pPr>
              <w:rPr>
                <w:rFonts w:ascii="Arial" w:hAnsi="Arial"/>
                <w:snapToGrid w:val="0"/>
                <w:color w:val="000000"/>
                <w:sz w:val="16"/>
              </w:rPr>
            </w:pPr>
            <w:r>
              <w:rPr>
                <w:rFonts w:ascii="Arial" w:hAnsi="Arial"/>
                <w:snapToGrid w:val="0"/>
                <w:color w:val="000000"/>
                <w:sz w:val="16"/>
              </w:rPr>
              <w:t>Производство услуг</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441,8</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52,8</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537,4</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51,6</w:t>
            </w:r>
          </w:p>
        </w:tc>
        <w:tc>
          <w:tcPr>
            <w:tcW w:w="75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583,8</w:t>
            </w:r>
          </w:p>
        </w:tc>
        <w:tc>
          <w:tcPr>
            <w:tcW w:w="74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45,7</w:t>
            </w:r>
          </w:p>
        </w:tc>
        <w:tc>
          <w:tcPr>
            <w:tcW w:w="74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1563</w:t>
            </w:r>
          </w:p>
        </w:tc>
        <w:tc>
          <w:tcPr>
            <w:tcW w:w="68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49,5</w:t>
            </w:r>
          </w:p>
        </w:tc>
        <w:tc>
          <w:tcPr>
            <w:tcW w:w="916"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2277,3</w:t>
            </w:r>
          </w:p>
        </w:tc>
        <w:tc>
          <w:tcPr>
            <w:tcW w:w="70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50,1</w:t>
            </w:r>
          </w:p>
        </w:tc>
      </w:tr>
      <w:tr w:rsidR="00DD7F7C">
        <w:trPr>
          <w:trHeight w:val="816"/>
        </w:trPr>
        <w:tc>
          <w:tcPr>
            <w:tcW w:w="2280" w:type="dxa"/>
            <w:tcBorders>
              <w:top w:val="nil"/>
              <w:bottom w:val="single" w:sz="4" w:space="0" w:color="auto"/>
            </w:tcBorders>
          </w:tcPr>
          <w:p w:rsidR="00DD7F7C" w:rsidRDefault="00DD7F7C">
            <w:pPr>
              <w:rPr>
                <w:rFonts w:ascii="Arial" w:hAnsi="Arial"/>
                <w:snapToGrid w:val="0"/>
                <w:color w:val="000000"/>
                <w:sz w:val="16"/>
              </w:rPr>
            </w:pPr>
            <w:r>
              <w:rPr>
                <w:rFonts w:ascii="Arial" w:hAnsi="Arial"/>
                <w:snapToGrid w:val="0"/>
                <w:color w:val="000000"/>
                <w:sz w:val="16"/>
              </w:rPr>
              <w:t xml:space="preserve">Чистые (за вычетом субсидий) налоги на продукты </w:t>
            </w:r>
          </w:p>
        </w:tc>
        <w:tc>
          <w:tcPr>
            <w:tcW w:w="734"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70,7</w:t>
            </w:r>
          </w:p>
        </w:tc>
        <w:tc>
          <w:tcPr>
            <w:tcW w:w="677"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8,5</w:t>
            </w:r>
          </w:p>
        </w:tc>
        <w:tc>
          <w:tcPr>
            <w:tcW w:w="677"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125,3</w:t>
            </w:r>
          </w:p>
        </w:tc>
        <w:tc>
          <w:tcPr>
            <w:tcW w:w="734"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12,0</w:t>
            </w:r>
          </w:p>
        </w:tc>
        <w:tc>
          <w:tcPr>
            <w:tcW w:w="759"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100,4</w:t>
            </w:r>
          </w:p>
        </w:tc>
        <w:tc>
          <w:tcPr>
            <w:tcW w:w="749"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7,9</w:t>
            </w:r>
          </w:p>
        </w:tc>
        <w:tc>
          <w:tcPr>
            <w:tcW w:w="748"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296,4</w:t>
            </w:r>
          </w:p>
        </w:tc>
        <w:tc>
          <w:tcPr>
            <w:tcW w:w="687"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9,4</w:t>
            </w:r>
          </w:p>
        </w:tc>
        <w:tc>
          <w:tcPr>
            <w:tcW w:w="916"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409,0</w:t>
            </w:r>
          </w:p>
        </w:tc>
        <w:tc>
          <w:tcPr>
            <w:tcW w:w="708"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9,0</w:t>
            </w:r>
          </w:p>
        </w:tc>
      </w:tr>
      <w:tr w:rsidR="00DD7F7C">
        <w:trPr>
          <w:trHeight w:val="250"/>
        </w:trPr>
        <w:tc>
          <w:tcPr>
            <w:tcW w:w="2280" w:type="dxa"/>
            <w:tcBorders>
              <w:top w:val="nil"/>
              <w:left w:val="single" w:sz="4" w:space="0" w:color="auto"/>
              <w:bottom w:val="nil"/>
              <w:right w:val="nil"/>
            </w:tcBorders>
          </w:tcPr>
          <w:p w:rsidR="00DD7F7C" w:rsidRDefault="00DD7F7C">
            <w:pPr>
              <w:rPr>
                <w:rFonts w:ascii="Arial" w:hAnsi="Arial"/>
                <w:snapToGrid w:val="0"/>
                <w:color w:val="000000"/>
                <w:sz w:val="16"/>
              </w:rPr>
            </w:pPr>
          </w:p>
        </w:tc>
        <w:tc>
          <w:tcPr>
            <w:tcW w:w="734" w:type="dxa"/>
            <w:tcBorders>
              <w:top w:val="nil"/>
              <w:left w:val="nil"/>
              <w:bottom w:val="nil"/>
              <w:right w:val="nil"/>
            </w:tcBorders>
          </w:tcPr>
          <w:p w:rsidR="00DD7F7C" w:rsidRDefault="00DD7F7C">
            <w:pPr>
              <w:jc w:val="center"/>
              <w:rPr>
                <w:rFonts w:ascii="Arial" w:hAnsi="Arial"/>
                <w:snapToGrid w:val="0"/>
                <w:color w:val="000000"/>
                <w:sz w:val="16"/>
              </w:rPr>
            </w:pPr>
          </w:p>
        </w:tc>
        <w:tc>
          <w:tcPr>
            <w:tcW w:w="677" w:type="dxa"/>
            <w:tcBorders>
              <w:top w:val="nil"/>
              <w:left w:val="nil"/>
              <w:bottom w:val="nil"/>
              <w:right w:val="nil"/>
            </w:tcBorders>
          </w:tcPr>
          <w:p w:rsidR="00DD7F7C" w:rsidRDefault="00DD7F7C">
            <w:pPr>
              <w:jc w:val="center"/>
              <w:rPr>
                <w:rFonts w:ascii="Arial" w:hAnsi="Arial"/>
                <w:snapToGrid w:val="0"/>
                <w:color w:val="000000"/>
                <w:sz w:val="16"/>
              </w:rPr>
            </w:pPr>
          </w:p>
        </w:tc>
        <w:tc>
          <w:tcPr>
            <w:tcW w:w="677" w:type="dxa"/>
            <w:tcBorders>
              <w:top w:val="nil"/>
              <w:left w:val="nil"/>
              <w:bottom w:val="nil"/>
              <w:right w:val="nil"/>
            </w:tcBorders>
          </w:tcPr>
          <w:p w:rsidR="00DD7F7C" w:rsidRDefault="00DD7F7C">
            <w:pPr>
              <w:jc w:val="center"/>
              <w:rPr>
                <w:rFonts w:ascii="Arial" w:hAnsi="Arial"/>
                <w:snapToGrid w:val="0"/>
                <w:color w:val="000000"/>
                <w:sz w:val="16"/>
              </w:rPr>
            </w:pPr>
          </w:p>
        </w:tc>
        <w:tc>
          <w:tcPr>
            <w:tcW w:w="734" w:type="dxa"/>
            <w:tcBorders>
              <w:top w:val="nil"/>
              <w:left w:val="nil"/>
              <w:bottom w:val="nil"/>
              <w:right w:val="nil"/>
            </w:tcBorders>
          </w:tcPr>
          <w:p w:rsidR="00DD7F7C" w:rsidRDefault="00DD7F7C">
            <w:pPr>
              <w:jc w:val="center"/>
              <w:rPr>
                <w:rFonts w:ascii="Arial" w:hAnsi="Arial"/>
                <w:snapToGrid w:val="0"/>
                <w:color w:val="000000"/>
                <w:sz w:val="16"/>
              </w:rPr>
            </w:pPr>
            <w:r>
              <w:rPr>
                <w:rFonts w:ascii="Arial" w:hAnsi="Arial"/>
                <w:snapToGrid w:val="0"/>
                <w:color w:val="000000"/>
                <w:sz w:val="16"/>
              </w:rPr>
              <w:t>2000г</w:t>
            </w:r>
          </w:p>
        </w:tc>
        <w:tc>
          <w:tcPr>
            <w:tcW w:w="759" w:type="dxa"/>
            <w:tcBorders>
              <w:top w:val="nil"/>
              <w:left w:val="nil"/>
              <w:bottom w:val="nil"/>
              <w:right w:val="nil"/>
            </w:tcBorders>
          </w:tcPr>
          <w:p w:rsidR="00DD7F7C" w:rsidRDefault="00DD7F7C">
            <w:pPr>
              <w:jc w:val="center"/>
              <w:rPr>
                <w:rFonts w:ascii="Arial" w:hAnsi="Arial"/>
                <w:snapToGrid w:val="0"/>
                <w:color w:val="000000"/>
                <w:sz w:val="16"/>
              </w:rPr>
            </w:pPr>
          </w:p>
        </w:tc>
        <w:tc>
          <w:tcPr>
            <w:tcW w:w="749" w:type="dxa"/>
            <w:tcBorders>
              <w:top w:val="nil"/>
              <w:left w:val="nil"/>
              <w:bottom w:val="nil"/>
              <w:right w:val="nil"/>
            </w:tcBorders>
          </w:tcPr>
          <w:p w:rsidR="00DD7F7C" w:rsidRDefault="00DD7F7C">
            <w:pPr>
              <w:jc w:val="center"/>
              <w:rPr>
                <w:rFonts w:ascii="Arial" w:hAnsi="Arial"/>
                <w:snapToGrid w:val="0"/>
                <w:color w:val="000000"/>
                <w:sz w:val="16"/>
              </w:rPr>
            </w:pPr>
          </w:p>
        </w:tc>
        <w:tc>
          <w:tcPr>
            <w:tcW w:w="748" w:type="dxa"/>
            <w:tcBorders>
              <w:top w:val="nil"/>
              <w:left w:val="nil"/>
              <w:bottom w:val="nil"/>
              <w:right w:val="nil"/>
            </w:tcBorders>
          </w:tcPr>
          <w:p w:rsidR="00DD7F7C" w:rsidRDefault="00DD7F7C">
            <w:pPr>
              <w:jc w:val="center"/>
              <w:rPr>
                <w:rFonts w:ascii="Arial" w:hAnsi="Arial"/>
                <w:snapToGrid w:val="0"/>
                <w:color w:val="000000"/>
                <w:sz w:val="16"/>
              </w:rPr>
            </w:pPr>
          </w:p>
        </w:tc>
        <w:tc>
          <w:tcPr>
            <w:tcW w:w="687" w:type="dxa"/>
            <w:tcBorders>
              <w:top w:val="nil"/>
              <w:left w:val="nil"/>
              <w:bottom w:val="nil"/>
              <w:right w:val="nil"/>
            </w:tcBorders>
          </w:tcPr>
          <w:p w:rsidR="00DD7F7C" w:rsidRDefault="00DD7F7C">
            <w:pPr>
              <w:jc w:val="center"/>
              <w:rPr>
                <w:rFonts w:ascii="Arial" w:hAnsi="Arial"/>
                <w:snapToGrid w:val="0"/>
                <w:color w:val="000000"/>
                <w:sz w:val="16"/>
              </w:rPr>
            </w:pPr>
          </w:p>
        </w:tc>
        <w:tc>
          <w:tcPr>
            <w:tcW w:w="916" w:type="dxa"/>
            <w:tcBorders>
              <w:top w:val="nil"/>
              <w:left w:val="nil"/>
              <w:bottom w:val="nil"/>
              <w:right w:val="nil"/>
            </w:tcBorders>
          </w:tcPr>
          <w:p w:rsidR="00DD7F7C" w:rsidRDefault="00DD7F7C">
            <w:pPr>
              <w:jc w:val="center"/>
              <w:rPr>
                <w:rFonts w:ascii="Arial" w:hAnsi="Arial"/>
                <w:snapToGrid w:val="0"/>
                <w:color w:val="000000"/>
                <w:sz w:val="16"/>
              </w:rPr>
            </w:pPr>
          </w:p>
        </w:tc>
        <w:tc>
          <w:tcPr>
            <w:tcW w:w="708" w:type="dxa"/>
            <w:tcBorders>
              <w:top w:val="nil"/>
              <w:left w:val="nil"/>
              <w:bottom w:val="nil"/>
              <w:right w:val="single" w:sz="4" w:space="0" w:color="auto"/>
            </w:tcBorders>
          </w:tcPr>
          <w:p w:rsidR="00DD7F7C" w:rsidRDefault="00DD7F7C">
            <w:pPr>
              <w:jc w:val="center"/>
              <w:rPr>
                <w:rFonts w:ascii="Arial" w:hAnsi="Arial"/>
                <w:snapToGrid w:val="0"/>
                <w:color w:val="000000"/>
                <w:sz w:val="16"/>
              </w:rPr>
            </w:pPr>
          </w:p>
        </w:tc>
      </w:tr>
      <w:tr w:rsidR="00DD7F7C">
        <w:trPr>
          <w:trHeight w:val="250"/>
        </w:trPr>
        <w:tc>
          <w:tcPr>
            <w:tcW w:w="2280" w:type="dxa"/>
            <w:tcBorders>
              <w:top w:val="single" w:sz="4" w:space="0" w:color="auto"/>
              <w:bottom w:val="nil"/>
            </w:tcBorders>
          </w:tcPr>
          <w:p w:rsidR="00DD7F7C" w:rsidRDefault="00DD7F7C">
            <w:pPr>
              <w:rPr>
                <w:rFonts w:ascii="Arial" w:hAnsi="Arial"/>
                <w:snapToGrid w:val="0"/>
                <w:color w:val="000000"/>
                <w:sz w:val="16"/>
              </w:rPr>
            </w:pPr>
            <w:r>
              <w:rPr>
                <w:rFonts w:ascii="Arial" w:hAnsi="Arial"/>
                <w:snapToGrid w:val="0"/>
                <w:color w:val="000000"/>
                <w:sz w:val="16"/>
              </w:rPr>
              <w:t xml:space="preserve">ВВП - всего </w:t>
            </w:r>
          </w:p>
        </w:tc>
        <w:tc>
          <w:tcPr>
            <w:tcW w:w="734"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1389,1</w:t>
            </w:r>
          </w:p>
        </w:tc>
        <w:tc>
          <w:tcPr>
            <w:tcW w:w="677"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677"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1595,3</w:t>
            </w:r>
          </w:p>
        </w:tc>
        <w:tc>
          <w:tcPr>
            <w:tcW w:w="734"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759"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1924,4</w:t>
            </w:r>
          </w:p>
        </w:tc>
        <w:tc>
          <w:tcPr>
            <w:tcW w:w="749"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748"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4908,8</w:t>
            </w:r>
          </w:p>
        </w:tc>
        <w:tc>
          <w:tcPr>
            <w:tcW w:w="687"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916"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6940,0</w:t>
            </w:r>
          </w:p>
        </w:tc>
        <w:tc>
          <w:tcPr>
            <w:tcW w:w="708"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r>
      <w:tr w:rsidR="00DD7F7C">
        <w:trPr>
          <w:trHeight w:val="250"/>
        </w:trPr>
        <w:tc>
          <w:tcPr>
            <w:tcW w:w="2280" w:type="dxa"/>
            <w:tcBorders>
              <w:top w:val="nil"/>
              <w:bottom w:val="nil"/>
            </w:tcBorders>
          </w:tcPr>
          <w:p w:rsidR="00DD7F7C" w:rsidRDefault="00DD7F7C">
            <w:pPr>
              <w:rPr>
                <w:rFonts w:ascii="Arial" w:hAnsi="Arial"/>
                <w:snapToGrid w:val="0"/>
                <w:color w:val="000000"/>
                <w:sz w:val="16"/>
              </w:rPr>
            </w:pPr>
            <w:r>
              <w:rPr>
                <w:rFonts w:ascii="Arial" w:hAnsi="Arial"/>
                <w:snapToGrid w:val="0"/>
                <w:color w:val="000000"/>
                <w:sz w:val="16"/>
              </w:rPr>
              <w:t>в том числе:</w:t>
            </w:r>
          </w:p>
        </w:tc>
        <w:tc>
          <w:tcPr>
            <w:tcW w:w="734" w:type="dxa"/>
            <w:tcBorders>
              <w:top w:val="nil"/>
              <w:bottom w:val="nil"/>
            </w:tcBorders>
          </w:tcPr>
          <w:p w:rsidR="00DD7F7C" w:rsidRDefault="00DD7F7C">
            <w:pPr>
              <w:jc w:val="center"/>
              <w:rPr>
                <w:rFonts w:ascii="Arial" w:hAnsi="Arial"/>
                <w:snapToGrid w:val="0"/>
                <w:color w:val="000000"/>
                <w:sz w:val="16"/>
              </w:rPr>
            </w:pPr>
          </w:p>
        </w:tc>
        <w:tc>
          <w:tcPr>
            <w:tcW w:w="677" w:type="dxa"/>
            <w:tcBorders>
              <w:top w:val="nil"/>
              <w:bottom w:val="nil"/>
            </w:tcBorders>
          </w:tcPr>
          <w:p w:rsidR="00DD7F7C" w:rsidRDefault="00DD7F7C">
            <w:pPr>
              <w:jc w:val="center"/>
              <w:rPr>
                <w:rFonts w:ascii="Arial" w:hAnsi="Arial"/>
                <w:snapToGrid w:val="0"/>
                <w:color w:val="000000"/>
                <w:sz w:val="16"/>
              </w:rPr>
            </w:pPr>
          </w:p>
        </w:tc>
        <w:tc>
          <w:tcPr>
            <w:tcW w:w="677" w:type="dxa"/>
            <w:tcBorders>
              <w:top w:val="nil"/>
              <w:bottom w:val="nil"/>
            </w:tcBorders>
          </w:tcPr>
          <w:p w:rsidR="00DD7F7C" w:rsidRDefault="00DD7F7C">
            <w:pPr>
              <w:jc w:val="center"/>
              <w:rPr>
                <w:rFonts w:ascii="Arial" w:hAnsi="Arial"/>
                <w:snapToGrid w:val="0"/>
                <w:color w:val="000000"/>
                <w:sz w:val="16"/>
              </w:rPr>
            </w:pPr>
          </w:p>
        </w:tc>
        <w:tc>
          <w:tcPr>
            <w:tcW w:w="734" w:type="dxa"/>
            <w:tcBorders>
              <w:top w:val="nil"/>
              <w:bottom w:val="nil"/>
            </w:tcBorders>
          </w:tcPr>
          <w:p w:rsidR="00DD7F7C" w:rsidRDefault="00DD7F7C">
            <w:pPr>
              <w:jc w:val="center"/>
              <w:rPr>
                <w:rFonts w:ascii="Arial" w:hAnsi="Arial"/>
                <w:snapToGrid w:val="0"/>
                <w:color w:val="000000"/>
                <w:sz w:val="16"/>
              </w:rPr>
            </w:pPr>
          </w:p>
        </w:tc>
        <w:tc>
          <w:tcPr>
            <w:tcW w:w="759" w:type="dxa"/>
            <w:tcBorders>
              <w:top w:val="nil"/>
              <w:bottom w:val="nil"/>
            </w:tcBorders>
          </w:tcPr>
          <w:p w:rsidR="00DD7F7C" w:rsidRDefault="00DD7F7C">
            <w:pPr>
              <w:jc w:val="center"/>
              <w:rPr>
                <w:rFonts w:ascii="Arial" w:hAnsi="Arial"/>
                <w:snapToGrid w:val="0"/>
                <w:color w:val="000000"/>
                <w:sz w:val="16"/>
              </w:rPr>
            </w:pPr>
          </w:p>
        </w:tc>
        <w:tc>
          <w:tcPr>
            <w:tcW w:w="749" w:type="dxa"/>
            <w:tcBorders>
              <w:top w:val="nil"/>
              <w:bottom w:val="nil"/>
            </w:tcBorders>
          </w:tcPr>
          <w:p w:rsidR="00DD7F7C" w:rsidRDefault="00DD7F7C">
            <w:pPr>
              <w:jc w:val="center"/>
              <w:rPr>
                <w:rFonts w:ascii="Arial" w:hAnsi="Arial"/>
                <w:snapToGrid w:val="0"/>
                <w:color w:val="000000"/>
                <w:sz w:val="16"/>
              </w:rPr>
            </w:pPr>
          </w:p>
        </w:tc>
        <w:tc>
          <w:tcPr>
            <w:tcW w:w="748" w:type="dxa"/>
            <w:tcBorders>
              <w:top w:val="nil"/>
              <w:bottom w:val="nil"/>
            </w:tcBorders>
          </w:tcPr>
          <w:p w:rsidR="00DD7F7C" w:rsidRDefault="00DD7F7C">
            <w:pPr>
              <w:jc w:val="center"/>
              <w:rPr>
                <w:rFonts w:ascii="Arial" w:hAnsi="Arial"/>
                <w:snapToGrid w:val="0"/>
                <w:color w:val="000000"/>
                <w:sz w:val="16"/>
              </w:rPr>
            </w:pPr>
          </w:p>
        </w:tc>
        <w:tc>
          <w:tcPr>
            <w:tcW w:w="687" w:type="dxa"/>
            <w:tcBorders>
              <w:top w:val="nil"/>
              <w:bottom w:val="nil"/>
            </w:tcBorders>
          </w:tcPr>
          <w:p w:rsidR="00DD7F7C" w:rsidRDefault="00DD7F7C">
            <w:pPr>
              <w:jc w:val="center"/>
              <w:rPr>
                <w:rFonts w:ascii="Arial" w:hAnsi="Arial"/>
                <w:snapToGrid w:val="0"/>
                <w:color w:val="000000"/>
                <w:sz w:val="16"/>
              </w:rPr>
            </w:pPr>
          </w:p>
        </w:tc>
        <w:tc>
          <w:tcPr>
            <w:tcW w:w="916" w:type="dxa"/>
            <w:tcBorders>
              <w:top w:val="nil"/>
              <w:bottom w:val="nil"/>
            </w:tcBorders>
          </w:tcPr>
          <w:p w:rsidR="00DD7F7C" w:rsidRDefault="00DD7F7C">
            <w:pPr>
              <w:jc w:val="center"/>
              <w:rPr>
                <w:rFonts w:ascii="Arial" w:hAnsi="Arial"/>
                <w:snapToGrid w:val="0"/>
                <w:color w:val="000000"/>
                <w:sz w:val="16"/>
              </w:rPr>
            </w:pPr>
          </w:p>
        </w:tc>
        <w:tc>
          <w:tcPr>
            <w:tcW w:w="708" w:type="dxa"/>
            <w:tcBorders>
              <w:top w:val="nil"/>
              <w:bottom w:val="nil"/>
            </w:tcBorders>
          </w:tcPr>
          <w:p w:rsidR="00DD7F7C" w:rsidRDefault="00DD7F7C">
            <w:pPr>
              <w:jc w:val="center"/>
              <w:rPr>
                <w:rFonts w:ascii="Arial" w:hAnsi="Arial"/>
                <w:snapToGrid w:val="0"/>
                <w:color w:val="000000"/>
                <w:sz w:val="16"/>
              </w:rPr>
            </w:pPr>
          </w:p>
        </w:tc>
      </w:tr>
      <w:tr w:rsidR="00DD7F7C">
        <w:trPr>
          <w:trHeight w:val="250"/>
        </w:trPr>
        <w:tc>
          <w:tcPr>
            <w:tcW w:w="2280" w:type="dxa"/>
            <w:tcBorders>
              <w:top w:val="nil"/>
              <w:bottom w:val="nil"/>
            </w:tcBorders>
          </w:tcPr>
          <w:p w:rsidR="00DD7F7C" w:rsidRDefault="00DD7F7C">
            <w:pPr>
              <w:rPr>
                <w:rFonts w:ascii="Arial" w:hAnsi="Arial"/>
                <w:snapToGrid w:val="0"/>
                <w:color w:val="000000"/>
                <w:sz w:val="16"/>
              </w:rPr>
            </w:pPr>
            <w:r>
              <w:rPr>
                <w:rFonts w:ascii="Arial" w:hAnsi="Arial"/>
                <w:snapToGrid w:val="0"/>
                <w:color w:val="000000"/>
                <w:sz w:val="16"/>
              </w:rPr>
              <w:t>Производство товаров</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534,7</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38,5</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601,9</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37,7</w:t>
            </w:r>
          </w:p>
        </w:tc>
        <w:tc>
          <w:tcPr>
            <w:tcW w:w="75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895,3</w:t>
            </w:r>
          </w:p>
        </w:tc>
        <w:tc>
          <w:tcPr>
            <w:tcW w:w="74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46,5</w:t>
            </w:r>
          </w:p>
        </w:tc>
        <w:tc>
          <w:tcPr>
            <w:tcW w:w="74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2031,9</w:t>
            </w:r>
          </w:p>
        </w:tc>
        <w:tc>
          <w:tcPr>
            <w:tcW w:w="68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41,4</w:t>
            </w:r>
          </w:p>
        </w:tc>
        <w:tc>
          <w:tcPr>
            <w:tcW w:w="916"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2859,3</w:t>
            </w:r>
          </w:p>
        </w:tc>
        <w:tc>
          <w:tcPr>
            <w:tcW w:w="70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41,2</w:t>
            </w:r>
          </w:p>
        </w:tc>
      </w:tr>
      <w:tr w:rsidR="00DD7F7C">
        <w:trPr>
          <w:trHeight w:val="250"/>
        </w:trPr>
        <w:tc>
          <w:tcPr>
            <w:tcW w:w="2280" w:type="dxa"/>
            <w:tcBorders>
              <w:top w:val="nil"/>
              <w:bottom w:val="nil"/>
            </w:tcBorders>
          </w:tcPr>
          <w:p w:rsidR="00DD7F7C" w:rsidRDefault="00DD7F7C">
            <w:pPr>
              <w:rPr>
                <w:rFonts w:ascii="Arial" w:hAnsi="Arial"/>
                <w:snapToGrid w:val="0"/>
                <w:color w:val="000000"/>
                <w:sz w:val="16"/>
              </w:rPr>
            </w:pPr>
            <w:r>
              <w:rPr>
                <w:rFonts w:ascii="Arial" w:hAnsi="Arial"/>
                <w:snapToGrid w:val="0"/>
                <w:color w:val="000000"/>
                <w:sz w:val="16"/>
              </w:rPr>
              <w:t>Производство услуг</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675,9</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48,6</w:t>
            </w:r>
          </w:p>
        </w:tc>
        <w:tc>
          <w:tcPr>
            <w:tcW w:w="67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789,3</w:t>
            </w:r>
          </w:p>
        </w:tc>
        <w:tc>
          <w:tcPr>
            <w:tcW w:w="734"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49,6</w:t>
            </w:r>
          </w:p>
        </w:tc>
        <w:tc>
          <w:tcPr>
            <w:tcW w:w="75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813,9</w:t>
            </w:r>
          </w:p>
        </w:tc>
        <w:tc>
          <w:tcPr>
            <w:tcW w:w="749"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42,3</w:t>
            </w:r>
          </w:p>
        </w:tc>
        <w:tc>
          <w:tcPr>
            <w:tcW w:w="74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2279,1</w:t>
            </w:r>
          </w:p>
        </w:tc>
        <w:tc>
          <w:tcPr>
            <w:tcW w:w="687"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46,4</w:t>
            </w:r>
          </w:p>
        </w:tc>
        <w:tc>
          <w:tcPr>
            <w:tcW w:w="916"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3393,7</w:t>
            </w:r>
          </w:p>
        </w:tc>
        <w:tc>
          <w:tcPr>
            <w:tcW w:w="708" w:type="dxa"/>
            <w:tcBorders>
              <w:top w:val="nil"/>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48,9</w:t>
            </w:r>
          </w:p>
        </w:tc>
      </w:tr>
      <w:tr w:rsidR="00DD7F7C">
        <w:trPr>
          <w:trHeight w:val="629"/>
        </w:trPr>
        <w:tc>
          <w:tcPr>
            <w:tcW w:w="2280" w:type="dxa"/>
            <w:tcBorders>
              <w:top w:val="nil"/>
              <w:bottom w:val="single" w:sz="4" w:space="0" w:color="auto"/>
            </w:tcBorders>
          </w:tcPr>
          <w:p w:rsidR="00DD7F7C" w:rsidRDefault="00DD7F7C">
            <w:pPr>
              <w:rPr>
                <w:rFonts w:ascii="Arial" w:hAnsi="Arial"/>
                <w:snapToGrid w:val="0"/>
                <w:color w:val="000000"/>
                <w:sz w:val="16"/>
              </w:rPr>
            </w:pPr>
            <w:r>
              <w:rPr>
                <w:rFonts w:ascii="Arial" w:hAnsi="Arial"/>
                <w:snapToGrid w:val="0"/>
                <w:color w:val="000000"/>
                <w:sz w:val="16"/>
              </w:rPr>
              <w:t xml:space="preserve">Чистые (за вычетом субсидий) налоги на продукты </w:t>
            </w:r>
          </w:p>
        </w:tc>
        <w:tc>
          <w:tcPr>
            <w:tcW w:w="734"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178,5</w:t>
            </w:r>
          </w:p>
        </w:tc>
        <w:tc>
          <w:tcPr>
            <w:tcW w:w="677"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12,9</w:t>
            </w:r>
          </w:p>
        </w:tc>
        <w:tc>
          <w:tcPr>
            <w:tcW w:w="677"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204,1</w:t>
            </w:r>
          </w:p>
        </w:tc>
        <w:tc>
          <w:tcPr>
            <w:tcW w:w="734"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12,7</w:t>
            </w:r>
          </w:p>
        </w:tc>
        <w:tc>
          <w:tcPr>
            <w:tcW w:w="759"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215,2</w:t>
            </w:r>
          </w:p>
        </w:tc>
        <w:tc>
          <w:tcPr>
            <w:tcW w:w="749"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11,2</w:t>
            </w:r>
          </w:p>
        </w:tc>
        <w:tc>
          <w:tcPr>
            <w:tcW w:w="748"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597,8</w:t>
            </w:r>
          </w:p>
        </w:tc>
        <w:tc>
          <w:tcPr>
            <w:tcW w:w="687"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12,2</w:t>
            </w:r>
          </w:p>
        </w:tc>
        <w:tc>
          <w:tcPr>
            <w:tcW w:w="916"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687,1</w:t>
            </w:r>
          </w:p>
        </w:tc>
        <w:tc>
          <w:tcPr>
            <w:tcW w:w="708" w:type="dxa"/>
            <w:tcBorders>
              <w:top w:val="nil"/>
              <w:bottom w:val="single" w:sz="4" w:space="0" w:color="auto"/>
            </w:tcBorders>
          </w:tcPr>
          <w:p w:rsidR="00DD7F7C" w:rsidRDefault="00DD7F7C">
            <w:pPr>
              <w:jc w:val="center"/>
              <w:rPr>
                <w:rFonts w:ascii="Arial" w:hAnsi="Arial"/>
                <w:snapToGrid w:val="0"/>
                <w:color w:val="000000"/>
                <w:sz w:val="16"/>
              </w:rPr>
            </w:pPr>
          </w:p>
          <w:p w:rsidR="00DD7F7C" w:rsidRDefault="00DD7F7C">
            <w:pPr>
              <w:jc w:val="center"/>
              <w:rPr>
                <w:rFonts w:ascii="Arial" w:hAnsi="Arial"/>
                <w:snapToGrid w:val="0"/>
                <w:color w:val="000000"/>
                <w:sz w:val="16"/>
              </w:rPr>
            </w:pPr>
            <w:r>
              <w:rPr>
                <w:rFonts w:ascii="Arial" w:hAnsi="Arial"/>
                <w:snapToGrid w:val="0"/>
                <w:color w:val="000000"/>
                <w:sz w:val="16"/>
              </w:rPr>
              <w:t>9,9</w:t>
            </w:r>
          </w:p>
        </w:tc>
      </w:tr>
    </w:tbl>
    <w:p w:rsidR="00DD7F7C" w:rsidRDefault="00DD7F7C">
      <w:pPr>
        <w:pStyle w:val="a5"/>
        <w:ind w:firstLine="0"/>
        <w:jc w:val="left"/>
      </w:pPr>
    </w:p>
    <w:p w:rsidR="00DD7F7C" w:rsidRDefault="002A07F1">
      <w:pPr>
        <w:pStyle w:val="a5"/>
        <w:ind w:firstLine="0"/>
      </w:pPr>
      <w:r>
        <w:object w:dxaOrig="1440" w:dyaOrig="1440">
          <v:shape id="_x0000_s1026" type="#_x0000_t75" style="position:absolute;left:0;text-align:left;margin-left:73.35pt;margin-top:217.2pt;width:331.55pt;height:218.75pt;z-index:251656192" o:allowincell="f">
            <v:imagedata r:id="rId11" o:title=""/>
            <w10:wrap type="topAndBottom"/>
          </v:shape>
          <o:OLEObject Type="Embed" ProgID="Excel.Sheet.8" ShapeID="_x0000_s1026" DrawAspect="Content" ObjectID="_1469611203" r:id="rId12"/>
        </w:object>
      </w:r>
      <w:r w:rsidR="00DD7F7C">
        <w:t xml:space="preserve">    Так как увеличивается производство товаров, следовательно, имеет место рост промышленного производства. Его можно объяснить тем, что российская промышленность вступила в 2000 год на фоне заметного увеличения темпов выпуска продукции в 1999 году, обусловленного эффектом девальвации российского рубля (расширение поставок на экспорт продукции ряда отраслей, развитие процесса импортозамещения), улучшением финансового положения промышленных предприятий и рядом других факторов, в том числе расширением внутреннего спроса – инвестиционного и потребительского, и наращиванием объемов экспорта. Однако, за последние 6 лет наблюдался другой процесс – уменьшение доли отраслей, производящих товары и увеличение доли отраслей, производящих различные услуги (см. рис. 3 и таблицу 2). </w:t>
      </w:r>
    </w:p>
    <w:p w:rsidR="00DD7F7C" w:rsidRDefault="00DD7F7C">
      <w:pPr>
        <w:pStyle w:val="a5"/>
        <w:ind w:firstLine="0"/>
      </w:pPr>
    </w:p>
    <w:p w:rsidR="00DD7F7C" w:rsidRDefault="00DD7F7C">
      <w:pPr>
        <w:pStyle w:val="a5"/>
        <w:ind w:firstLine="0"/>
        <w:jc w:val="right"/>
      </w:pPr>
    </w:p>
    <w:p w:rsidR="00DD7F7C" w:rsidRDefault="00DD7F7C">
      <w:pPr>
        <w:pStyle w:val="a5"/>
        <w:ind w:firstLine="0"/>
        <w:jc w:val="right"/>
      </w:pPr>
      <w:r>
        <w:t xml:space="preserve">Таблица 2 </w:t>
      </w:r>
    </w:p>
    <w:p w:rsidR="00DD7F7C" w:rsidRDefault="00DD7F7C">
      <w:pPr>
        <w:pStyle w:val="a5"/>
        <w:ind w:firstLine="0"/>
        <w:jc w:val="center"/>
      </w:pPr>
      <w:r>
        <w:t>Структура производства валового внутреннего продукта по отраслям в         1995 – 1998 годах  (в % к итогу)</w:t>
      </w:r>
    </w:p>
    <w:p w:rsidR="00DD7F7C" w:rsidRDefault="00DD7F7C">
      <w:pPr>
        <w:pStyle w:val="a5"/>
        <w:ind w:firstLine="0"/>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65"/>
        <w:gridCol w:w="1701"/>
        <w:gridCol w:w="1701"/>
        <w:gridCol w:w="1701"/>
        <w:gridCol w:w="1701"/>
      </w:tblGrid>
      <w:tr w:rsidR="00DD7F7C">
        <w:trPr>
          <w:trHeight w:val="250"/>
        </w:trPr>
        <w:tc>
          <w:tcPr>
            <w:tcW w:w="2865" w:type="dxa"/>
            <w:tcBorders>
              <w:top w:val="single" w:sz="4" w:space="0" w:color="auto"/>
              <w:bottom w:val="single" w:sz="4" w:space="0" w:color="auto"/>
            </w:tcBorders>
          </w:tcPr>
          <w:p w:rsidR="00DD7F7C" w:rsidRDefault="00DD7F7C">
            <w:pPr>
              <w:jc w:val="both"/>
              <w:rPr>
                <w:rFonts w:ascii="Arial" w:hAnsi="Arial"/>
                <w:snapToGrid w:val="0"/>
                <w:color w:val="000000"/>
                <w:sz w:val="16"/>
              </w:rPr>
            </w:pPr>
            <w:r>
              <w:rPr>
                <w:rFonts w:ascii="Arial" w:hAnsi="Arial"/>
                <w:snapToGrid w:val="0"/>
                <w:color w:val="000000"/>
                <w:sz w:val="16"/>
              </w:rPr>
              <w:t>Год</w:t>
            </w:r>
          </w:p>
        </w:tc>
        <w:tc>
          <w:tcPr>
            <w:tcW w:w="1701" w:type="dxa"/>
            <w:tcBorders>
              <w:top w:val="single" w:sz="4" w:space="0" w:color="auto"/>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1995</w:t>
            </w:r>
          </w:p>
        </w:tc>
        <w:tc>
          <w:tcPr>
            <w:tcW w:w="1701" w:type="dxa"/>
            <w:tcBorders>
              <w:top w:val="single" w:sz="4" w:space="0" w:color="auto"/>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1996</w:t>
            </w:r>
          </w:p>
        </w:tc>
        <w:tc>
          <w:tcPr>
            <w:tcW w:w="1701" w:type="dxa"/>
            <w:tcBorders>
              <w:top w:val="single" w:sz="4" w:space="0" w:color="auto"/>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1997</w:t>
            </w:r>
          </w:p>
        </w:tc>
        <w:tc>
          <w:tcPr>
            <w:tcW w:w="1701" w:type="dxa"/>
            <w:tcBorders>
              <w:top w:val="single" w:sz="4" w:space="0" w:color="auto"/>
              <w:bottom w:val="single" w:sz="4" w:space="0" w:color="auto"/>
            </w:tcBorders>
          </w:tcPr>
          <w:p w:rsidR="00DD7F7C" w:rsidRDefault="00DD7F7C">
            <w:pPr>
              <w:jc w:val="center"/>
              <w:rPr>
                <w:rFonts w:ascii="Arial" w:hAnsi="Arial"/>
                <w:snapToGrid w:val="0"/>
                <w:color w:val="000000"/>
                <w:sz w:val="16"/>
              </w:rPr>
            </w:pPr>
            <w:r>
              <w:rPr>
                <w:rFonts w:ascii="Arial" w:hAnsi="Arial"/>
                <w:snapToGrid w:val="0"/>
                <w:color w:val="000000"/>
                <w:sz w:val="16"/>
              </w:rPr>
              <w:t>1998</w:t>
            </w:r>
          </w:p>
        </w:tc>
      </w:tr>
      <w:tr w:rsidR="00DD7F7C">
        <w:trPr>
          <w:trHeight w:val="228"/>
        </w:trPr>
        <w:tc>
          <w:tcPr>
            <w:tcW w:w="2865" w:type="dxa"/>
            <w:tcBorders>
              <w:top w:val="single" w:sz="4" w:space="0" w:color="auto"/>
              <w:bottom w:val="nil"/>
            </w:tcBorders>
          </w:tcPr>
          <w:p w:rsidR="00DD7F7C" w:rsidRDefault="00DD7F7C">
            <w:pPr>
              <w:jc w:val="both"/>
              <w:rPr>
                <w:rFonts w:ascii="Arial" w:hAnsi="Arial"/>
                <w:snapToGrid w:val="0"/>
                <w:color w:val="000000"/>
                <w:sz w:val="16"/>
              </w:rPr>
            </w:pPr>
            <w:r>
              <w:rPr>
                <w:rFonts w:ascii="Arial" w:hAnsi="Arial"/>
                <w:snapToGrid w:val="0"/>
                <w:color w:val="000000"/>
                <w:sz w:val="16"/>
              </w:rPr>
              <w:t>Валовой внутренний продукт - всего</w:t>
            </w:r>
          </w:p>
        </w:tc>
        <w:tc>
          <w:tcPr>
            <w:tcW w:w="1701"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1701"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1701"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c>
          <w:tcPr>
            <w:tcW w:w="1701" w:type="dxa"/>
            <w:tcBorders>
              <w:top w:val="single" w:sz="4" w:space="0" w:color="auto"/>
              <w:bottom w:val="nil"/>
            </w:tcBorders>
          </w:tcPr>
          <w:p w:rsidR="00DD7F7C" w:rsidRDefault="00DD7F7C">
            <w:pPr>
              <w:jc w:val="center"/>
              <w:rPr>
                <w:rFonts w:ascii="Arial" w:hAnsi="Arial"/>
                <w:snapToGrid w:val="0"/>
                <w:color w:val="000000"/>
                <w:sz w:val="16"/>
              </w:rPr>
            </w:pPr>
            <w:r>
              <w:rPr>
                <w:rFonts w:ascii="Arial" w:hAnsi="Arial"/>
                <w:snapToGrid w:val="0"/>
                <w:color w:val="000000"/>
                <w:sz w:val="16"/>
              </w:rPr>
              <w:t>100,0</w:t>
            </w:r>
          </w:p>
        </w:tc>
      </w:tr>
      <w:tr w:rsidR="00DD7F7C">
        <w:trPr>
          <w:trHeight w:val="250"/>
        </w:trPr>
        <w:tc>
          <w:tcPr>
            <w:tcW w:w="2865" w:type="dxa"/>
            <w:tcBorders>
              <w:top w:val="nil"/>
            </w:tcBorders>
          </w:tcPr>
          <w:p w:rsidR="00DD7F7C" w:rsidRDefault="00DD7F7C">
            <w:pPr>
              <w:jc w:val="both"/>
              <w:rPr>
                <w:rFonts w:ascii="Arial" w:hAnsi="Arial"/>
                <w:snapToGrid w:val="0"/>
                <w:color w:val="000000"/>
                <w:sz w:val="12"/>
              </w:rPr>
            </w:pPr>
            <w:r>
              <w:rPr>
                <w:rFonts w:ascii="Arial" w:hAnsi="Arial"/>
                <w:snapToGrid w:val="0"/>
                <w:color w:val="000000"/>
                <w:sz w:val="16"/>
              </w:rPr>
              <w:t xml:space="preserve">в том числе: </w:t>
            </w:r>
          </w:p>
        </w:tc>
        <w:tc>
          <w:tcPr>
            <w:tcW w:w="1701" w:type="dxa"/>
            <w:tcBorders>
              <w:top w:val="nil"/>
            </w:tcBorders>
          </w:tcPr>
          <w:p w:rsidR="00DD7F7C" w:rsidRDefault="00DD7F7C">
            <w:pPr>
              <w:jc w:val="center"/>
              <w:rPr>
                <w:rFonts w:ascii="Arial" w:hAnsi="Arial"/>
                <w:snapToGrid w:val="0"/>
                <w:color w:val="000000"/>
                <w:sz w:val="16"/>
              </w:rPr>
            </w:pPr>
          </w:p>
        </w:tc>
        <w:tc>
          <w:tcPr>
            <w:tcW w:w="1701" w:type="dxa"/>
            <w:tcBorders>
              <w:top w:val="nil"/>
            </w:tcBorders>
          </w:tcPr>
          <w:p w:rsidR="00DD7F7C" w:rsidRDefault="00DD7F7C">
            <w:pPr>
              <w:jc w:val="center"/>
              <w:rPr>
                <w:rFonts w:ascii="Arial" w:hAnsi="Arial"/>
                <w:snapToGrid w:val="0"/>
                <w:color w:val="000000"/>
                <w:sz w:val="16"/>
              </w:rPr>
            </w:pPr>
          </w:p>
        </w:tc>
        <w:tc>
          <w:tcPr>
            <w:tcW w:w="1701" w:type="dxa"/>
            <w:tcBorders>
              <w:top w:val="nil"/>
            </w:tcBorders>
          </w:tcPr>
          <w:p w:rsidR="00DD7F7C" w:rsidRDefault="00DD7F7C">
            <w:pPr>
              <w:jc w:val="center"/>
              <w:rPr>
                <w:rFonts w:ascii="Arial" w:hAnsi="Arial"/>
                <w:snapToGrid w:val="0"/>
                <w:color w:val="000000"/>
                <w:sz w:val="16"/>
              </w:rPr>
            </w:pPr>
          </w:p>
        </w:tc>
        <w:tc>
          <w:tcPr>
            <w:tcW w:w="1701" w:type="dxa"/>
            <w:tcBorders>
              <w:top w:val="nil"/>
            </w:tcBorders>
          </w:tcPr>
          <w:p w:rsidR="00DD7F7C" w:rsidRDefault="00DD7F7C">
            <w:pPr>
              <w:jc w:val="center"/>
              <w:rPr>
                <w:rFonts w:ascii="Arial" w:hAnsi="Arial"/>
                <w:snapToGrid w:val="0"/>
                <w:color w:val="000000"/>
                <w:sz w:val="16"/>
              </w:rPr>
            </w:pP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6"/>
              </w:rPr>
              <w:t>Производство товаров</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48,0</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46,3</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44,1</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42,7</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6"/>
              </w:rPr>
              <w:t>Из них:</w:t>
            </w:r>
          </w:p>
        </w:tc>
        <w:tc>
          <w:tcPr>
            <w:tcW w:w="1701" w:type="dxa"/>
          </w:tcPr>
          <w:p w:rsidR="00DD7F7C" w:rsidRDefault="00DD7F7C">
            <w:pPr>
              <w:jc w:val="center"/>
              <w:rPr>
                <w:rFonts w:ascii="Arial" w:hAnsi="Arial"/>
                <w:snapToGrid w:val="0"/>
                <w:color w:val="000000"/>
                <w:sz w:val="16"/>
              </w:rPr>
            </w:pPr>
          </w:p>
        </w:tc>
        <w:tc>
          <w:tcPr>
            <w:tcW w:w="1701" w:type="dxa"/>
          </w:tcPr>
          <w:p w:rsidR="00DD7F7C" w:rsidRDefault="00DD7F7C">
            <w:pPr>
              <w:jc w:val="center"/>
              <w:rPr>
                <w:rFonts w:ascii="Arial" w:hAnsi="Arial"/>
                <w:snapToGrid w:val="0"/>
                <w:color w:val="000000"/>
                <w:sz w:val="16"/>
              </w:rPr>
            </w:pPr>
          </w:p>
        </w:tc>
        <w:tc>
          <w:tcPr>
            <w:tcW w:w="1701" w:type="dxa"/>
          </w:tcPr>
          <w:p w:rsidR="00DD7F7C" w:rsidRDefault="00DD7F7C">
            <w:pPr>
              <w:jc w:val="center"/>
              <w:rPr>
                <w:rFonts w:ascii="Arial" w:hAnsi="Arial"/>
                <w:snapToGrid w:val="0"/>
                <w:color w:val="000000"/>
                <w:sz w:val="16"/>
              </w:rPr>
            </w:pPr>
          </w:p>
        </w:tc>
        <w:tc>
          <w:tcPr>
            <w:tcW w:w="1701" w:type="dxa"/>
          </w:tcPr>
          <w:p w:rsidR="00DD7F7C" w:rsidRDefault="00DD7F7C">
            <w:pPr>
              <w:jc w:val="center"/>
              <w:rPr>
                <w:rFonts w:ascii="Arial" w:hAnsi="Arial"/>
                <w:snapToGrid w:val="0"/>
                <w:color w:val="000000"/>
                <w:sz w:val="16"/>
              </w:rPr>
            </w:pP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2"/>
              </w:rPr>
              <w:t>П</w:t>
            </w:r>
            <w:r>
              <w:rPr>
                <w:rFonts w:ascii="Arial" w:hAnsi="Arial"/>
                <w:snapToGrid w:val="0"/>
                <w:color w:val="000000"/>
                <w:sz w:val="16"/>
              </w:rPr>
              <w:t>ромышленность</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30,7</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29,9</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28,6</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28,1</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2"/>
              </w:rPr>
              <w:t>С</w:t>
            </w:r>
            <w:r>
              <w:rPr>
                <w:rFonts w:ascii="Arial" w:hAnsi="Arial"/>
                <w:snapToGrid w:val="0"/>
                <w:color w:val="000000"/>
                <w:sz w:val="16"/>
              </w:rPr>
              <w:t>ельское хозяйство</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7,6</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7,3</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7,1</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6,5</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2"/>
              </w:rPr>
              <w:t>С</w:t>
            </w:r>
            <w:r>
              <w:rPr>
                <w:rFonts w:ascii="Arial" w:hAnsi="Arial"/>
                <w:snapToGrid w:val="0"/>
                <w:color w:val="000000"/>
                <w:sz w:val="16"/>
              </w:rPr>
              <w:t>троительство</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8,8</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8,2</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7,8</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7,1</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6"/>
              </w:rPr>
              <w:t>Производство услуг</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52,0</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53,7</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55,9</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57,3</w:t>
            </w:r>
          </w:p>
        </w:tc>
      </w:tr>
      <w:tr w:rsidR="00DD7F7C">
        <w:trPr>
          <w:trHeight w:val="59"/>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6"/>
              </w:rPr>
              <w:t>Из них рыночных</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39,5</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40,3</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41,7</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45,3</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6"/>
              </w:rPr>
              <w:t>В т. ч.</w:t>
            </w:r>
          </w:p>
        </w:tc>
        <w:tc>
          <w:tcPr>
            <w:tcW w:w="1701" w:type="dxa"/>
          </w:tcPr>
          <w:p w:rsidR="00DD7F7C" w:rsidRDefault="00DD7F7C">
            <w:pPr>
              <w:jc w:val="center"/>
              <w:rPr>
                <w:rFonts w:ascii="Arial" w:hAnsi="Arial"/>
                <w:snapToGrid w:val="0"/>
                <w:color w:val="000000"/>
                <w:sz w:val="16"/>
              </w:rPr>
            </w:pPr>
          </w:p>
        </w:tc>
        <w:tc>
          <w:tcPr>
            <w:tcW w:w="1701" w:type="dxa"/>
          </w:tcPr>
          <w:p w:rsidR="00DD7F7C" w:rsidRDefault="00DD7F7C">
            <w:pPr>
              <w:jc w:val="center"/>
              <w:rPr>
                <w:rFonts w:ascii="Arial" w:hAnsi="Arial"/>
                <w:snapToGrid w:val="0"/>
                <w:color w:val="000000"/>
                <w:sz w:val="16"/>
              </w:rPr>
            </w:pPr>
          </w:p>
        </w:tc>
        <w:tc>
          <w:tcPr>
            <w:tcW w:w="1701" w:type="dxa"/>
          </w:tcPr>
          <w:p w:rsidR="00DD7F7C" w:rsidRDefault="00DD7F7C">
            <w:pPr>
              <w:jc w:val="center"/>
              <w:rPr>
                <w:rFonts w:ascii="Arial" w:hAnsi="Arial"/>
                <w:snapToGrid w:val="0"/>
                <w:color w:val="000000"/>
                <w:sz w:val="16"/>
              </w:rPr>
            </w:pPr>
          </w:p>
        </w:tc>
        <w:tc>
          <w:tcPr>
            <w:tcW w:w="1701" w:type="dxa"/>
          </w:tcPr>
          <w:p w:rsidR="00DD7F7C" w:rsidRDefault="00DD7F7C">
            <w:pPr>
              <w:jc w:val="center"/>
              <w:rPr>
                <w:rFonts w:ascii="Arial" w:hAnsi="Arial"/>
                <w:snapToGrid w:val="0"/>
                <w:color w:val="000000"/>
                <w:sz w:val="16"/>
              </w:rPr>
            </w:pP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2"/>
              </w:rPr>
              <w:t>Т</w:t>
            </w:r>
            <w:r>
              <w:rPr>
                <w:rFonts w:ascii="Arial" w:hAnsi="Arial"/>
                <w:snapToGrid w:val="0"/>
                <w:color w:val="000000"/>
                <w:sz w:val="16"/>
              </w:rPr>
              <w:t>ранспорт и связь</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11,1</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13,3</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12,2</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11,9</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2"/>
              </w:rPr>
              <w:t>Т</w:t>
            </w:r>
            <w:r>
              <w:rPr>
                <w:rFonts w:ascii="Arial" w:hAnsi="Arial"/>
                <w:snapToGrid w:val="0"/>
                <w:color w:val="000000"/>
                <w:sz w:val="16"/>
              </w:rPr>
              <w:t>орговля</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18,5</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15,9</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16,6</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19,3</w:t>
            </w:r>
          </w:p>
        </w:tc>
      </w:tr>
      <w:tr w:rsidR="00DD7F7C">
        <w:trPr>
          <w:trHeight w:val="250"/>
        </w:trPr>
        <w:tc>
          <w:tcPr>
            <w:tcW w:w="2865" w:type="dxa"/>
          </w:tcPr>
          <w:p w:rsidR="00DD7F7C" w:rsidRDefault="00DD7F7C">
            <w:pPr>
              <w:jc w:val="both"/>
              <w:rPr>
                <w:rFonts w:ascii="Arial" w:hAnsi="Arial"/>
                <w:snapToGrid w:val="0"/>
                <w:color w:val="000000"/>
                <w:sz w:val="16"/>
              </w:rPr>
            </w:pPr>
            <w:r>
              <w:rPr>
                <w:rFonts w:ascii="Arial" w:hAnsi="Arial"/>
                <w:snapToGrid w:val="0"/>
                <w:color w:val="000000"/>
                <w:sz w:val="16"/>
              </w:rPr>
              <w:t xml:space="preserve">Нерыночные услуги </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12,5</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13,4</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14,2</w:t>
            </w:r>
          </w:p>
        </w:tc>
        <w:tc>
          <w:tcPr>
            <w:tcW w:w="1701" w:type="dxa"/>
          </w:tcPr>
          <w:p w:rsidR="00DD7F7C" w:rsidRDefault="00DD7F7C">
            <w:pPr>
              <w:jc w:val="center"/>
              <w:rPr>
                <w:rFonts w:ascii="Arial" w:hAnsi="Arial"/>
                <w:snapToGrid w:val="0"/>
                <w:color w:val="000000"/>
                <w:sz w:val="16"/>
              </w:rPr>
            </w:pPr>
            <w:r>
              <w:rPr>
                <w:rFonts w:ascii="Arial" w:hAnsi="Arial"/>
                <w:snapToGrid w:val="0"/>
                <w:color w:val="000000"/>
                <w:sz w:val="16"/>
              </w:rPr>
              <w:t>12,0</w:t>
            </w:r>
          </w:p>
        </w:tc>
      </w:tr>
    </w:tbl>
    <w:p w:rsidR="00DD7F7C" w:rsidRDefault="00DD7F7C">
      <w:pPr>
        <w:pStyle w:val="a5"/>
        <w:ind w:firstLine="0"/>
        <w:jc w:val="center"/>
      </w:pPr>
    </w:p>
    <w:p w:rsidR="00DD7F7C" w:rsidRDefault="00DD7F7C">
      <w:pPr>
        <w:pStyle w:val="a5"/>
        <w:ind w:firstLine="0"/>
      </w:pPr>
      <w:r>
        <w:t xml:space="preserve">     Динамика реального объема произведенного ВВП (см таблицу 3) показывает, что наиболее высокий темп роста в 2000 году преобладал в промышленном производстве и строительстве ( 9.0 % и 11.5%), которые обеспечили опережающий темп производства товаров по сравнению с производством услуг (8.6% и 6.7% соответственно). </w:t>
      </w:r>
    </w:p>
    <w:p w:rsidR="00DD7F7C" w:rsidRDefault="00DD7F7C">
      <w:pPr>
        <w:pStyle w:val="a5"/>
        <w:ind w:firstLine="0"/>
        <w:rPr>
          <w:b/>
        </w:rPr>
      </w:pPr>
    </w:p>
    <w:p w:rsidR="00DD7F7C" w:rsidRDefault="00DD7F7C">
      <w:pPr>
        <w:pStyle w:val="a5"/>
        <w:ind w:firstLine="0"/>
        <w:jc w:val="right"/>
      </w:pPr>
      <w:r>
        <w:t xml:space="preserve">Таблица 3 </w:t>
      </w:r>
    </w:p>
    <w:p w:rsidR="00DD7F7C" w:rsidRDefault="00DD7F7C">
      <w:pPr>
        <w:pStyle w:val="10"/>
        <w:jc w:val="center"/>
        <w:rPr>
          <w:sz w:val="28"/>
        </w:rPr>
      </w:pPr>
      <w:r>
        <w:rPr>
          <w:sz w:val="28"/>
        </w:rPr>
        <w:t>Динамика реального объема произведенного ВВП в 1998 – 2000 годах</w:t>
      </w:r>
      <w:r>
        <w:rPr>
          <w:sz w:val="28"/>
        </w:rPr>
        <w:br/>
        <w:t>(прирост, в % к предыдущему году)</w:t>
      </w:r>
    </w:p>
    <w:p w:rsidR="00DD7F7C" w:rsidRDefault="00DD7F7C">
      <w:pPr>
        <w:pStyle w:val="10"/>
        <w:jc w:val="both"/>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2226"/>
        <w:gridCol w:w="2694"/>
        <w:gridCol w:w="2551"/>
        <w:gridCol w:w="2083"/>
      </w:tblGrid>
      <w:tr w:rsidR="00DD7F7C">
        <w:trPr>
          <w:trHeight w:val="279"/>
          <w:jc w:val="center"/>
        </w:trPr>
        <w:tc>
          <w:tcPr>
            <w:tcW w:w="2226" w:type="dxa"/>
            <w:tcBorders>
              <w:top w:val="single" w:sz="4" w:space="0" w:color="auto"/>
              <w:bottom w:val="single" w:sz="4" w:space="0" w:color="auto"/>
            </w:tcBorders>
            <w:vAlign w:val="center"/>
          </w:tcPr>
          <w:p w:rsidR="00DD7F7C" w:rsidRDefault="00DD7F7C">
            <w:pPr>
              <w:pStyle w:val="10"/>
              <w:jc w:val="both"/>
              <w:rPr>
                <w:sz w:val="16"/>
              </w:rPr>
            </w:pPr>
            <w:r>
              <w:rPr>
                <w:sz w:val="16"/>
              </w:rPr>
              <w:t>Год</w:t>
            </w:r>
            <w:r>
              <w:rPr>
                <w:sz w:val="16"/>
              </w:rPr>
              <w:fldChar w:fldCharType="begin"/>
            </w:r>
            <w:r>
              <w:rPr>
                <w:sz w:val="16"/>
              </w:rPr>
              <w:instrText>PRIVATE</w:instrText>
            </w:r>
            <w:r>
              <w:rPr>
                <w:sz w:val="16"/>
              </w:rPr>
              <w:fldChar w:fldCharType="end"/>
            </w:r>
          </w:p>
        </w:tc>
        <w:tc>
          <w:tcPr>
            <w:tcW w:w="2694" w:type="dxa"/>
            <w:tcBorders>
              <w:top w:val="single" w:sz="4" w:space="0" w:color="auto"/>
              <w:bottom w:val="single" w:sz="4" w:space="0" w:color="auto"/>
            </w:tcBorders>
            <w:vAlign w:val="center"/>
          </w:tcPr>
          <w:p w:rsidR="00DD7F7C" w:rsidRDefault="00DD7F7C">
            <w:pPr>
              <w:pStyle w:val="10"/>
              <w:jc w:val="center"/>
              <w:rPr>
                <w:sz w:val="16"/>
              </w:rPr>
            </w:pPr>
            <w:r>
              <w:rPr>
                <w:sz w:val="16"/>
              </w:rPr>
              <w:t>1998</w:t>
            </w:r>
          </w:p>
        </w:tc>
        <w:tc>
          <w:tcPr>
            <w:tcW w:w="2551" w:type="dxa"/>
            <w:tcBorders>
              <w:top w:val="single" w:sz="4" w:space="0" w:color="auto"/>
              <w:bottom w:val="single" w:sz="4" w:space="0" w:color="auto"/>
            </w:tcBorders>
            <w:vAlign w:val="center"/>
          </w:tcPr>
          <w:p w:rsidR="00DD7F7C" w:rsidRDefault="00DD7F7C">
            <w:pPr>
              <w:pStyle w:val="10"/>
              <w:jc w:val="center"/>
              <w:rPr>
                <w:sz w:val="16"/>
              </w:rPr>
            </w:pPr>
            <w:r>
              <w:rPr>
                <w:sz w:val="16"/>
              </w:rPr>
              <w:t>1999</w:t>
            </w:r>
          </w:p>
        </w:tc>
        <w:tc>
          <w:tcPr>
            <w:tcW w:w="2083" w:type="dxa"/>
            <w:tcBorders>
              <w:top w:val="single" w:sz="4" w:space="0" w:color="auto"/>
              <w:bottom w:val="single" w:sz="4" w:space="0" w:color="auto"/>
            </w:tcBorders>
            <w:vAlign w:val="center"/>
          </w:tcPr>
          <w:p w:rsidR="00DD7F7C" w:rsidRDefault="00DD7F7C">
            <w:pPr>
              <w:pStyle w:val="10"/>
              <w:jc w:val="center"/>
              <w:rPr>
                <w:sz w:val="16"/>
              </w:rPr>
            </w:pPr>
            <w:r>
              <w:rPr>
                <w:sz w:val="16"/>
              </w:rPr>
              <w:t>2000</w:t>
            </w:r>
          </w:p>
        </w:tc>
      </w:tr>
      <w:tr w:rsidR="00DD7F7C">
        <w:trPr>
          <w:trHeight w:val="313"/>
          <w:jc w:val="center"/>
        </w:trPr>
        <w:tc>
          <w:tcPr>
            <w:tcW w:w="2226" w:type="dxa"/>
            <w:tcBorders>
              <w:top w:val="single" w:sz="4" w:space="0" w:color="auto"/>
              <w:bottom w:val="nil"/>
            </w:tcBorders>
            <w:vAlign w:val="center"/>
          </w:tcPr>
          <w:p w:rsidR="00DD7F7C" w:rsidRDefault="00DD7F7C">
            <w:pPr>
              <w:pStyle w:val="10"/>
              <w:jc w:val="both"/>
              <w:rPr>
                <w:sz w:val="16"/>
              </w:rPr>
            </w:pPr>
            <w:r>
              <w:rPr>
                <w:sz w:val="16"/>
              </w:rPr>
              <w:t>ВВП - всего</w:t>
            </w:r>
          </w:p>
        </w:tc>
        <w:tc>
          <w:tcPr>
            <w:tcW w:w="2694" w:type="dxa"/>
            <w:tcBorders>
              <w:top w:val="single" w:sz="4" w:space="0" w:color="auto"/>
              <w:bottom w:val="nil"/>
            </w:tcBorders>
            <w:vAlign w:val="center"/>
          </w:tcPr>
          <w:p w:rsidR="00DD7F7C" w:rsidRDefault="00DD7F7C">
            <w:pPr>
              <w:pStyle w:val="10"/>
              <w:jc w:val="center"/>
              <w:rPr>
                <w:sz w:val="16"/>
              </w:rPr>
            </w:pPr>
            <w:r>
              <w:rPr>
                <w:sz w:val="16"/>
              </w:rPr>
              <w:t>- 4,9</w:t>
            </w:r>
          </w:p>
        </w:tc>
        <w:tc>
          <w:tcPr>
            <w:tcW w:w="2551" w:type="dxa"/>
            <w:tcBorders>
              <w:top w:val="single" w:sz="4" w:space="0" w:color="auto"/>
              <w:bottom w:val="nil"/>
            </w:tcBorders>
            <w:vAlign w:val="center"/>
          </w:tcPr>
          <w:p w:rsidR="00DD7F7C" w:rsidRDefault="00DD7F7C">
            <w:pPr>
              <w:pStyle w:val="10"/>
              <w:jc w:val="center"/>
              <w:rPr>
                <w:sz w:val="16"/>
              </w:rPr>
            </w:pPr>
            <w:r>
              <w:rPr>
                <w:sz w:val="16"/>
              </w:rPr>
              <w:t>3,5</w:t>
            </w:r>
          </w:p>
        </w:tc>
        <w:tc>
          <w:tcPr>
            <w:tcW w:w="2083" w:type="dxa"/>
            <w:tcBorders>
              <w:top w:val="single" w:sz="4" w:space="0" w:color="auto"/>
              <w:bottom w:val="nil"/>
            </w:tcBorders>
            <w:vAlign w:val="center"/>
          </w:tcPr>
          <w:p w:rsidR="00DD7F7C" w:rsidRDefault="00DD7F7C">
            <w:pPr>
              <w:pStyle w:val="10"/>
              <w:jc w:val="center"/>
              <w:rPr>
                <w:sz w:val="16"/>
              </w:rPr>
            </w:pPr>
            <w:r>
              <w:rPr>
                <w:sz w:val="16"/>
              </w:rPr>
              <w:t>7,7</w:t>
            </w:r>
          </w:p>
        </w:tc>
      </w:tr>
      <w:tr w:rsidR="00DD7F7C">
        <w:trPr>
          <w:trHeight w:val="347"/>
          <w:jc w:val="center"/>
        </w:trPr>
        <w:tc>
          <w:tcPr>
            <w:tcW w:w="2226" w:type="dxa"/>
            <w:tcBorders>
              <w:top w:val="nil"/>
            </w:tcBorders>
            <w:vAlign w:val="center"/>
          </w:tcPr>
          <w:p w:rsidR="00DD7F7C" w:rsidRDefault="00DD7F7C">
            <w:pPr>
              <w:pStyle w:val="10"/>
              <w:jc w:val="both"/>
              <w:rPr>
                <w:sz w:val="16"/>
              </w:rPr>
            </w:pPr>
            <w:r>
              <w:rPr>
                <w:rFonts w:ascii="Arial" w:hAnsi="Arial"/>
                <w:color w:val="000000"/>
                <w:sz w:val="16"/>
              </w:rPr>
              <w:t>в том числе:</w:t>
            </w:r>
          </w:p>
        </w:tc>
        <w:tc>
          <w:tcPr>
            <w:tcW w:w="2694" w:type="dxa"/>
            <w:tcBorders>
              <w:top w:val="nil"/>
            </w:tcBorders>
            <w:vAlign w:val="center"/>
          </w:tcPr>
          <w:p w:rsidR="00DD7F7C" w:rsidRDefault="00DD7F7C">
            <w:pPr>
              <w:pStyle w:val="10"/>
              <w:jc w:val="center"/>
              <w:rPr>
                <w:sz w:val="16"/>
              </w:rPr>
            </w:pPr>
          </w:p>
        </w:tc>
        <w:tc>
          <w:tcPr>
            <w:tcW w:w="2551" w:type="dxa"/>
            <w:tcBorders>
              <w:top w:val="nil"/>
            </w:tcBorders>
            <w:vAlign w:val="center"/>
          </w:tcPr>
          <w:p w:rsidR="00DD7F7C" w:rsidRDefault="00DD7F7C">
            <w:pPr>
              <w:pStyle w:val="10"/>
              <w:jc w:val="center"/>
              <w:rPr>
                <w:sz w:val="16"/>
              </w:rPr>
            </w:pPr>
          </w:p>
        </w:tc>
        <w:tc>
          <w:tcPr>
            <w:tcW w:w="2083" w:type="dxa"/>
            <w:tcBorders>
              <w:top w:val="nil"/>
            </w:tcBorders>
            <w:vAlign w:val="center"/>
          </w:tcPr>
          <w:p w:rsidR="00DD7F7C" w:rsidRDefault="00DD7F7C">
            <w:pPr>
              <w:pStyle w:val="10"/>
              <w:jc w:val="center"/>
              <w:rPr>
                <w:sz w:val="16"/>
              </w:rPr>
            </w:pPr>
          </w:p>
        </w:tc>
      </w:tr>
      <w:tr w:rsidR="00DD7F7C">
        <w:trPr>
          <w:trHeight w:val="225"/>
          <w:jc w:val="center"/>
        </w:trPr>
        <w:tc>
          <w:tcPr>
            <w:tcW w:w="2226" w:type="dxa"/>
            <w:vAlign w:val="center"/>
          </w:tcPr>
          <w:p w:rsidR="00DD7F7C" w:rsidRDefault="00DD7F7C">
            <w:pPr>
              <w:pStyle w:val="10"/>
              <w:jc w:val="both"/>
              <w:rPr>
                <w:sz w:val="16"/>
              </w:rPr>
            </w:pPr>
            <w:r>
              <w:rPr>
                <w:sz w:val="16"/>
              </w:rPr>
              <w:t>Производство товаров</w:t>
            </w:r>
          </w:p>
        </w:tc>
        <w:tc>
          <w:tcPr>
            <w:tcW w:w="2694" w:type="dxa"/>
            <w:vAlign w:val="center"/>
          </w:tcPr>
          <w:p w:rsidR="00DD7F7C" w:rsidRDefault="00DD7F7C">
            <w:pPr>
              <w:pStyle w:val="10"/>
              <w:jc w:val="center"/>
              <w:rPr>
                <w:sz w:val="16"/>
              </w:rPr>
            </w:pPr>
            <w:r>
              <w:rPr>
                <w:sz w:val="16"/>
              </w:rPr>
              <w:t>- 7,4</w:t>
            </w:r>
          </w:p>
        </w:tc>
        <w:tc>
          <w:tcPr>
            <w:tcW w:w="2551" w:type="dxa"/>
            <w:vAlign w:val="center"/>
          </w:tcPr>
          <w:p w:rsidR="00DD7F7C" w:rsidRDefault="00DD7F7C">
            <w:pPr>
              <w:pStyle w:val="10"/>
              <w:jc w:val="center"/>
              <w:rPr>
                <w:sz w:val="16"/>
              </w:rPr>
            </w:pPr>
            <w:r>
              <w:rPr>
                <w:sz w:val="16"/>
              </w:rPr>
              <w:t>7,5</w:t>
            </w:r>
          </w:p>
        </w:tc>
        <w:tc>
          <w:tcPr>
            <w:tcW w:w="2083" w:type="dxa"/>
            <w:vAlign w:val="center"/>
          </w:tcPr>
          <w:p w:rsidR="00DD7F7C" w:rsidRDefault="00DD7F7C">
            <w:pPr>
              <w:pStyle w:val="10"/>
              <w:jc w:val="center"/>
              <w:rPr>
                <w:sz w:val="16"/>
              </w:rPr>
            </w:pPr>
            <w:r>
              <w:rPr>
                <w:sz w:val="16"/>
              </w:rPr>
              <w:t>8,6</w:t>
            </w:r>
          </w:p>
        </w:tc>
      </w:tr>
      <w:tr w:rsidR="00DD7F7C">
        <w:trPr>
          <w:trHeight w:val="259"/>
          <w:jc w:val="center"/>
        </w:trPr>
        <w:tc>
          <w:tcPr>
            <w:tcW w:w="2226" w:type="dxa"/>
            <w:vAlign w:val="center"/>
          </w:tcPr>
          <w:p w:rsidR="00DD7F7C" w:rsidRDefault="00DD7F7C">
            <w:pPr>
              <w:pStyle w:val="10"/>
              <w:jc w:val="both"/>
              <w:rPr>
                <w:sz w:val="16"/>
              </w:rPr>
            </w:pPr>
            <w:r>
              <w:rPr>
                <w:sz w:val="12"/>
              </w:rPr>
              <w:t>П</w:t>
            </w:r>
            <w:r>
              <w:rPr>
                <w:sz w:val="16"/>
              </w:rPr>
              <w:t>ромышленность</w:t>
            </w:r>
          </w:p>
        </w:tc>
        <w:tc>
          <w:tcPr>
            <w:tcW w:w="2694" w:type="dxa"/>
            <w:vAlign w:val="center"/>
          </w:tcPr>
          <w:p w:rsidR="00DD7F7C" w:rsidRDefault="00DD7F7C">
            <w:pPr>
              <w:pStyle w:val="10"/>
              <w:jc w:val="center"/>
              <w:rPr>
                <w:sz w:val="16"/>
              </w:rPr>
            </w:pPr>
            <w:r>
              <w:rPr>
                <w:sz w:val="16"/>
              </w:rPr>
              <w:t>- 5,2</w:t>
            </w:r>
          </w:p>
        </w:tc>
        <w:tc>
          <w:tcPr>
            <w:tcW w:w="2551" w:type="dxa"/>
            <w:vAlign w:val="center"/>
          </w:tcPr>
          <w:p w:rsidR="00DD7F7C" w:rsidRDefault="00DD7F7C">
            <w:pPr>
              <w:pStyle w:val="10"/>
              <w:jc w:val="center"/>
              <w:rPr>
                <w:sz w:val="16"/>
              </w:rPr>
            </w:pPr>
            <w:r>
              <w:rPr>
                <w:sz w:val="16"/>
              </w:rPr>
              <w:t>7,5</w:t>
            </w:r>
          </w:p>
        </w:tc>
        <w:tc>
          <w:tcPr>
            <w:tcW w:w="2083" w:type="dxa"/>
            <w:vAlign w:val="center"/>
          </w:tcPr>
          <w:p w:rsidR="00DD7F7C" w:rsidRDefault="00DD7F7C">
            <w:pPr>
              <w:pStyle w:val="10"/>
              <w:jc w:val="center"/>
              <w:rPr>
                <w:sz w:val="16"/>
              </w:rPr>
            </w:pPr>
            <w:r>
              <w:rPr>
                <w:sz w:val="16"/>
              </w:rPr>
              <w:t>9,0</w:t>
            </w:r>
          </w:p>
        </w:tc>
      </w:tr>
      <w:tr w:rsidR="00DD7F7C">
        <w:trPr>
          <w:trHeight w:val="307"/>
          <w:jc w:val="center"/>
        </w:trPr>
        <w:tc>
          <w:tcPr>
            <w:tcW w:w="2226" w:type="dxa"/>
            <w:vAlign w:val="center"/>
          </w:tcPr>
          <w:p w:rsidR="00DD7F7C" w:rsidRDefault="00DD7F7C">
            <w:pPr>
              <w:pStyle w:val="10"/>
              <w:jc w:val="both"/>
              <w:rPr>
                <w:sz w:val="16"/>
              </w:rPr>
            </w:pPr>
            <w:r>
              <w:rPr>
                <w:sz w:val="12"/>
              </w:rPr>
              <w:t>С</w:t>
            </w:r>
            <w:r>
              <w:rPr>
                <w:sz w:val="16"/>
              </w:rPr>
              <w:t>ельское хозяйство</w:t>
            </w:r>
          </w:p>
        </w:tc>
        <w:tc>
          <w:tcPr>
            <w:tcW w:w="2694" w:type="dxa"/>
            <w:vAlign w:val="center"/>
          </w:tcPr>
          <w:p w:rsidR="00DD7F7C" w:rsidRDefault="00DD7F7C">
            <w:pPr>
              <w:pStyle w:val="10"/>
              <w:jc w:val="center"/>
              <w:rPr>
                <w:sz w:val="16"/>
              </w:rPr>
            </w:pPr>
            <w:r>
              <w:rPr>
                <w:sz w:val="16"/>
              </w:rPr>
              <w:t>- 18,9</w:t>
            </w:r>
          </w:p>
        </w:tc>
        <w:tc>
          <w:tcPr>
            <w:tcW w:w="2551" w:type="dxa"/>
            <w:vAlign w:val="center"/>
          </w:tcPr>
          <w:p w:rsidR="00DD7F7C" w:rsidRDefault="00DD7F7C">
            <w:pPr>
              <w:pStyle w:val="10"/>
              <w:jc w:val="center"/>
              <w:rPr>
                <w:sz w:val="16"/>
              </w:rPr>
            </w:pPr>
            <w:r>
              <w:rPr>
                <w:sz w:val="16"/>
              </w:rPr>
              <w:t>10,7</w:t>
            </w:r>
          </w:p>
        </w:tc>
        <w:tc>
          <w:tcPr>
            <w:tcW w:w="2083" w:type="dxa"/>
            <w:vAlign w:val="center"/>
          </w:tcPr>
          <w:p w:rsidR="00DD7F7C" w:rsidRDefault="00DD7F7C">
            <w:pPr>
              <w:pStyle w:val="10"/>
              <w:jc w:val="center"/>
              <w:rPr>
                <w:sz w:val="16"/>
              </w:rPr>
            </w:pPr>
            <w:r>
              <w:rPr>
                <w:sz w:val="16"/>
              </w:rPr>
              <w:t>5,0</w:t>
            </w:r>
          </w:p>
        </w:tc>
      </w:tr>
      <w:tr w:rsidR="00DD7F7C">
        <w:trPr>
          <w:trHeight w:val="327"/>
          <w:jc w:val="center"/>
        </w:trPr>
        <w:tc>
          <w:tcPr>
            <w:tcW w:w="2226" w:type="dxa"/>
            <w:vAlign w:val="center"/>
          </w:tcPr>
          <w:p w:rsidR="00DD7F7C" w:rsidRDefault="00DD7F7C">
            <w:pPr>
              <w:pStyle w:val="10"/>
              <w:jc w:val="both"/>
              <w:rPr>
                <w:sz w:val="16"/>
              </w:rPr>
            </w:pPr>
            <w:r>
              <w:rPr>
                <w:sz w:val="12"/>
              </w:rPr>
              <w:t>С</w:t>
            </w:r>
            <w:r>
              <w:rPr>
                <w:sz w:val="16"/>
              </w:rPr>
              <w:t>троительство</w:t>
            </w:r>
          </w:p>
        </w:tc>
        <w:tc>
          <w:tcPr>
            <w:tcW w:w="2694" w:type="dxa"/>
            <w:vAlign w:val="center"/>
          </w:tcPr>
          <w:p w:rsidR="00DD7F7C" w:rsidRDefault="00DD7F7C">
            <w:pPr>
              <w:pStyle w:val="10"/>
              <w:jc w:val="center"/>
              <w:rPr>
                <w:sz w:val="16"/>
              </w:rPr>
            </w:pPr>
            <w:r>
              <w:rPr>
                <w:sz w:val="16"/>
              </w:rPr>
              <w:t>- 6,5</w:t>
            </w:r>
          </w:p>
        </w:tc>
        <w:tc>
          <w:tcPr>
            <w:tcW w:w="2551" w:type="dxa"/>
            <w:vAlign w:val="center"/>
          </w:tcPr>
          <w:p w:rsidR="00DD7F7C" w:rsidRDefault="00DD7F7C">
            <w:pPr>
              <w:pStyle w:val="10"/>
              <w:jc w:val="center"/>
              <w:rPr>
                <w:sz w:val="16"/>
              </w:rPr>
            </w:pPr>
            <w:r>
              <w:rPr>
                <w:sz w:val="16"/>
              </w:rPr>
              <w:t>6,1</w:t>
            </w:r>
          </w:p>
        </w:tc>
        <w:tc>
          <w:tcPr>
            <w:tcW w:w="2083" w:type="dxa"/>
            <w:vAlign w:val="center"/>
          </w:tcPr>
          <w:p w:rsidR="00DD7F7C" w:rsidRDefault="00DD7F7C">
            <w:pPr>
              <w:pStyle w:val="10"/>
              <w:jc w:val="center"/>
              <w:rPr>
                <w:sz w:val="16"/>
              </w:rPr>
            </w:pPr>
            <w:r>
              <w:rPr>
                <w:sz w:val="16"/>
              </w:rPr>
              <w:t>11,5</w:t>
            </w:r>
          </w:p>
        </w:tc>
      </w:tr>
      <w:tr w:rsidR="00DD7F7C">
        <w:trPr>
          <w:jc w:val="center"/>
        </w:trPr>
        <w:tc>
          <w:tcPr>
            <w:tcW w:w="2226" w:type="dxa"/>
            <w:vAlign w:val="center"/>
          </w:tcPr>
          <w:p w:rsidR="00DD7F7C" w:rsidRDefault="00DD7F7C">
            <w:pPr>
              <w:pStyle w:val="10"/>
              <w:jc w:val="both"/>
              <w:rPr>
                <w:sz w:val="16"/>
              </w:rPr>
            </w:pPr>
            <w:r>
              <w:rPr>
                <w:sz w:val="16"/>
              </w:rPr>
              <w:t>Производство услуг</w:t>
            </w:r>
          </w:p>
        </w:tc>
        <w:tc>
          <w:tcPr>
            <w:tcW w:w="2694" w:type="dxa"/>
            <w:vAlign w:val="center"/>
          </w:tcPr>
          <w:p w:rsidR="00DD7F7C" w:rsidRDefault="00DD7F7C">
            <w:pPr>
              <w:pStyle w:val="10"/>
              <w:jc w:val="center"/>
              <w:rPr>
                <w:sz w:val="16"/>
              </w:rPr>
            </w:pPr>
            <w:r>
              <w:rPr>
                <w:sz w:val="16"/>
              </w:rPr>
              <w:t>- 2,5</w:t>
            </w:r>
          </w:p>
        </w:tc>
        <w:tc>
          <w:tcPr>
            <w:tcW w:w="2551" w:type="dxa"/>
            <w:vAlign w:val="center"/>
          </w:tcPr>
          <w:p w:rsidR="00DD7F7C" w:rsidRDefault="00DD7F7C">
            <w:pPr>
              <w:pStyle w:val="10"/>
              <w:jc w:val="center"/>
              <w:rPr>
                <w:sz w:val="16"/>
              </w:rPr>
            </w:pPr>
            <w:r>
              <w:rPr>
                <w:sz w:val="16"/>
              </w:rPr>
              <w:t>0,8</w:t>
            </w:r>
          </w:p>
        </w:tc>
        <w:tc>
          <w:tcPr>
            <w:tcW w:w="2083" w:type="dxa"/>
            <w:vAlign w:val="center"/>
          </w:tcPr>
          <w:p w:rsidR="00DD7F7C" w:rsidRDefault="00DD7F7C">
            <w:pPr>
              <w:pStyle w:val="10"/>
              <w:jc w:val="center"/>
              <w:rPr>
                <w:sz w:val="16"/>
              </w:rPr>
            </w:pPr>
            <w:r>
              <w:rPr>
                <w:sz w:val="16"/>
              </w:rPr>
              <w:t>6,7</w:t>
            </w:r>
          </w:p>
        </w:tc>
      </w:tr>
      <w:tr w:rsidR="00DD7F7C">
        <w:trPr>
          <w:jc w:val="center"/>
        </w:trPr>
        <w:tc>
          <w:tcPr>
            <w:tcW w:w="2226" w:type="dxa"/>
            <w:vAlign w:val="center"/>
          </w:tcPr>
          <w:p w:rsidR="00DD7F7C" w:rsidRDefault="00DD7F7C">
            <w:pPr>
              <w:pStyle w:val="10"/>
              <w:jc w:val="both"/>
              <w:rPr>
                <w:sz w:val="16"/>
              </w:rPr>
            </w:pPr>
            <w:r>
              <w:rPr>
                <w:sz w:val="16"/>
              </w:rPr>
              <w:t xml:space="preserve">Из них рыночных </w:t>
            </w:r>
          </w:p>
        </w:tc>
        <w:tc>
          <w:tcPr>
            <w:tcW w:w="2694" w:type="dxa"/>
            <w:vAlign w:val="center"/>
          </w:tcPr>
          <w:p w:rsidR="00DD7F7C" w:rsidRDefault="00DD7F7C">
            <w:pPr>
              <w:pStyle w:val="10"/>
              <w:jc w:val="center"/>
              <w:rPr>
                <w:sz w:val="16"/>
              </w:rPr>
            </w:pPr>
            <w:r>
              <w:rPr>
                <w:sz w:val="16"/>
              </w:rPr>
              <w:t>- 3,5</w:t>
            </w:r>
          </w:p>
        </w:tc>
        <w:tc>
          <w:tcPr>
            <w:tcW w:w="2551" w:type="dxa"/>
            <w:vAlign w:val="center"/>
          </w:tcPr>
          <w:p w:rsidR="00DD7F7C" w:rsidRDefault="00DD7F7C">
            <w:pPr>
              <w:pStyle w:val="10"/>
              <w:jc w:val="center"/>
              <w:rPr>
                <w:sz w:val="16"/>
              </w:rPr>
            </w:pPr>
            <w:r>
              <w:rPr>
                <w:sz w:val="16"/>
              </w:rPr>
              <w:t>0,9</w:t>
            </w:r>
          </w:p>
        </w:tc>
        <w:tc>
          <w:tcPr>
            <w:tcW w:w="2083" w:type="dxa"/>
            <w:vAlign w:val="center"/>
          </w:tcPr>
          <w:p w:rsidR="00DD7F7C" w:rsidRDefault="00DD7F7C">
            <w:pPr>
              <w:pStyle w:val="10"/>
              <w:jc w:val="center"/>
              <w:rPr>
                <w:sz w:val="16"/>
              </w:rPr>
            </w:pPr>
            <w:r>
              <w:rPr>
                <w:sz w:val="16"/>
              </w:rPr>
              <w:t>8,0</w:t>
            </w:r>
          </w:p>
        </w:tc>
      </w:tr>
      <w:tr w:rsidR="00DD7F7C">
        <w:trPr>
          <w:trHeight w:val="287"/>
          <w:jc w:val="center"/>
        </w:trPr>
        <w:tc>
          <w:tcPr>
            <w:tcW w:w="2226" w:type="dxa"/>
            <w:vAlign w:val="center"/>
          </w:tcPr>
          <w:p w:rsidR="00DD7F7C" w:rsidRDefault="00DD7F7C">
            <w:pPr>
              <w:pStyle w:val="10"/>
              <w:jc w:val="both"/>
              <w:rPr>
                <w:sz w:val="16"/>
              </w:rPr>
            </w:pPr>
            <w:r>
              <w:rPr>
                <w:sz w:val="16"/>
              </w:rPr>
              <w:t>В т.ч.</w:t>
            </w:r>
          </w:p>
        </w:tc>
        <w:tc>
          <w:tcPr>
            <w:tcW w:w="2694" w:type="dxa"/>
            <w:vAlign w:val="center"/>
          </w:tcPr>
          <w:p w:rsidR="00DD7F7C" w:rsidRDefault="00DD7F7C">
            <w:pPr>
              <w:pStyle w:val="10"/>
              <w:jc w:val="center"/>
              <w:rPr>
                <w:sz w:val="16"/>
              </w:rPr>
            </w:pPr>
          </w:p>
        </w:tc>
        <w:tc>
          <w:tcPr>
            <w:tcW w:w="2551" w:type="dxa"/>
            <w:vAlign w:val="center"/>
          </w:tcPr>
          <w:p w:rsidR="00DD7F7C" w:rsidRDefault="00DD7F7C">
            <w:pPr>
              <w:pStyle w:val="10"/>
              <w:jc w:val="center"/>
              <w:rPr>
                <w:sz w:val="16"/>
              </w:rPr>
            </w:pPr>
          </w:p>
        </w:tc>
        <w:tc>
          <w:tcPr>
            <w:tcW w:w="2083" w:type="dxa"/>
            <w:vAlign w:val="center"/>
          </w:tcPr>
          <w:p w:rsidR="00DD7F7C" w:rsidRDefault="00DD7F7C">
            <w:pPr>
              <w:pStyle w:val="10"/>
              <w:jc w:val="center"/>
              <w:rPr>
                <w:sz w:val="16"/>
              </w:rPr>
            </w:pPr>
          </w:p>
        </w:tc>
      </w:tr>
      <w:tr w:rsidR="00DD7F7C">
        <w:trPr>
          <w:trHeight w:val="307"/>
          <w:jc w:val="center"/>
        </w:trPr>
        <w:tc>
          <w:tcPr>
            <w:tcW w:w="2226" w:type="dxa"/>
            <w:vAlign w:val="center"/>
          </w:tcPr>
          <w:p w:rsidR="00DD7F7C" w:rsidRDefault="00DD7F7C">
            <w:pPr>
              <w:pStyle w:val="10"/>
              <w:jc w:val="both"/>
              <w:rPr>
                <w:sz w:val="16"/>
              </w:rPr>
            </w:pPr>
            <w:r>
              <w:rPr>
                <w:sz w:val="12"/>
              </w:rPr>
              <w:t>Т</w:t>
            </w:r>
            <w:r>
              <w:rPr>
                <w:sz w:val="16"/>
              </w:rPr>
              <w:t>ранспорт</w:t>
            </w:r>
          </w:p>
        </w:tc>
        <w:tc>
          <w:tcPr>
            <w:tcW w:w="2694" w:type="dxa"/>
            <w:vAlign w:val="center"/>
          </w:tcPr>
          <w:p w:rsidR="00DD7F7C" w:rsidRDefault="00DD7F7C">
            <w:pPr>
              <w:pStyle w:val="10"/>
              <w:jc w:val="center"/>
              <w:rPr>
                <w:sz w:val="16"/>
              </w:rPr>
            </w:pPr>
            <w:r>
              <w:rPr>
                <w:sz w:val="16"/>
              </w:rPr>
              <w:t>- 4,6</w:t>
            </w:r>
          </w:p>
        </w:tc>
        <w:tc>
          <w:tcPr>
            <w:tcW w:w="2551" w:type="dxa"/>
            <w:vAlign w:val="center"/>
          </w:tcPr>
          <w:p w:rsidR="00DD7F7C" w:rsidRDefault="00DD7F7C">
            <w:pPr>
              <w:pStyle w:val="10"/>
              <w:jc w:val="center"/>
              <w:rPr>
                <w:sz w:val="16"/>
              </w:rPr>
            </w:pPr>
            <w:r>
              <w:rPr>
                <w:sz w:val="16"/>
              </w:rPr>
              <w:t>5,3</w:t>
            </w:r>
          </w:p>
        </w:tc>
        <w:tc>
          <w:tcPr>
            <w:tcW w:w="2083" w:type="dxa"/>
            <w:vAlign w:val="center"/>
          </w:tcPr>
          <w:p w:rsidR="00DD7F7C" w:rsidRDefault="00DD7F7C">
            <w:pPr>
              <w:pStyle w:val="10"/>
              <w:jc w:val="center"/>
              <w:rPr>
                <w:sz w:val="16"/>
              </w:rPr>
            </w:pPr>
            <w:r>
              <w:rPr>
                <w:sz w:val="16"/>
              </w:rPr>
              <w:t>5,2</w:t>
            </w:r>
          </w:p>
        </w:tc>
      </w:tr>
      <w:tr w:rsidR="00DD7F7C">
        <w:trPr>
          <w:trHeight w:val="178"/>
          <w:jc w:val="center"/>
        </w:trPr>
        <w:tc>
          <w:tcPr>
            <w:tcW w:w="2226" w:type="dxa"/>
            <w:vAlign w:val="center"/>
          </w:tcPr>
          <w:p w:rsidR="00DD7F7C" w:rsidRDefault="00DD7F7C">
            <w:pPr>
              <w:pStyle w:val="10"/>
              <w:jc w:val="both"/>
              <w:rPr>
                <w:sz w:val="16"/>
              </w:rPr>
            </w:pPr>
            <w:r>
              <w:rPr>
                <w:sz w:val="12"/>
              </w:rPr>
              <w:t>Т</w:t>
            </w:r>
            <w:r>
              <w:rPr>
                <w:sz w:val="16"/>
              </w:rPr>
              <w:t xml:space="preserve">орговля </w:t>
            </w:r>
          </w:p>
        </w:tc>
        <w:tc>
          <w:tcPr>
            <w:tcW w:w="2694" w:type="dxa"/>
            <w:vAlign w:val="center"/>
          </w:tcPr>
          <w:p w:rsidR="00DD7F7C" w:rsidRDefault="00DD7F7C">
            <w:pPr>
              <w:pStyle w:val="10"/>
              <w:jc w:val="center"/>
              <w:rPr>
                <w:sz w:val="16"/>
              </w:rPr>
            </w:pPr>
            <w:r>
              <w:rPr>
                <w:sz w:val="16"/>
              </w:rPr>
              <w:t>- 5,5</w:t>
            </w:r>
          </w:p>
        </w:tc>
        <w:tc>
          <w:tcPr>
            <w:tcW w:w="2551" w:type="dxa"/>
            <w:vAlign w:val="center"/>
          </w:tcPr>
          <w:p w:rsidR="00DD7F7C" w:rsidRDefault="00DD7F7C">
            <w:pPr>
              <w:pStyle w:val="10"/>
              <w:jc w:val="center"/>
              <w:rPr>
                <w:sz w:val="16"/>
              </w:rPr>
            </w:pPr>
            <w:r>
              <w:rPr>
                <w:sz w:val="16"/>
              </w:rPr>
              <w:t>- 3,0</w:t>
            </w:r>
          </w:p>
        </w:tc>
        <w:tc>
          <w:tcPr>
            <w:tcW w:w="2083" w:type="dxa"/>
            <w:vAlign w:val="center"/>
          </w:tcPr>
          <w:p w:rsidR="00DD7F7C" w:rsidRDefault="00DD7F7C">
            <w:pPr>
              <w:pStyle w:val="10"/>
              <w:jc w:val="center"/>
              <w:rPr>
                <w:sz w:val="16"/>
              </w:rPr>
            </w:pPr>
            <w:r>
              <w:rPr>
                <w:sz w:val="16"/>
              </w:rPr>
              <w:t>10,1</w:t>
            </w:r>
          </w:p>
        </w:tc>
      </w:tr>
      <w:tr w:rsidR="00DD7F7C">
        <w:trPr>
          <w:trHeight w:val="212"/>
          <w:jc w:val="center"/>
        </w:trPr>
        <w:tc>
          <w:tcPr>
            <w:tcW w:w="2226" w:type="dxa"/>
            <w:vAlign w:val="center"/>
          </w:tcPr>
          <w:p w:rsidR="00DD7F7C" w:rsidRDefault="00DD7F7C">
            <w:pPr>
              <w:pStyle w:val="10"/>
              <w:jc w:val="both"/>
              <w:rPr>
                <w:sz w:val="16"/>
              </w:rPr>
            </w:pPr>
            <w:r>
              <w:rPr>
                <w:sz w:val="16"/>
              </w:rPr>
              <w:t>Нерыночные услуги</w:t>
            </w:r>
          </w:p>
        </w:tc>
        <w:tc>
          <w:tcPr>
            <w:tcW w:w="2694" w:type="dxa"/>
            <w:vAlign w:val="center"/>
          </w:tcPr>
          <w:p w:rsidR="00DD7F7C" w:rsidRDefault="00DD7F7C">
            <w:pPr>
              <w:pStyle w:val="10"/>
              <w:jc w:val="center"/>
              <w:rPr>
                <w:sz w:val="16"/>
              </w:rPr>
            </w:pPr>
            <w:r>
              <w:rPr>
                <w:sz w:val="16"/>
              </w:rPr>
              <w:t>0,4</w:t>
            </w:r>
          </w:p>
        </w:tc>
        <w:tc>
          <w:tcPr>
            <w:tcW w:w="2551" w:type="dxa"/>
            <w:vAlign w:val="center"/>
          </w:tcPr>
          <w:p w:rsidR="00DD7F7C" w:rsidRDefault="00DD7F7C">
            <w:pPr>
              <w:pStyle w:val="10"/>
              <w:jc w:val="center"/>
              <w:rPr>
                <w:sz w:val="16"/>
              </w:rPr>
            </w:pPr>
            <w:r>
              <w:rPr>
                <w:sz w:val="16"/>
              </w:rPr>
              <w:t>0,6</w:t>
            </w:r>
          </w:p>
        </w:tc>
        <w:tc>
          <w:tcPr>
            <w:tcW w:w="2083" w:type="dxa"/>
            <w:vAlign w:val="center"/>
          </w:tcPr>
          <w:p w:rsidR="00DD7F7C" w:rsidRDefault="00DD7F7C">
            <w:pPr>
              <w:pStyle w:val="10"/>
              <w:jc w:val="center"/>
              <w:rPr>
                <w:sz w:val="16"/>
              </w:rPr>
            </w:pPr>
            <w:r>
              <w:rPr>
                <w:sz w:val="16"/>
              </w:rPr>
              <w:t>1,8</w:t>
            </w:r>
          </w:p>
        </w:tc>
      </w:tr>
    </w:tbl>
    <w:p w:rsidR="00DD7F7C" w:rsidRDefault="00DD7F7C">
      <w:pPr>
        <w:pStyle w:val="a5"/>
        <w:rPr>
          <w:b/>
        </w:rPr>
      </w:pPr>
    </w:p>
    <w:p w:rsidR="00DD7F7C" w:rsidRDefault="00DD7F7C">
      <w:pPr>
        <w:pStyle w:val="a5"/>
        <w:ind w:firstLine="0"/>
      </w:pPr>
      <w:r>
        <w:t xml:space="preserve">      </w:t>
      </w:r>
    </w:p>
    <w:p w:rsidR="00DD7F7C" w:rsidRDefault="00DD7F7C">
      <w:pPr>
        <w:pStyle w:val="a5"/>
        <w:ind w:firstLine="0"/>
      </w:pPr>
    </w:p>
    <w:p w:rsidR="00DD7F7C" w:rsidRDefault="00DD7F7C">
      <w:pPr>
        <w:pStyle w:val="a5"/>
        <w:ind w:firstLine="0"/>
      </w:pPr>
      <w:r>
        <w:t xml:space="preserve">     Суммарная прибыль по экономике в 2000 году составила 1186,8 млрд. руб. и в 1,62 раза превысила уровень предыдущего года. В условиях экономического роста в последние два года наблюдается повышение рентабельности производства товаров и услуг. Доля убыточных предприятий и организаций в целом по экономике снизилась с 44,6% в 1999 году до 41,6% в 2000 году. Улучшение показателей финансовой деятельности отмечалось практически во всех отраслях экономики. Доля чистых налогов на производство и импорт в ВВП увеличилась на 2,7 процентных пункта по сравнению с 1999 годом.</w:t>
      </w:r>
    </w:p>
    <w:p w:rsidR="00DD7F7C" w:rsidRDefault="00DD7F7C">
      <w:pPr>
        <w:pStyle w:val="a5"/>
        <w:ind w:firstLine="0"/>
        <w:jc w:val="right"/>
      </w:pPr>
    </w:p>
    <w:p w:rsidR="00DD7F7C" w:rsidRDefault="00DD7F7C">
      <w:pPr>
        <w:pStyle w:val="a5"/>
        <w:ind w:firstLine="0"/>
        <w:jc w:val="right"/>
      </w:pPr>
      <w:r>
        <w:t>Таблица 4</w:t>
      </w:r>
    </w:p>
    <w:p w:rsidR="00DD7F7C" w:rsidRDefault="00DD7F7C">
      <w:pPr>
        <w:pStyle w:val="10"/>
        <w:jc w:val="center"/>
        <w:rPr>
          <w:sz w:val="28"/>
        </w:rPr>
      </w:pPr>
      <w:r>
        <w:rPr>
          <w:sz w:val="28"/>
        </w:rPr>
        <w:t>Структура формирования валового внутреннего продукта по источникам дохода в 1995 – 2000 годах, в % к итогу</w:t>
      </w:r>
    </w:p>
    <w:p w:rsidR="00DD7F7C" w:rsidRDefault="00DD7F7C">
      <w:pPr>
        <w:pStyle w:val="10"/>
        <w:jc w:val="center"/>
        <w:rPr>
          <w:sz w:val="28"/>
        </w:rPr>
      </w:pPr>
    </w:p>
    <w:tbl>
      <w:tblPr>
        <w:tblW w:w="0" w:type="auto"/>
        <w:tblInd w:w="8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3315"/>
        <w:gridCol w:w="1080"/>
        <w:gridCol w:w="992"/>
        <w:gridCol w:w="1134"/>
        <w:gridCol w:w="992"/>
        <w:gridCol w:w="1134"/>
        <w:gridCol w:w="992"/>
      </w:tblGrid>
      <w:tr w:rsidR="00DD7F7C">
        <w:tc>
          <w:tcPr>
            <w:tcW w:w="3315" w:type="dxa"/>
            <w:tcBorders>
              <w:top w:val="single" w:sz="4" w:space="0" w:color="auto"/>
              <w:bottom w:val="single" w:sz="4" w:space="0" w:color="auto"/>
            </w:tcBorders>
          </w:tcPr>
          <w:p w:rsidR="00DD7F7C" w:rsidRDefault="00DD7F7C">
            <w:pPr>
              <w:pStyle w:val="10"/>
              <w:rPr>
                <w:sz w:val="16"/>
              </w:rPr>
            </w:pPr>
            <w:r>
              <w:rPr>
                <w:b/>
                <w:sz w:val="16"/>
              </w:rPr>
              <w:fldChar w:fldCharType="begin"/>
            </w:r>
            <w:r>
              <w:rPr>
                <w:b/>
                <w:sz w:val="16"/>
              </w:rPr>
              <w:instrText>PRIVATE</w:instrText>
            </w:r>
            <w:r>
              <w:rPr>
                <w:b/>
                <w:sz w:val="16"/>
              </w:rPr>
              <w:fldChar w:fldCharType="end"/>
            </w:r>
          </w:p>
        </w:tc>
        <w:tc>
          <w:tcPr>
            <w:tcW w:w="1080" w:type="dxa"/>
            <w:tcBorders>
              <w:top w:val="single" w:sz="4" w:space="0" w:color="auto"/>
              <w:bottom w:val="single" w:sz="4" w:space="0" w:color="auto"/>
            </w:tcBorders>
          </w:tcPr>
          <w:p w:rsidR="00DD7F7C" w:rsidRDefault="00DD7F7C">
            <w:pPr>
              <w:pStyle w:val="10"/>
              <w:jc w:val="center"/>
              <w:rPr>
                <w:sz w:val="16"/>
              </w:rPr>
            </w:pPr>
            <w:r>
              <w:rPr>
                <w:sz w:val="16"/>
              </w:rPr>
              <w:t>1995</w:t>
            </w:r>
          </w:p>
        </w:tc>
        <w:tc>
          <w:tcPr>
            <w:tcW w:w="992" w:type="dxa"/>
            <w:tcBorders>
              <w:top w:val="single" w:sz="4" w:space="0" w:color="auto"/>
              <w:bottom w:val="single" w:sz="4" w:space="0" w:color="auto"/>
            </w:tcBorders>
          </w:tcPr>
          <w:p w:rsidR="00DD7F7C" w:rsidRDefault="00DD7F7C">
            <w:pPr>
              <w:pStyle w:val="10"/>
              <w:jc w:val="center"/>
              <w:rPr>
                <w:sz w:val="16"/>
              </w:rPr>
            </w:pPr>
            <w:r>
              <w:rPr>
                <w:sz w:val="16"/>
              </w:rPr>
              <w:t>1996</w:t>
            </w:r>
          </w:p>
        </w:tc>
        <w:tc>
          <w:tcPr>
            <w:tcW w:w="1134" w:type="dxa"/>
            <w:tcBorders>
              <w:top w:val="single" w:sz="4" w:space="0" w:color="auto"/>
              <w:bottom w:val="single" w:sz="4" w:space="0" w:color="auto"/>
            </w:tcBorders>
          </w:tcPr>
          <w:p w:rsidR="00DD7F7C" w:rsidRDefault="00DD7F7C">
            <w:pPr>
              <w:pStyle w:val="10"/>
              <w:jc w:val="center"/>
              <w:rPr>
                <w:sz w:val="16"/>
              </w:rPr>
            </w:pPr>
            <w:r>
              <w:rPr>
                <w:sz w:val="16"/>
              </w:rPr>
              <w:t>1997</w:t>
            </w:r>
          </w:p>
        </w:tc>
        <w:tc>
          <w:tcPr>
            <w:tcW w:w="992" w:type="dxa"/>
            <w:tcBorders>
              <w:top w:val="single" w:sz="4" w:space="0" w:color="auto"/>
              <w:bottom w:val="single" w:sz="4" w:space="0" w:color="auto"/>
            </w:tcBorders>
          </w:tcPr>
          <w:p w:rsidR="00DD7F7C" w:rsidRDefault="00DD7F7C">
            <w:pPr>
              <w:pStyle w:val="10"/>
              <w:jc w:val="center"/>
              <w:rPr>
                <w:sz w:val="16"/>
              </w:rPr>
            </w:pPr>
            <w:r>
              <w:rPr>
                <w:sz w:val="16"/>
              </w:rPr>
              <w:t>1998</w:t>
            </w:r>
          </w:p>
        </w:tc>
        <w:tc>
          <w:tcPr>
            <w:tcW w:w="1134" w:type="dxa"/>
            <w:tcBorders>
              <w:top w:val="single" w:sz="4" w:space="0" w:color="auto"/>
              <w:bottom w:val="single" w:sz="4" w:space="0" w:color="auto"/>
            </w:tcBorders>
          </w:tcPr>
          <w:p w:rsidR="00DD7F7C" w:rsidRDefault="00DD7F7C">
            <w:pPr>
              <w:pStyle w:val="10"/>
              <w:jc w:val="center"/>
              <w:rPr>
                <w:sz w:val="16"/>
              </w:rPr>
            </w:pPr>
            <w:r>
              <w:rPr>
                <w:sz w:val="16"/>
              </w:rPr>
              <w:t>1999</w:t>
            </w:r>
          </w:p>
        </w:tc>
        <w:tc>
          <w:tcPr>
            <w:tcW w:w="992" w:type="dxa"/>
            <w:tcBorders>
              <w:top w:val="single" w:sz="4" w:space="0" w:color="auto"/>
              <w:bottom w:val="single" w:sz="4" w:space="0" w:color="auto"/>
            </w:tcBorders>
          </w:tcPr>
          <w:p w:rsidR="00DD7F7C" w:rsidRDefault="00DD7F7C">
            <w:pPr>
              <w:pStyle w:val="10"/>
              <w:jc w:val="center"/>
              <w:rPr>
                <w:sz w:val="16"/>
              </w:rPr>
            </w:pPr>
            <w:r>
              <w:rPr>
                <w:sz w:val="16"/>
              </w:rPr>
              <w:t>2000</w:t>
            </w:r>
          </w:p>
        </w:tc>
      </w:tr>
      <w:tr w:rsidR="00DD7F7C">
        <w:tc>
          <w:tcPr>
            <w:tcW w:w="3315" w:type="dxa"/>
            <w:tcBorders>
              <w:top w:val="single" w:sz="4" w:space="0" w:color="auto"/>
              <w:bottom w:val="nil"/>
            </w:tcBorders>
          </w:tcPr>
          <w:p w:rsidR="00DD7F7C" w:rsidRDefault="00DD7F7C">
            <w:pPr>
              <w:pStyle w:val="10"/>
              <w:jc w:val="both"/>
              <w:rPr>
                <w:sz w:val="16"/>
              </w:rPr>
            </w:pPr>
            <w:r>
              <w:rPr>
                <w:sz w:val="16"/>
              </w:rPr>
              <w:t>ВВП –  всего</w:t>
            </w:r>
          </w:p>
          <w:p w:rsidR="00DD7F7C" w:rsidRDefault="00DD7F7C">
            <w:pPr>
              <w:pStyle w:val="10"/>
              <w:jc w:val="both"/>
              <w:rPr>
                <w:sz w:val="16"/>
              </w:rPr>
            </w:pPr>
            <w:r>
              <w:rPr>
                <w:sz w:val="16"/>
              </w:rPr>
              <w:t>в том числе:</w:t>
            </w:r>
          </w:p>
        </w:tc>
        <w:tc>
          <w:tcPr>
            <w:tcW w:w="1080" w:type="dxa"/>
            <w:tcBorders>
              <w:top w:val="single" w:sz="4" w:space="0" w:color="auto"/>
              <w:bottom w:val="nil"/>
            </w:tcBorders>
          </w:tcPr>
          <w:p w:rsidR="00DD7F7C" w:rsidRDefault="00DD7F7C">
            <w:pPr>
              <w:pStyle w:val="10"/>
              <w:jc w:val="center"/>
              <w:rPr>
                <w:sz w:val="16"/>
              </w:rPr>
            </w:pPr>
            <w:r>
              <w:rPr>
                <w:sz w:val="16"/>
              </w:rPr>
              <w:t>100,0</w:t>
            </w:r>
          </w:p>
        </w:tc>
        <w:tc>
          <w:tcPr>
            <w:tcW w:w="992" w:type="dxa"/>
            <w:tcBorders>
              <w:top w:val="single" w:sz="4" w:space="0" w:color="auto"/>
              <w:bottom w:val="nil"/>
            </w:tcBorders>
          </w:tcPr>
          <w:p w:rsidR="00DD7F7C" w:rsidRDefault="00DD7F7C">
            <w:pPr>
              <w:pStyle w:val="10"/>
              <w:jc w:val="center"/>
              <w:rPr>
                <w:sz w:val="16"/>
              </w:rPr>
            </w:pPr>
            <w:r>
              <w:rPr>
                <w:sz w:val="16"/>
              </w:rPr>
              <w:t>100,0</w:t>
            </w:r>
          </w:p>
        </w:tc>
        <w:tc>
          <w:tcPr>
            <w:tcW w:w="1134" w:type="dxa"/>
            <w:tcBorders>
              <w:top w:val="single" w:sz="4" w:space="0" w:color="auto"/>
              <w:bottom w:val="nil"/>
            </w:tcBorders>
          </w:tcPr>
          <w:p w:rsidR="00DD7F7C" w:rsidRDefault="00DD7F7C">
            <w:pPr>
              <w:pStyle w:val="10"/>
              <w:jc w:val="center"/>
              <w:rPr>
                <w:sz w:val="16"/>
              </w:rPr>
            </w:pPr>
            <w:r>
              <w:rPr>
                <w:sz w:val="16"/>
              </w:rPr>
              <w:t>100,0</w:t>
            </w:r>
          </w:p>
        </w:tc>
        <w:tc>
          <w:tcPr>
            <w:tcW w:w="992" w:type="dxa"/>
            <w:tcBorders>
              <w:top w:val="single" w:sz="4" w:space="0" w:color="auto"/>
              <w:bottom w:val="nil"/>
            </w:tcBorders>
          </w:tcPr>
          <w:p w:rsidR="00DD7F7C" w:rsidRDefault="00DD7F7C">
            <w:pPr>
              <w:pStyle w:val="10"/>
              <w:jc w:val="center"/>
              <w:rPr>
                <w:sz w:val="16"/>
              </w:rPr>
            </w:pPr>
            <w:r>
              <w:rPr>
                <w:sz w:val="16"/>
              </w:rPr>
              <w:t>100,0</w:t>
            </w:r>
          </w:p>
        </w:tc>
        <w:tc>
          <w:tcPr>
            <w:tcW w:w="1134" w:type="dxa"/>
            <w:tcBorders>
              <w:top w:val="single" w:sz="4" w:space="0" w:color="auto"/>
              <w:bottom w:val="nil"/>
            </w:tcBorders>
          </w:tcPr>
          <w:p w:rsidR="00DD7F7C" w:rsidRDefault="00DD7F7C">
            <w:pPr>
              <w:pStyle w:val="10"/>
              <w:jc w:val="center"/>
              <w:rPr>
                <w:sz w:val="16"/>
              </w:rPr>
            </w:pPr>
            <w:r>
              <w:rPr>
                <w:sz w:val="16"/>
              </w:rPr>
              <w:t>100,0</w:t>
            </w:r>
          </w:p>
        </w:tc>
        <w:tc>
          <w:tcPr>
            <w:tcW w:w="992" w:type="dxa"/>
            <w:tcBorders>
              <w:top w:val="single" w:sz="4" w:space="0" w:color="auto"/>
              <w:bottom w:val="nil"/>
            </w:tcBorders>
          </w:tcPr>
          <w:p w:rsidR="00DD7F7C" w:rsidRDefault="00DD7F7C">
            <w:pPr>
              <w:pStyle w:val="10"/>
              <w:jc w:val="center"/>
              <w:rPr>
                <w:sz w:val="16"/>
              </w:rPr>
            </w:pPr>
            <w:r>
              <w:rPr>
                <w:sz w:val="16"/>
              </w:rPr>
              <w:t>100,0</w:t>
            </w:r>
          </w:p>
        </w:tc>
      </w:tr>
      <w:tr w:rsidR="00DD7F7C">
        <w:trPr>
          <w:trHeight w:val="300"/>
        </w:trPr>
        <w:tc>
          <w:tcPr>
            <w:tcW w:w="3315" w:type="dxa"/>
            <w:tcBorders>
              <w:top w:val="nil"/>
            </w:tcBorders>
          </w:tcPr>
          <w:p w:rsidR="00DD7F7C" w:rsidRDefault="00DD7F7C">
            <w:pPr>
              <w:pStyle w:val="10"/>
              <w:jc w:val="both"/>
              <w:rPr>
                <w:sz w:val="16"/>
              </w:rPr>
            </w:pPr>
            <w:r>
              <w:rPr>
                <w:sz w:val="16"/>
              </w:rPr>
              <w:t>Оплата труда наемных работников, включая скрытую</w:t>
            </w:r>
          </w:p>
        </w:tc>
        <w:tc>
          <w:tcPr>
            <w:tcW w:w="1080" w:type="dxa"/>
            <w:tcBorders>
              <w:top w:val="nil"/>
            </w:tcBorders>
          </w:tcPr>
          <w:p w:rsidR="00DD7F7C" w:rsidRDefault="00DD7F7C">
            <w:pPr>
              <w:pStyle w:val="10"/>
              <w:jc w:val="center"/>
              <w:rPr>
                <w:sz w:val="16"/>
              </w:rPr>
            </w:pPr>
            <w:r>
              <w:rPr>
                <w:sz w:val="16"/>
              </w:rPr>
              <w:t>45,2</w:t>
            </w:r>
          </w:p>
        </w:tc>
        <w:tc>
          <w:tcPr>
            <w:tcW w:w="992" w:type="dxa"/>
            <w:tcBorders>
              <w:top w:val="nil"/>
            </w:tcBorders>
          </w:tcPr>
          <w:p w:rsidR="00DD7F7C" w:rsidRDefault="00DD7F7C">
            <w:pPr>
              <w:pStyle w:val="10"/>
              <w:jc w:val="center"/>
              <w:rPr>
                <w:sz w:val="16"/>
              </w:rPr>
            </w:pPr>
            <w:r>
              <w:rPr>
                <w:sz w:val="16"/>
              </w:rPr>
              <w:t>49,6</w:t>
            </w:r>
          </w:p>
        </w:tc>
        <w:tc>
          <w:tcPr>
            <w:tcW w:w="1134" w:type="dxa"/>
            <w:tcBorders>
              <w:top w:val="nil"/>
            </w:tcBorders>
          </w:tcPr>
          <w:p w:rsidR="00DD7F7C" w:rsidRDefault="00DD7F7C">
            <w:pPr>
              <w:pStyle w:val="10"/>
              <w:jc w:val="center"/>
              <w:rPr>
                <w:sz w:val="16"/>
              </w:rPr>
            </w:pPr>
            <w:r>
              <w:rPr>
                <w:sz w:val="16"/>
              </w:rPr>
              <w:t>50,0</w:t>
            </w:r>
          </w:p>
        </w:tc>
        <w:tc>
          <w:tcPr>
            <w:tcW w:w="992" w:type="dxa"/>
            <w:tcBorders>
              <w:top w:val="nil"/>
            </w:tcBorders>
          </w:tcPr>
          <w:p w:rsidR="00DD7F7C" w:rsidRDefault="00DD7F7C">
            <w:pPr>
              <w:pStyle w:val="10"/>
              <w:jc w:val="center"/>
              <w:rPr>
                <w:sz w:val="16"/>
              </w:rPr>
            </w:pPr>
            <w:r>
              <w:rPr>
                <w:sz w:val="16"/>
              </w:rPr>
              <w:t>47,6</w:t>
            </w:r>
          </w:p>
        </w:tc>
        <w:tc>
          <w:tcPr>
            <w:tcW w:w="1134" w:type="dxa"/>
            <w:tcBorders>
              <w:top w:val="nil"/>
            </w:tcBorders>
          </w:tcPr>
          <w:p w:rsidR="00DD7F7C" w:rsidRDefault="00DD7F7C">
            <w:pPr>
              <w:pStyle w:val="10"/>
              <w:jc w:val="center"/>
              <w:rPr>
                <w:sz w:val="16"/>
              </w:rPr>
            </w:pPr>
            <w:r>
              <w:rPr>
                <w:sz w:val="16"/>
              </w:rPr>
              <w:t>42,3</w:t>
            </w:r>
          </w:p>
        </w:tc>
        <w:tc>
          <w:tcPr>
            <w:tcW w:w="992" w:type="dxa"/>
            <w:tcBorders>
              <w:top w:val="nil"/>
            </w:tcBorders>
          </w:tcPr>
          <w:p w:rsidR="00DD7F7C" w:rsidRDefault="00DD7F7C">
            <w:pPr>
              <w:pStyle w:val="10"/>
              <w:jc w:val="center"/>
              <w:rPr>
                <w:sz w:val="16"/>
              </w:rPr>
            </w:pPr>
            <w:r>
              <w:rPr>
                <w:sz w:val="16"/>
              </w:rPr>
              <w:t>41,3</w:t>
            </w:r>
          </w:p>
        </w:tc>
      </w:tr>
      <w:tr w:rsidR="00DD7F7C">
        <w:tc>
          <w:tcPr>
            <w:tcW w:w="3315" w:type="dxa"/>
          </w:tcPr>
          <w:p w:rsidR="00DD7F7C" w:rsidRDefault="00DD7F7C">
            <w:pPr>
              <w:pStyle w:val="10"/>
              <w:jc w:val="both"/>
              <w:rPr>
                <w:sz w:val="16"/>
              </w:rPr>
            </w:pPr>
            <w:r>
              <w:rPr>
                <w:sz w:val="16"/>
              </w:rPr>
              <w:t>Чистые налоги на производство и импорт</w:t>
            </w:r>
          </w:p>
        </w:tc>
        <w:tc>
          <w:tcPr>
            <w:tcW w:w="1080" w:type="dxa"/>
          </w:tcPr>
          <w:p w:rsidR="00DD7F7C" w:rsidRDefault="00DD7F7C">
            <w:pPr>
              <w:pStyle w:val="10"/>
              <w:jc w:val="center"/>
              <w:rPr>
                <w:sz w:val="16"/>
              </w:rPr>
            </w:pPr>
            <w:r>
              <w:rPr>
                <w:sz w:val="16"/>
              </w:rPr>
              <w:t>11,9</w:t>
            </w:r>
          </w:p>
        </w:tc>
        <w:tc>
          <w:tcPr>
            <w:tcW w:w="992" w:type="dxa"/>
          </w:tcPr>
          <w:p w:rsidR="00DD7F7C" w:rsidRDefault="00DD7F7C">
            <w:pPr>
              <w:pStyle w:val="10"/>
              <w:jc w:val="center"/>
              <w:rPr>
                <w:sz w:val="16"/>
              </w:rPr>
            </w:pPr>
            <w:r>
              <w:rPr>
                <w:sz w:val="16"/>
              </w:rPr>
              <w:t>13,5</w:t>
            </w:r>
          </w:p>
        </w:tc>
        <w:tc>
          <w:tcPr>
            <w:tcW w:w="1134" w:type="dxa"/>
          </w:tcPr>
          <w:p w:rsidR="00DD7F7C" w:rsidRDefault="00DD7F7C">
            <w:pPr>
              <w:pStyle w:val="10"/>
              <w:jc w:val="center"/>
              <w:rPr>
                <w:sz w:val="16"/>
              </w:rPr>
            </w:pPr>
            <w:r>
              <w:rPr>
                <w:sz w:val="16"/>
              </w:rPr>
              <w:t>14,5</w:t>
            </w:r>
          </w:p>
        </w:tc>
        <w:tc>
          <w:tcPr>
            <w:tcW w:w="992" w:type="dxa"/>
          </w:tcPr>
          <w:p w:rsidR="00DD7F7C" w:rsidRDefault="00DD7F7C">
            <w:pPr>
              <w:pStyle w:val="10"/>
              <w:jc w:val="center"/>
              <w:rPr>
                <w:sz w:val="16"/>
              </w:rPr>
            </w:pPr>
            <w:r>
              <w:rPr>
                <w:sz w:val="16"/>
              </w:rPr>
              <w:t>14,2</w:t>
            </w:r>
          </w:p>
        </w:tc>
        <w:tc>
          <w:tcPr>
            <w:tcW w:w="1134" w:type="dxa"/>
          </w:tcPr>
          <w:p w:rsidR="00DD7F7C" w:rsidRDefault="00DD7F7C">
            <w:pPr>
              <w:pStyle w:val="10"/>
              <w:jc w:val="center"/>
              <w:rPr>
                <w:sz w:val="16"/>
              </w:rPr>
            </w:pPr>
            <w:r>
              <w:rPr>
                <w:sz w:val="16"/>
              </w:rPr>
              <w:t>14,6</w:t>
            </w:r>
          </w:p>
        </w:tc>
        <w:tc>
          <w:tcPr>
            <w:tcW w:w="992" w:type="dxa"/>
          </w:tcPr>
          <w:p w:rsidR="00DD7F7C" w:rsidRDefault="00DD7F7C">
            <w:pPr>
              <w:pStyle w:val="10"/>
              <w:jc w:val="center"/>
              <w:rPr>
                <w:sz w:val="16"/>
              </w:rPr>
            </w:pPr>
            <w:r>
              <w:rPr>
                <w:sz w:val="16"/>
              </w:rPr>
              <w:t>17,3</w:t>
            </w:r>
          </w:p>
        </w:tc>
      </w:tr>
      <w:tr w:rsidR="00DD7F7C">
        <w:tc>
          <w:tcPr>
            <w:tcW w:w="3315" w:type="dxa"/>
          </w:tcPr>
          <w:p w:rsidR="00DD7F7C" w:rsidRDefault="00DD7F7C">
            <w:pPr>
              <w:pStyle w:val="10"/>
              <w:jc w:val="both"/>
              <w:rPr>
                <w:sz w:val="16"/>
              </w:rPr>
            </w:pPr>
            <w:r>
              <w:rPr>
                <w:sz w:val="16"/>
              </w:rPr>
              <w:t>Валовая прибыль экономики и валовые смешанные доходы</w:t>
            </w:r>
          </w:p>
        </w:tc>
        <w:tc>
          <w:tcPr>
            <w:tcW w:w="1080" w:type="dxa"/>
          </w:tcPr>
          <w:p w:rsidR="00DD7F7C" w:rsidRDefault="00DD7F7C">
            <w:pPr>
              <w:pStyle w:val="10"/>
              <w:jc w:val="center"/>
              <w:rPr>
                <w:sz w:val="16"/>
              </w:rPr>
            </w:pPr>
            <w:r>
              <w:rPr>
                <w:sz w:val="16"/>
              </w:rPr>
              <w:t>42,9</w:t>
            </w:r>
          </w:p>
        </w:tc>
        <w:tc>
          <w:tcPr>
            <w:tcW w:w="992" w:type="dxa"/>
          </w:tcPr>
          <w:p w:rsidR="00DD7F7C" w:rsidRDefault="00DD7F7C">
            <w:pPr>
              <w:pStyle w:val="10"/>
              <w:jc w:val="center"/>
              <w:rPr>
                <w:sz w:val="16"/>
              </w:rPr>
            </w:pPr>
            <w:r>
              <w:rPr>
                <w:sz w:val="16"/>
              </w:rPr>
              <w:t>36,9</w:t>
            </w:r>
          </w:p>
        </w:tc>
        <w:tc>
          <w:tcPr>
            <w:tcW w:w="1134" w:type="dxa"/>
          </w:tcPr>
          <w:p w:rsidR="00DD7F7C" w:rsidRDefault="00DD7F7C">
            <w:pPr>
              <w:pStyle w:val="10"/>
              <w:jc w:val="center"/>
              <w:rPr>
                <w:sz w:val="16"/>
              </w:rPr>
            </w:pPr>
            <w:r>
              <w:rPr>
                <w:sz w:val="16"/>
              </w:rPr>
              <w:t>35,5</w:t>
            </w:r>
          </w:p>
        </w:tc>
        <w:tc>
          <w:tcPr>
            <w:tcW w:w="992" w:type="dxa"/>
          </w:tcPr>
          <w:p w:rsidR="00DD7F7C" w:rsidRDefault="00DD7F7C">
            <w:pPr>
              <w:pStyle w:val="10"/>
              <w:jc w:val="center"/>
              <w:rPr>
                <w:sz w:val="16"/>
              </w:rPr>
            </w:pPr>
            <w:r>
              <w:rPr>
                <w:sz w:val="16"/>
              </w:rPr>
              <w:t>38,2</w:t>
            </w:r>
          </w:p>
        </w:tc>
        <w:tc>
          <w:tcPr>
            <w:tcW w:w="1134" w:type="dxa"/>
          </w:tcPr>
          <w:p w:rsidR="00DD7F7C" w:rsidRDefault="00DD7F7C">
            <w:pPr>
              <w:pStyle w:val="10"/>
              <w:jc w:val="center"/>
              <w:rPr>
                <w:sz w:val="16"/>
              </w:rPr>
            </w:pPr>
            <w:r>
              <w:rPr>
                <w:sz w:val="16"/>
              </w:rPr>
              <w:t>43,1</w:t>
            </w:r>
          </w:p>
        </w:tc>
        <w:tc>
          <w:tcPr>
            <w:tcW w:w="992" w:type="dxa"/>
          </w:tcPr>
          <w:p w:rsidR="00DD7F7C" w:rsidRDefault="00DD7F7C">
            <w:pPr>
              <w:pStyle w:val="10"/>
              <w:jc w:val="center"/>
              <w:rPr>
                <w:sz w:val="16"/>
              </w:rPr>
            </w:pPr>
            <w:r>
              <w:rPr>
                <w:sz w:val="16"/>
              </w:rPr>
              <w:t>41,4</w:t>
            </w:r>
          </w:p>
        </w:tc>
      </w:tr>
    </w:tbl>
    <w:p w:rsidR="00DD7F7C" w:rsidRDefault="00DD7F7C">
      <w:pPr>
        <w:pStyle w:val="a5"/>
        <w:ind w:firstLine="0"/>
        <w:rPr>
          <w:b/>
        </w:rPr>
      </w:pPr>
    </w:p>
    <w:p w:rsidR="00DD7F7C" w:rsidRDefault="00DD7F7C">
      <w:pPr>
        <w:pStyle w:val="a5"/>
        <w:ind w:firstLine="0"/>
        <w:rPr>
          <w:b/>
        </w:rPr>
      </w:pPr>
      <w:r>
        <w:t xml:space="preserve">     Главным содержанием структурных сдвигов в образовании валовой прибыли промышленности в 2000 году явилось перераспределение из обрабатывающих отраслей в отрасли топливно-энергетического комплекса и сырьевые производства. По расчетам, доля добывающих отраслей и производств по первичной переработке в прибыли промышленности сырья повысилась за год почти на 35,0 процентных пунктов.</w:t>
      </w:r>
    </w:p>
    <w:p w:rsidR="00DD7F7C" w:rsidRDefault="00DD7F7C">
      <w:pPr>
        <w:pStyle w:val="a5"/>
        <w:ind w:firstLine="0"/>
        <w:rPr>
          <w:b/>
        </w:rPr>
      </w:pPr>
    </w:p>
    <w:p w:rsidR="00DD7F7C" w:rsidRDefault="00DD7F7C">
      <w:pPr>
        <w:pStyle w:val="a5"/>
        <w:ind w:firstLine="0"/>
        <w:rPr>
          <w:b/>
        </w:rPr>
      </w:pPr>
    </w:p>
    <w:p w:rsidR="00DD7F7C" w:rsidRDefault="00DD7F7C">
      <w:pPr>
        <w:pStyle w:val="a5"/>
        <w:numPr>
          <w:ilvl w:val="1"/>
          <w:numId w:val="2"/>
        </w:numPr>
        <w:rPr>
          <w:b/>
        </w:rPr>
      </w:pPr>
      <w:r>
        <w:rPr>
          <w:b/>
        </w:rPr>
        <w:t xml:space="preserve">Динамика использования валового внутреннего продукта </w:t>
      </w:r>
    </w:p>
    <w:p w:rsidR="00DD7F7C" w:rsidRDefault="00DD7F7C">
      <w:pPr>
        <w:pStyle w:val="a5"/>
        <w:rPr>
          <w:b/>
        </w:rPr>
      </w:pPr>
    </w:p>
    <w:p w:rsidR="00DD7F7C" w:rsidRDefault="00DD7F7C">
      <w:pPr>
        <w:pStyle w:val="a5"/>
        <w:ind w:firstLine="0"/>
        <w:rPr>
          <w:b/>
        </w:rPr>
      </w:pPr>
    </w:p>
    <w:p w:rsidR="00DD7F7C" w:rsidRDefault="00DD7F7C">
      <w:pPr>
        <w:pStyle w:val="a5"/>
        <w:ind w:firstLine="0"/>
        <w:rPr>
          <w:b/>
        </w:rPr>
      </w:pPr>
      <w:r>
        <w:rPr>
          <w:b/>
        </w:rPr>
        <w:t xml:space="preserve">     </w:t>
      </w:r>
      <w:r>
        <w:t>Динамика элементов конечного использования ВВП в течение 2000 года складывается под воздействием двух разнонаправленных тенденций: рост внутреннего спроса и снижение динамики чистого экспорта. Основными факторами роста ВВП были: рост экспорта (обеспечил около 30% прироста физического объема ВВП и 39% общего прироста стоимостного объема ВВП) и высокий уровень внутреннего спроса (инвестиционного – около 26%, потребительского – примерно 36% прироста физического объема ВВП). На протяжении всего года наиболее быстрыми темпами среди элементов конечного использования ВВП росло накопление основного капитала. Рост потребительского спроса обеспечивался увеличением реальных располагаемых доходов населения (рост – на 9.1%). Наименьший рост зафиксирован для расходов сектора государственных учреждений, в условиях проведения Правительством достаточно жесткой бюджетной политики.</w:t>
      </w:r>
    </w:p>
    <w:p w:rsidR="00DD7F7C" w:rsidRDefault="00DD7F7C">
      <w:pPr>
        <w:pStyle w:val="a5"/>
        <w:jc w:val="right"/>
      </w:pPr>
    </w:p>
    <w:p w:rsidR="00DD7F7C" w:rsidRDefault="00DD7F7C">
      <w:pPr>
        <w:pStyle w:val="a5"/>
        <w:jc w:val="right"/>
      </w:pPr>
      <w:r>
        <w:t>Таблица 5</w:t>
      </w:r>
    </w:p>
    <w:p w:rsidR="00DD7F7C" w:rsidRDefault="00DD7F7C">
      <w:pPr>
        <w:pStyle w:val="10"/>
        <w:jc w:val="center"/>
        <w:rPr>
          <w:sz w:val="28"/>
        </w:rPr>
      </w:pPr>
      <w:r>
        <w:rPr>
          <w:sz w:val="28"/>
        </w:rPr>
        <w:t>Динамика элементов использования ВВП в 1998 – 2000 годах</w:t>
      </w:r>
      <w:r>
        <w:rPr>
          <w:sz w:val="28"/>
        </w:rPr>
        <w:br/>
        <w:t>(прирост, в % к предыдущему году)</w:t>
      </w:r>
    </w:p>
    <w:p w:rsidR="00DD7F7C" w:rsidRDefault="00DD7F7C">
      <w:pPr>
        <w:pStyle w:val="10"/>
        <w:jc w:val="center"/>
        <w:rPr>
          <w:sz w:val="28"/>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6100"/>
        <w:gridCol w:w="1122"/>
        <w:gridCol w:w="993"/>
        <w:gridCol w:w="1275"/>
      </w:tblGrid>
      <w:tr w:rsidR="00DD7F7C">
        <w:trPr>
          <w:jc w:val="center"/>
        </w:trPr>
        <w:tc>
          <w:tcPr>
            <w:tcW w:w="6100" w:type="dxa"/>
            <w:tcBorders>
              <w:top w:val="single" w:sz="4" w:space="0" w:color="auto"/>
              <w:bottom w:val="single" w:sz="4" w:space="0" w:color="auto"/>
            </w:tcBorders>
            <w:vAlign w:val="center"/>
          </w:tcPr>
          <w:p w:rsidR="00DD7F7C" w:rsidRDefault="00DD7F7C">
            <w:pPr>
              <w:pStyle w:val="10"/>
              <w:jc w:val="both"/>
              <w:rPr>
                <w:sz w:val="16"/>
              </w:rPr>
            </w:pPr>
            <w:r>
              <w:rPr>
                <w:sz w:val="16"/>
              </w:rPr>
              <w:t>Год</w:t>
            </w:r>
            <w:r>
              <w:rPr>
                <w:sz w:val="16"/>
              </w:rPr>
              <w:fldChar w:fldCharType="begin"/>
            </w:r>
            <w:r>
              <w:rPr>
                <w:sz w:val="16"/>
              </w:rPr>
              <w:instrText>PRIVATE</w:instrText>
            </w:r>
            <w:r>
              <w:rPr>
                <w:sz w:val="16"/>
              </w:rPr>
              <w:fldChar w:fldCharType="end"/>
            </w:r>
          </w:p>
        </w:tc>
        <w:tc>
          <w:tcPr>
            <w:tcW w:w="1122" w:type="dxa"/>
            <w:tcBorders>
              <w:top w:val="single" w:sz="4" w:space="0" w:color="auto"/>
              <w:bottom w:val="single" w:sz="4" w:space="0" w:color="auto"/>
            </w:tcBorders>
            <w:vAlign w:val="center"/>
          </w:tcPr>
          <w:p w:rsidR="00DD7F7C" w:rsidRDefault="00DD7F7C">
            <w:pPr>
              <w:pStyle w:val="10"/>
              <w:jc w:val="center"/>
              <w:rPr>
                <w:sz w:val="16"/>
              </w:rPr>
            </w:pPr>
            <w:r>
              <w:rPr>
                <w:sz w:val="16"/>
              </w:rPr>
              <w:t>1998</w:t>
            </w:r>
          </w:p>
        </w:tc>
        <w:tc>
          <w:tcPr>
            <w:tcW w:w="993" w:type="dxa"/>
            <w:tcBorders>
              <w:top w:val="single" w:sz="4" w:space="0" w:color="auto"/>
              <w:bottom w:val="single" w:sz="4" w:space="0" w:color="auto"/>
            </w:tcBorders>
            <w:vAlign w:val="center"/>
          </w:tcPr>
          <w:p w:rsidR="00DD7F7C" w:rsidRDefault="00DD7F7C">
            <w:pPr>
              <w:pStyle w:val="10"/>
              <w:jc w:val="center"/>
              <w:rPr>
                <w:sz w:val="16"/>
              </w:rPr>
            </w:pPr>
            <w:r>
              <w:rPr>
                <w:sz w:val="16"/>
              </w:rPr>
              <w:t>1999</w:t>
            </w:r>
          </w:p>
        </w:tc>
        <w:tc>
          <w:tcPr>
            <w:tcW w:w="1275" w:type="dxa"/>
            <w:tcBorders>
              <w:top w:val="single" w:sz="4" w:space="0" w:color="auto"/>
              <w:bottom w:val="single" w:sz="4" w:space="0" w:color="auto"/>
            </w:tcBorders>
            <w:vAlign w:val="center"/>
          </w:tcPr>
          <w:p w:rsidR="00DD7F7C" w:rsidRDefault="00DD7F7C">
            <w:pPr>
              <w:pStyle w:val="10"/>
              <w:jc w:val="center"/>
              <w:rPr>
                <w:sz w:val="16"/>
              </w:rPr>
            </w:pPr>
            <w:r>
              <w:rPr>
                <w:sz w:val="16"/>
              </w:rPr>
              <w:t>2000</w:t>
            </w:r>
          </w:p>
        </w:tc>
      </w:tr>
      <w:tr w:rsidR="00DD7F7C">
        <w:trPr>
          <w:jc w:val="center"/>
        </w:trPr>
        <w:tc>
          <w:tcPr>
            <w:tcW w:w="6100" w:type="dxa"/>
            <w:tcBorders>
              <w:top w:val="single" w:sz="4" w:space="0" w:color="auto"/>
              <w:bottom w:val="nil"/>
            </w:tcBorders>
            <w:vAlign w:val="center"/>
          </w:tcPr>
          <w:p w:rsidR="00DD7F7C" w:rsidRDefault="00DD7F7C">
            <w:pPr>
              <w:pStyle w:val="10"/>
              <w:jc w:val="both"/>
              <w:rPr>
                <w:sz w:val="16"/>
              </w:rPr>
            </w:pPr>
            <w:r>
              <w:rPr>
                <w:sz w:val="16"/>
              </w:rPr>
              <w:t>Валовой внутренний продукт</w:t>
            </w:r>
          </w:p>
        </w:tc>
        <w:tc>
          <w:tcPr>
            <w:tcW w:w="1122" w:type="dxa"/>
            <w:tcBorders>
              <w:top w:val="single" w:sz="4" w:space="0" w:color="auto"/>
              <w:bottom w:val="nil"/>
            </w:tcBorders>
            <w:vAlign w:val="center"/>
          </w:tcPr>
          <w:p w:rsidR="00DD7F7C" w:rsidRDefault="00DD7F7C">
            <w:pPr>
              <w:pStyle w:val="10"/>
              <w:jc w:val="center"/>
              <w:rPr>
                <w:sz w:val="16"/>
              </w:rPr>
            </w:pPr>
            <w:r>
              <w:rPr>
                <w:sz w:val="16"/>
              </w:rPr>
              <w:t>- 4,9</w:t>
            </w:r>
          </w:p>
        </w:tc>
        <w:tc>
          <w:tcPr>
            <w:tcW w:w="993" w:type="dxa"/>
            <w:tcBorders>
              <w:top w:val="single" w:sz="4" w:space="0" w:color="auto"/>
              <w:bottom w:val="nil"/>
            </w:tcBorders>
            <w:vAlign w:val="center"/>
          </w:tcPr>
          <w:p w:rsidR="00DD7F7C" w:rsidRDefault="00DD7F7C">
            <w:pPr>
              <w:pStyle w:val="10"/>
              <w:jc w:val="center"/>
              <w:rPr>
                <w:sz w:val="16"/>
              </w:rPr>
            </w:pPr>
            <w:r>
              <w:rPr>
                <w:sz w:val="16"/>
              </w:rPr>
              <w:t>3,5</w:t>
            </w:r>
          </w:p>
        </w:tc>
        <w:tc>
          <w:tcPr>
            <w:tcW w:w="1275" w:type="dxa"/>
            <w:tcBorders>
              <w:top w:val="single" w:sz="4" w:space="0" w:color="auto"/>
              <w:bottom w:val="nil"/>
            </w:tcBorders>
            <w:vAlign w:val="center"/>
          </w:tcPr>
          <w:p w:rsidR="00DD7F7C" w:rsidRDefault="00DD7F7C">
            <w:pPr>
              <w:pStyle w:val="10"/>
              <w:jc w:val="center"/>
              <w:rPr>
                <w:sz w:val="16"/>
              </w:rPr>
            </w:pPr>
            <w:r>
              <w:rPr>
                <w:sz w:val="16"/>
              </w:rPr>
              <w:t>7,7</w:t>
            </w:r>
          </w:p>
        </w:tc>
      </w:tr>
      <w:tr w:rsidR="00DD7F7C">
        <w:trPr>
          <w:jc w:val="center"/>
        </w:trPr>
        <w:tc>
          <w:tcPr>
            <w:tcW w:w="6100" w:type="dxa"/>
            <w:tcBorders>
              <w:top w:val="nil"/>
            </w:tcBorders>
            <w:vAlign w:val="center"/>
          </w:tcPr>
          <w:p w:rsidR="00DD7F7C" w:rsidRDefault="00DD7F7C">
            <w:pPr>
              <w:pStyle w:val="10"/>
              <w:jc w:val="both"/>
              <w:rPr>
                <w:sz w:val="16"/>
              </w:rPr>
            </w:pPr>
            <w:r>
              <w:rPr>
                <w:sz w:val="16"/>
              </w:rPr>
              <w:t>Расходы на конечное потребление</w:t>
            </w:r>
          </w:p>
        </w:tc>
        <w:tc>
          <w:tcPr>
            <w:tcW w:w="1122" w:type="dxa"/>
            <w:tcBorders>
              <w:top w:val="nil"/>
            </w:tcBorders>
            <w:vAlign w:val="center"/>
          </w:tcPr>
          <w:p w:rsidR="00DD7F7C" w:rsidRDefault="00DD7F7C">
            <w:pPr>
              <w:pStyle w:val="10"/>
              <w:jc w:val="center"/>
              <w:rPr>
                <w:sz w:val="16"/>
              </w:rPr>
            </w:pPr>
            <w:r>
              <w:rPr>
                <w:sz w:val="16"/>
              </w:rPr>
              <w:t>- 2,1</w:t>
            </w:r>
          </w:p>
        </w:tc>
        <w:tc>
          <w:tcPr>
            <w:tcW w:w="993" w:type="dxa"/>
            <w:tcBorders>
              <w:top w:val="nil"/>
            </w:tcBorders>
            <w:vAlign w:val="center"/>
          </w:tcPr>
          <w:p w:rsidR="00DD7F7C" w:rsidRDefault="00DD7F7C">
            <w:pPr>
              <w:pStyle w:val="10"/>
              <w:jc w:val="center"/>
              <w:rPr>
                <w:sz w:val="16"/>
              </w:rPr>
            </w:pPr>
            <w:r>
              <w:rPr>
                <w:sz w:val="16"/>
              </w:rPr>
              <w:t>- 2,2</w:t>
            </w:r>
          </w:p>
        </w:tc>
        <w:tc>
          <w:tcPr>
            <w:tcW w:w="1275" w:type="dxa"/>
            <w:tcBorders>
              <w:top w:val="nil"/>
            </w:tcBorders>
            <w:vAlign w:val="center"/>
          </w:tcPr>
          <w:p w:rsidR="00DD7F7C" w:rsidRDefault="00DD7F7C">
            <w:pPr>
              <w:pStyle w:val="10"/>
              <w:jc w:val="center"/>
              <w:rPr>
                <w:sz w:val="16"/>
              </w:rPr>
            </w:pPr>
            <w:r>
              <w:rPr>
                <w:sz w:val="16"/>
              </w:rPr>
              <w:t>7,5</w:t>
            </w:r>
          </w:p>
        </w:tc>
      </w:tr>
      <w:tr w:rsidR="00DD7F7C">
        <w:trPr>
          <w:jc w:val="center"/>
        </w:trPr>
        <w:tc>
          <w:tcPr>
            <w:tcW w:w="6100" w:type="dxa"/>
            <w:vAlign w:val="center"/>
          </w:tcPr>
          <w:p w:rsidR="00DD7F7C" w:rsidRDefault="00DD7F7C">
            <w:pPr>
              <w:pStyle w:val="10"/>
              <w:jc w:val="both"/>
              <w:rPr>
                <w:sz w:val="16"/>
              </w:rPr>
            </w:pPr>
            <w:r>
              <w:rPr>
                <w:sz w:val="16"/>
              </w:rPr>
              <w:t>домашних хозяйств</w:t>
            </w:r>
          </w:p>
        </w:tc>
        <w:tc>
          <w:tcPr>
            <w:tcW w:w="1122" w:type="dxa"/>
            <w:vAlign w:val="center"/>
          </w:tcPr>
          <w:p w:rsidR="00DD7F7C" w:rsidRDefault="00DD7F7C">
            <w:pPr>
              <w:pStyle w:val="10"/>
              <w:jc w:val="center"/>
              <w:rPr>
                <w:sz w:val="16"/>
              </w:rPr>
            </w:pPr>
            <w:r>
              <w:rPr>
                <w:sz w:val="16"/>
              </w:rPr>
              <w:t>- 3,2</w:t>
            </w:r>
          </w:p>
        </w:tc>
        <w:tc>
          <w:tcPr>
            <w:tcW w:w="993" w:type="dxa"/>
            <w:vAlign w:val="center"/>
          </w:tcPr>
          <w:p w:rsidR="00DD7F7C" w:rsidRDefault="00DD7F7C">
            <w:pPr>
              <w:pStyle w:val="10"/>
              <w:jc w:val="center"/>
              <w:rPr>
                <w:sz w:val="16"/>
              </w:rPr>
            </w:pPr>
            <w:r>
              <w:rPr>
                <w:sz w:val="16"/>
              </w:rPr>
              <w:t>- 3,8</w:t>
            </w:r>
          </w:p>
        </w:tc>
        <w:tc>
          <w:tcPr>
            <w:tcW w:w="1275" w:type="dxa"/>
            <w:vAlign w:val="center"/>
          </w:tcPr>
          <w:p w:rsidR="00DD7F7C" w:rsidRDefault="00DD7F7C">
            <w:pPr>
              <w:pStyle w:val="10"/>
              <w:jc w:val="center"/>
              <w:rPr>
                <w:sz w:val="16"/>
              </w:rPr>
            </w:pPr>
            <w:r>
              <w:rPr>
                <w:sz w:val="16"/>
              </w:rPr>
              <w:t>9,6</w:t>
            </w:r>
          </w:p>
        </w:tc>
      </w:tr>
      <w:tr w:rsidR="00DD7F7C">
        <w:trPr>
          <w:jc w:val="center"/>
        </w:trPr>
        <w:tc>
          <w:tcPr>
            <w:tcW w:w="6100" w:type="dxa"/>
            <w:vAlign w:val="center"/>
          </w:tcPr>
          <w:p w:rsidR="00DD7F7C" w:rsidRDefault="00DD7F7C">
            <w:pPr>
              <w:pStyle w:val="10"/>
              <w:jc w:val="both"/>
              <w:rPr>
                <w:sz w:val="16"/>
              </w:rPr>
            </w:pPr>
            <w:r>
              <w:rPr>
                <w:sz w:val="16"/>
              </w:rPr>
              <w:t>государственных учреждений</w:t>
            </w:r>
          </w:p>
        </w:tc>
        <w:tc>
          <w:tcPr>
            <w:tcW w:w="1122" w:type="dxa"/>
            <w:vAlign w:val="center"/>
          </w:tcPr>
          <w:p w:rsidR="00DD7F7C" w:rsidRDefault="00DD7F7C">
            <w:pPr>
              <w:pStyle w:val="10"/>
              <w:jc w:val="center"/>
              <w:rPr>
                <w:sz w:val="16"/>
              </w:rPr>
            </w:pPr>
            <w:r>
              <w:rPr>
                <w:sz w:val="16"/>
              </w:rPr>
              <w:t>0,6</w:t>
            </w:r>
          </w:p>
        </w:tc>
        <w:tc>
          <w:tcPr>
            <w:tcW w:w="993" w:type="dxa"/>
            <w:vAlign w:val="center"/>
          </w:tcPr>
          <w:p w:rsidR="00DD7F7C" w:rsidRDefault="00DD7F7C">
            <w:pPr>
              <w:pStyle w:val="10"/>
              <w:jc w:val="center"/>
              <w:rPr>
                <w:sz w:val="16"/>
              </w:rPr>
            </w:pPr>
            <w:r>
              <w:rPr>
                <w:sz w:val="16"/>
              </w:rPr>
              <w:t>3,0</w:t>
            </w:r>
          </w:p>
        </w:tc>
        <w:tc>
          <w:tcPr>
            <w:tcW w:w="1275" w:type="dxa"/>
            <w:vAlign w:val="center"/>
          </w:tcPr>
          <w:p w:rsidR="00DD7F7C" w:rsidRDefault="00DD7F7C">
            <w:pPr>
              <w:pStyle w:val="10"/>
              <w:jc w:val="center"/>
              <w:rPr>
                <w:sz w:val="16"/>
              </w:rPr>
            </w:pPr>
            <w:r>
              <w:rPr>
                <w:sz w:val="16"/>
              </w:rPr>
              <w:t>1,5</w:t>
            </w:r>
          </w:p>
        </w:tc>
      </w:tr>
      <w:tr w:rsidR="00DD7F7C">
        <w:trPr>
          <w:jc w:val="center"/>
        </w:trPr>
        <w:tc>
          <w:tcPr>
            <w:tcW w:w="6100" w:type="dxa"/>
            <w:vAlign w:val="center"/>
          </w:tcPr>
          <w:p w:rsidR="00DD7F7C" w:rsidRDefault="00DD7F7C">
            <w:pPr>
              <w:pStyle w:val="10"/>
              <w:jc w:val="both"/>
              <w:rPr>
                <w:sz w:val="16"/>
              </w:rPr>
            </w:pPr>
            <w:r>
              <w:rPr>
                <w:sz w:val="16"/>
              </w:rPr>
              <w:t>НКО*)</w:t>
            </w:r>
          </w:p>
        </w:tc>
        <w:tc>
          <w:tcPr>
            <w:tcW w:w="1122" w:type="dxa"/>
            <w:vAlign w:val="center"/>
          </w:tcPr>
          <w:p w:rsidR="00DD7F7C" w:rsidRDefault="00DD7F7C">
            <w:pPr>
              <w:pStyle w:val="10"/>
              <w:jc w:val="center"/>
              <w:rPr>
                <w:sz w:val="16"/>
              </w:rPr>
            </w:pPr>
            <w:r>
              <w:rPr>
                <w:sz w:val="16"/>
              </w:rPr>
              <w:t>- 1,6</w:t>
            </w:r>
          </w:p>
        </w:tc>
        <w:tc>
          <w:tcPr>
            <w:tcW w:w="993" w:type="dxa"/>
            <w:vAlign w:val="center"/>
          </w:tcPr>
          <w:p w:rsidR="00DD7F7C" w:rsidRDefault="00DD7F7C">
            <w:pPr>
              <w:pStyle w:val="10"/>
              <w:jc w:val="center"/>
              <w:rPr>
                <w:sz w:val="16"/>
              </w:rPr>
            </w:pPr>
            <w:r>
              <w:rPr>
                <w:sz w:val="16"/>
              </w:rPr>
              <w:t>- 5,6</w:t>
            </w:r>
          </w:p>
        </w:tc>
        <w:tc>
          <w:tcPr>
            <w:tcW w:w="1275" w:type="dxa"/>
            <w:vAlign w:val="center"/>
          </w:tcPr>
          <w:p w:rsidR="00DD7F7C" w:rsidRDefault="00DD7F7C">
            <w:pPr>
              <w:pStyle w:val="10"/>
              <w:jc w:val="center"/>
              <w:rPr>
                <w:sz w:val="16"/>
              </w:rPr>
            </w:pPr>
            <w:r>
              <w:rPr>
                <w:sz w:val="16"/>
              </w:rPr>
              <w:t>- 0,3</w:t>
            </w:r>
          </w:p>
        </w:tc>
      </w:tr>
      <w:tr w:rsidR="00DD7F7C">
        <w:trPr>
          <w:jc w:val="center"/>
        </w:trPr>
        <w:tc>
          <w:tcPr>
            <w:tcW w:w="6100" w:type="dxa"/>
            <w:vAlign w:val="center"/>
          </w:tcPr>
          <w:p w:rsidR="00DD7F7C" w:rsidRDefault="00DD7F7C">
            <w:pPr>
              <w:pStyle w:val="10"/>
              <w:jc w:val="both"/>
              <w:rPr>
                <w:sz w:val="16"/>
              </w:rPr>
            </w:pPr>
            <w:r>
              <w:rPr>
                <w:sz w:val="16"/>
              </w:rPr>
              <w:t>Валовое накопление</w:t>
            </w:r>
          </w:p>
        </w:tc>
        <w:tc>
          <w:tcPr>
            <w:tcW w:w="1122" w:type="dxa"/>
            <w:vAlign w:val="center"/>
          </w:tcPr>
          <w:p w:rsidR="00DD7F7C" w:rsidRDefault="00DD7F7C">
            <w:pPr>
              <w:pStyle w:val="10"/>
              <w:jc w:val="center"/>
              <w:rPr>
                <w:sz w:val="16"/>
              </w:rPr>
            </w:pPr>
            <w:r>
              <w:rPr>
                <w:sz w:val="16"/>
              </w:rPr>
              <w:t>- 29,9</w:t>
            </w:r>
          </w:p>
        </w:tc>
        <w:tc>
          <w:tcPr>
            <w:tcW w:w="993" w:type="dxa"/>
            <w:vAlign w:val="center"/>
          </w:tcPr>
          <w:p w:rsidR="00DD7F7C" w:rsidRDefault="00DD7F7C">
            <w:pPr>
              <w:pStyle w:val="10"/>
              <w:jc w:val="center"/>
              <w:rPr>
                <w:sz w:val="16"/>
              </w:rPr>
            </w:pPr>
            <w:r>
              <w:rPr>
                <w:sz w:val="16"/>
              </w:rPr>
              <w:t>1,7</w:t>
            </w:r>
          </w:p>
        </w:tc>
        <w:tc>
          <w:tcPr>
            <w:tcW w:w="1275" w:type="dxa"/>
            <w:vAlign w:val="center"/>
          </w:tcPr>
          <w:p w:rsidR="00DD7F7C" w:rsidRDefault="00DD7F7C">
            <w:pPr>
              <w:pStyle w:val="10"/>
              <w:jc w:val="center"/>
              <w:rPr>
                <w:sz w:val="16"/>
              </w:rPr>
            </w:pPr>
            <w:r>
              <w:rPr>
                <w:sz w:val="16"/>
              </w:rPr>
              <w:t>18,0</w:t>
            </w:r>
          </w:p>
        </w:tc>
      </w:tr>
      <w:tr w:rsidR="00DD7F7C">
        <w:trPr>
          <w:jc w:val="center"/>
        </w:trPr>
        <w:tc>
          <w:tcPr>
            <w:tcW w:w="6100" w:type="dxa"/>
            <w:vAlign w:val="center"/>
          </w:tcPr>
          <w:p w:rsidR="00DD7F7C" w:rsidRDefault="00DD7F7C">
            <w:pPr>
              <w:pStyle w:val="10"/>
              <w:jc w:val="both"/>
              <w:rPr>
                <w:sz w:val="16"/>
              </w:rPr>
            </w:pPr>
            <w:r>
              <w:rPr>
                <w:sz w:val="16"/>
              </w:rPr>
              <w:t>Внутренний рост</w:t>
            </w:r>
          </w:p>
        </w:tc>
        <w:tc>
          <w:tcPr>
            <w:tcW w:w="1122" w:type="dxa"/>
            <w:vAlign w:val="center"/>
          </w:tcPr>
          <w:p w:rsidR="00DD7F7C" w:rsidRDefault="00DD7F7C">
            <w:pPr>
              <w:pStyle w:val="10"/>
              <w:jc w:val="center"/>
              <w:rPr>
                <w:sz w:val="16"/>
              </w:rPr>
            </w:pPr>
            <w:r>
              <w:rPr>
                <w:sz w:val="16"/>
              </w:rPr>
              <w:t>- 8,3</w:t>
            </w:r>
          </w:p>
        </w:tc>
        <w:tc>
          <w:tcPr>
            <w:tcW w:w="993" w:type="dxa"/>
            <w:vAlign w:val="center"/>
          </w:tcPr>
          <w:p w:rsidR="00DD7F7C" w:rsidRDefault="00DD7F7C">
            <w:pPr>
              <w:pStyle w:val="10"/>
              <w:jc w:val="center"/>
              <w:rPr>
                <w:sz w:val="16"/>
              </w:rPr>
            </w:pPr>
            <w:r>
              <w:rPr>
                <w:sz w:val="16"/>
              </w:rPr>
              <w:t>- 1,5</w:t>
            </w:r>
          </w:p>
        </w:tc>
        <w:tc>
          <w:tcPr>
            <w:tcW w:w="1275" w:type="dxa"/>
            <w:vAlign w:val="center"/>
          </w:tcPr>
          <w:p w:rsidR="00DD7F7C" w:rsidRDefault="00DD7F7C">
            <w:pPr>
              <w:pStyle w:val="10"/>
              <w:jc w:val="center"/>
              <w:rPr>
                <w:sz w:val="16"/>
              </w:rPr>
            </w:pPr>
            <w:r>
              <w:rPr>
                <w:sz w:val="16"/>
              </w:rPr>
              <w:t>9,4</w:t>
            </w:r>
          </w:p>
        </w:tc>
      </w:tr>
      <w:tr w:rsidR="00DD7F7C">
        <w:trPr>
          <w:jc w:val="center"/>
        </w:trPr>
        <w:tc>
          <w:tcPr>
            <w:tcW w:w="6100" w:type="dxa"/>
            <w:vAlign w:val="center"/>
          </w:tcPr>
          <w:p w:rsidR="00DD7F7C" w:rsidRDefault="00DD7F7C">
            <w:pPr>
              <w:pStyle w:val="10"/>
              <w:jc w:val="both"/>
              <w:rPr>
                <w:sz w:val="16"/>
              </w:rPr>
            </w:pPr>
            <w:r>
              <w:rPr>
                <w:sz w:val="16"/>
              </w:rPr>
              <w:t>Чистый экспорт</w:t>
            </w:r>
          </w:p>
        </w:tc>
        <w:tc>
          <w:tcPr>
            <w:tcW w:w="1122" w:type="dxa"/>
            <w:vAlign w:val="center"/>
          </w:tcPr>
          <w:p w:rsidR="00DD7F7C" w:rsidRDefault="00DD7F7C">
            <w:pPr>
              <w:pStyle w:val="10"/>
              <w:jc w:val="center"/>
              <w:rPr>
                <w:sz w:val="16"/>
              </w:rPr>
            </w:pPr>
            <w:r>
              <w:rPr>
                <w:sz w:val="16"/>
              </w:rPr>
              <w:t>111</w:t>
            </w:r>
          </w:p>
        </w:tc>
        <w:tc>
          <w:tcPr>
            <w:tcW w:w="993" w:type="dxa"/>
            <w:vAlign w:val="center"/>
          </w:tcPr>
          <w:p w:rsidR="00DD7F7C" w:rsidRDefault="00DD7F7C">
            <w:pPr>
              <w:pStyle w:val="10"/>
              <w:jc w:val="center"/>
              <w:rPr>
                <w:sz w:val="16"/>
              </w:rPr>
            </w:pPr>
            <w:r>
              <w:rPr>
                <w:sz w:val="16"/>
              </w:rPr>
              <w:t>69,1</w:t>
            </w:r>
          </w:p>
        </w:tc>
        <w:tc>
          <w:tcPr>
            <w:tcW w:w="1275" w:type="dxa"/>
            <w:vAlign w:val="center"/>
          </w:tcPr>
          <w:p w:rsidR="00DD7F7C" w:rsidRDefault="00DD7F7C">
            <w:pPr>
              <w:pStyle w:val="10"/>
              <w:jc w:val="center"/>
              <w:rPr>
                <w:sz w:val="16"/>
              </w:rPr>
            </w:pPr>
            <w:r>
              <w:rPr>
                <w:sz w:val="16"/>
              </w:rPr>
              <w:t>1,3</w:t>
            </w:r>
          </w:p>
        </w:tc>
      </w:tr>
      <w:tr w:rsidR="00DD7F7C">
        <w:trPr>
          <w:jc w:val="center"/>
        </w:trPr>
        <w:tc>
          <w:tcPr>
            <w:tcW w:w="6100" w:type="dxa"/>
            <w:vAlign w:val="center"/>
          </w:tcPr>
          <w:p w:rsidR="00DD7F7C" w:rsidRDefault="00DD7F7C">
            <w:pPr>
              <w:pStyle w:val="10"/>
              <w:jc w:val="both"/>
              <w:rPr>
                <w:sz w:val="16"/>
              </w:rPr>
            </w:pPr>
            <w:r>
              <w:rPr>
                <w:sz w:val="16"/>
              </w:rPr>
              <w:t>Экспорт</w:t>
            </w:r>
          </w:p>
        </w:tc>
        <w:tc>
          <w:tcPr>
            <w:tcW w:w="1122" w:type="dxa"/>
            <w:vAlign w:val="center"/>
          </w:tcPr>
          <w:p w:rsidR="00DD7F7C" w:rsidRDefault="00DD7F7C">
            <w:pPr>
              <w:pStyle w:val="10"/>
              <w:jc w:val="center"/>
              <w:rPr>
                <w:sz w:val="16"/>
              </w:rPr>
            </w:pPr>
            <w:r>
              <w:rPr>
                <w:sz w:val="16"/>
              </w:rPr>
              <w:t>1,9</w:t>
            </w:r>
          </w:p>
        </w:tc>
        <w:tc>
          <w:tcPr>
            <w:tcW w:w="993" w:type="dxa"/>
            <w:vAlign w:val="center"/>
          </w:tcPr>
          <w:p w:rsidR="00DD7F7C" w:rsidRDefault="00DD7F7C">
            <w:pPr>
              <w:pStyle w:val="10"/>
              <w:jc w:val="center"/>
              <w:rPr>
                <w:sz w:val="16"/>
              </w:rPr>
            </w:pPr>
            <w:r>
              <w:rPr>
                <w:sz w:val="16"/>
              </w:rPr>
              <w:t>9,4</w:t>
            </w:r>
          </w:p>
        </w:tc>
        <w:tc>
          <w:tcPr>
            <w:tcW w:w="1275" w:type="dxa"/>
            <w:vAlign w:val="center"/>
          </w:tcPr>
          <w:p w:rsidR="00DD7F7C" w:rsidRDefault="00DD7F7C">
            <w:pPr>
              <w:pStyle w:val="10"/>
              <w:jc w:val="center"/>
              <w:rPr>
                <w:sz w:val="16"/>
              </w:rPr>
            </w:pPr>
            <w:r>
              <w:rPr>
                <w:sz w:val="16"/>
              </w:rPr>
              <w:t>8,7</w:t>
            </w:r>
          </w:p>
        </w:tc>
      </w:tr>
      <w:tr w:rsidR="00DD7F7C">
        <w:trPr>
          <w:jc w:val="center"/>
        </w:trPr>
        <w:tc>
          <w:tcPr>
            <w:tcW w:w="6100" w:type="dxa"/>
            <w:vAlign w:val="center"/>
          </w:tcPr>
          <w:p w:rsidR="00DD7F7C" w:rsidRDefault="00DD7F7C">
            <w:pPr>
              <w:pStyle w:val="10"/>
              <w:jc w:val="both"/>
              <w:rPr>
                <w:sz w:val="16"/>
              </w:rPr>
            </w:pPr>
            <w:r>
              <w:rPr>
                <w:sz w:val="16"/>
              </w:rPr>
              <w:t>Импорт</w:t>
            </w:r>
          </w:p>
        </w:tc>
        <w:tc>
          <w:tcPr>
            <w:tcW w:w="1122" w:type="dxa"/>
            <w:vAlign w:val="center"/>
          </w:tcPr>
          <w:p w:rsidR="00DD7F7C" w:rsidRDefault="00DD7F7C">
            <w:pPr>
              <w:pStyle w:val="10"/>
              <w:jc w:val="center"/>
              <w:rPr>
                <w:sz w:val="16"/>
              </w:rPr>
            </w:pPr>
            <w:r>
              <w:rPr>
                <w:sz w:val="16"/>
              </w:rPr>
              <w:t>- 13,6</w:t>
            </w:r>
          </w:p>
        </w:tc>
        <w:tc>
          <w:tcPr>
            <w:tcW w:w="993" w:type="dxa"/>
            <w:vAlign w:val="center"/>
          </w:tcPr>
          <w:p w:rsidR="00DD7F7C" w:rsidRDefault="00DD7F7C">
            <w:pPr>
              <w:pStyle w:val="10"/>
              <w:jc w:val="center"/>
              <w:rPr>
                <w:sz w:val="16"/>
              </w:rPr>
            </w:pPr>
            <w:r>
              <w:rPr>
                <w:sz w:val="16"/>
              </w:rPr>
              <w:t>- 8,8</w:t>
            </w:r>
          </w:p>
        </w:tc>
        <w:tc>
          <w:tcPr>
            <w:tcW w:w="1275" w:type="dxa"/>
            <w:vAlign w:val="center"/>
          </w:tcPr>
          <w:p w:rsidR="00DD7F7C" w:rsidRDefault="00DD7F7C">
            <w:pPr>
              <w:pStyle w:val="10"/>
              <w:jc w:val="center"/>
              <w:rPr>
                <w:sz w:val="16"/>
              </w:rPr>
            </w:pPr>
            <w:r>
              <w:rPr>
                <w:sz w:val="16"/>
              </w:rPr>
              <w:t>13,5</w:t>
            </w:r>
          </w:p>
        </w:tc>
      </w:tr>
    </w:tbl>
    <w:p w:rsidR="00DD7F7C" w:rsidRDefault="00DD7F7C">
      <w:pPr>
        <w:pStyle w:val="a5"/>
        <w:ind w:firstLine="0"/>
        <w:rPr>
          <w:b/>
        </w:rPr>
      </w:pPr>
      <w:r>
        <w:rPr>
          <w:sz w:val="16"/>
        </w:rPr>
        <w:t>*) Некоммерческие организации, обслуживающие домашние хозяйства</w:t>
      </w:r>
    </w:p>
    <w:p w:rsidR="00DD7F7C" w:rsidRDefault="00DD7F7C">
      <w:pPr>
        <w:pStyle w:val="10"/>
        <w:jc w:val="both"/>
        <w:rPr>
          <w:sz w:val="28"/>
        </w:rPr>
      </w:pPr>
      <w:r>
        <w:rPr>
          <w:sz w:val="28"/>
        </w:rPr>
        <w:t xml:space="preserve">     Расширение платежеспособного спроса домашних хозяйств было обеспечено за счет роста реальных располагаемых денежных доходов, который носил "догоняющий" характер и компенсировал их стагнацию в 1999 году (см. рис. 4). При этом к концу 2000 года потребительский спрос начал все в большей мере переключаться на импортные товары вследствие опережающего роста цен на отечественные товары относительно динамики изменения курса доллара.</w:t>
      </w:r>
    </w:p>
    <w:p w:rsidR="00DD7F7C" w:rsidRDefault="002A07F1">
      <w:pPr>
        <w:pStyle w:val="10"/>
        <w:jc w:val="both"/>
        <w:rPr>
          <w:sz w:val="28"/>
        </w:rPr>
      </w:pPr>
      <w:r>
        <w:rPr>
          <w:noProof/>
          <w:snapToGrid/>
          <w:sz w:val="28"/>
        </w:rPr>
        <w:pict>
          <v:shape id="_x0000_s1029" type="#_x0000_t75" style="position:absolute;left:0;text-align:left;margin-left:73.35pt;margin-top:41.8pt;width:362.45pt;height:169.85pt;z-index:251659264" o:allowincell="f">
            <v:imagedata r:id="rId13" o:title=""/>
            <w10:wrap type="topAndBottom"/>
          </v:shape>
        </w:pict>
      </w:r>
    </w:p>
    <w:p w:rsidR="00DD7F7C" w:rsidRDefault="00DD7F7C">
      <w:pPr>
        <w:pStyle w:val="10"/>
        <w:jc w:val="right"/>
        <w:rPr>
          <w:sz w:val="28"/>
        </w:rPr>
      </w:pPr>
    </w:p>
    <w:p w:rsidR="00DD7F7C" w:rsidRDefault="00DD7F7C">
      <w:pPr>
        <w:pStyle w:val="10"/>
        <w:jc w:val="right"/>
        <w:rPr>
          <w:sz w:val="28"/>
        </w:rPr>
      </w:pPr>
      <w:r>
        <w:rPr>
          <w:sz w:val="28"/>
        </w:rPr>
        <w:t>Таблица 6</w:t>
      </w:r>
    </w:p>
    <w:p w:rsidR="00DD7F7C" w:rsidRDefault="00DD7F7C">
      <w:pPr>
        <w:pStyle w:val="10"/>
        <w:jc w:val="center"/>
        <w:rPr>
          <w:sz w:val="28"/>
        </w:rPr>
      </w:pPr>
      <w:r>
        <w:rPr>
          <w:sz w:val="28"/>
        </w:rPr>
        <w:t xml:space="preserve"> Структура использования ВВП в 1998 – 2000 годах </w:t>
      </w:r>
      <w:r>
        <w:rPr>
          <w:sz w:val="28"/>
        </w:rPr>
        <w:br/>
        <w:t>(в % к итогу)</w:t>
      </w:r>
    </w:p>
    <w:p w:rsidR="00DD7F7C" w:rsidRDefault="00DD7F7C">
      <w:pPr>
        <w:pStyle w:val="10"/>
        <w:jc w:val="center"/>
        <w:rPr>
          <w:sz w:val="28"/>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5952"/>
        <w:gridCol w:w="1077"/>
        <w:gridCol w:w="1134"/>
        <w:gridCol w:w="1073"/>
      </w:tblGrid>
      <w:tr w:rsidR="00DD7F7C">
        <w:trPr>
          <w:jc w:val="center"/>
        </w:trPr>
        <w:tc>
          <w:tcPr>
            <w:tcW w:w="5952" w:type="dxa"/>
            <w:tcBorders>
              <w:bottom w:val="nil"/>
            </w:tcBorders>
            <w:vAlign w:val="center"/>
          </w:tcPr>
          <w:p w:rsidR="00DD7F7C" w:rsidRDefault="00DD7F7C">
            <w:pPr>
              <w:pStyle w:val="10"/>
              <w:rPr>
                <w:sz w:val="16"/>
              </w:rPr>
            </w:pPr>
            <w:r>
              <w:rPr>
                <w:sz w:val="16"/>
              </w:rPr>
              <w:t>Год</w:t>
            </w:r>
            <w:r>
              <w:rPr>
                <w:sz w:val="16"/>
              </w:rPr>
              <w:fldChar w:fldCharType="begin"/>
            </w:r>
            <w:r>
              <w:rPr>
                <w:sz w:val="16"/>
              </w:rPr>
              <w:instrText>PRIVATE</w:instrText>
            </w:r>
            <w:r>
              <w:rPr>
                <w:sz w:val="16"/>
              </w:rPr>
              <w:fldChar w:fldCharType="end"/>
            </w:r>
          </w:p>
        </w:tc>
        <w:tc>
          <w:tcPr>
            <w:tcW w:w="1077" w:type="dxa"/>
            <w:tcBorders>
              <w:bottom w:val="nil"/>
            </w:tcBorders>
            <w:vAlign w:val="center"/>
          </w:tcPr>
          <w:p w:rsidR="00DD7F7C" w:rsidRDefault="00DD7F7C">
            <w:pPr>
              <w:pStyle w:val="10"/>
              <w:jc w:val="center"/>
              <w:rPr>
                <w:sz w:val="16"/>
              </w:rPr>
            </w:pPr>
            <w:r>
              <w:rPr>
                <w:sz w:val="16"/>
              </w:rPr>
              <w:t>1998</w:t>
            </w:r>
          </w:p>
        </w:tc>
        <w:tc>
          <w:tcPr>
            <w:tcW w:w="1134" w:type="dxa"/>
            <w:tcBorders>
              <w:bottom w:val="nil"/>
            </w:tcBorders>
            <w:vAlign w:val="center"/>
          </w:tcPr>
          <w:p w:rsidR="00DD7F7C" w:rsidRDefault="00DD7F7C">
            <w:pPr>
              <w:pStyle w:val="10"/>
              <w:jc w:val="center"/>
              <w:rPr>
                <w:sz w:val="16"/>
              </w:rPr>
            </w:pPr>
            <w:r>
              <w:rPr>
                <w:sz w:val="16"/>
              </w:rPr>
              <w:t>1999</w:t>
            </w:r>
          </w:p>
        </w:tc>
        <w:tc>
          <w:tcPr>
            <w:tcW w:w="1073" w:type="dxa"/>
            <w:tcBorders>
              <w:bottom w:val="nil"/>
            </w:tcBorders>
            <w:vAlign w:val="center"/>
          </w:tcPr>
          <w:p w:rsidR="00DD7F7C" w:rsidRDefault="00DD7F7C">
            <w:pPr>
              <w:pStyle w:val="10"/>
              <w:jc w:val="center"/>
              <w:rPr>
                <w:sz w:val="16"/>
              </w:rPr>
            </w:pPr>
            <w:r>
              <w:rPr>
                <w:sz w:val="16"/>
              </w:rPr>
              <w:t>2000</w:t>
            </w:r>
          </w:p>
        </w:tc>
      </w:tr>
      <w:tr w:rsidR="00DD7F7C">
        <w:trPr>
          <w:jc w:val="center"/>
        </w:trPr>
        <w:tc>
          <w:tcPr>
            <w:tcW w:w="5952" w:type="dxa"/>
            <w:tcBorders>
              <w:top w:val="nil"/>
              <w:bottom w:val="single" w:sz="4" w:space="0" w:color="auto"/>
            </w:tcBorders>
            <w:vAlign w:val="center"/>
          </w:tcPr>
          <w:p w:rsidR="00DD7F7C" w:rsidRDefault="00DD7F7C">
            <w:pPr>
              <w:pStyle w:val="10"/>
              <w:rPr>
                <w:sz w:val="16"/>
              </w:rPr>
            </w:pPr>
          </w:p>
        </w:tc>
        <w:tc>
          <w:tcPr>
            <w:tcW w:w="1077" w:type="dxa"/>
            <w:tcBorders>
              <w:top w:val="nil"/>
              <w:bottom w:val="single" w:sz="4" w:space="0" w:color="auto"/>
            </w:tcBorders>
            <w:vAlign w:val="center"/>
          </w:tcPr>
          <w:p w:rsidR="00DD7F7C" w:rsidRDefault="00DD7F7C">
            <w:pPr>
              <w:pStyle w:val="10"/>
              <w:jc w:val="center"/>
              <w:rPr>
                <w:sz w:val="16"/>
              </w:rPr>
            </w:pPr>
            <w:r>
              <w:rPr>
                <w:sz w:val="16"/>
              </w:rPr>
              <w:t>в % к итогу</w:t>
            </w:r>
          </w:p>
        </w:tc>
        <w:tc>
          <w:tcPr>
            <w:tcW w:w="1134" w:type="dxa"/>
            <w:tcBorders>
              <w:top w:val="nil"/>
              <w:bottom w:val="single" w:sz="4" w:space="0" w:color="auto"/>
            </w:tcBorders>
            <w:vAlign w:val="center"/>
          </w:tcPr>
          <w:p w:rsidR="00DD7F7C" w:rsidRDefault="00DD7F7C">
            <w:pPr>
              <w:pStyle w:val="10"/>
              <w:jc w:val="center"/>
              <w:rPr>
                <w:sz w:val="16"/>
              </w:rPr>
            </w:pPr>
            <w:r>
              <w:rPr>
                <w:sz w:val="16"/>
              </w:rPr>
              <w:t>в % к итогу</w:t>
            </w:r>
          </w:p>
        </w:tc>
        <w:tc>
          <w:tcPr>
            <w:tcW w:w="1073" w:type="dxa"/>
            <w:tcBorders>
              <w:top w:val="nil"/>
              <w:bottom w:val="single" w:sz="4" w:space="0" w:color="auto"/>
            </w:tcBorders>
            <w:vAlign w:val="center"/>
          </w:tcPr>
          <w:p w:rsidR="00DD7F7C" w:rsidRDefault="00DD7F7C">
            <w:pPr>
              <w:pStyle w:val="10"/>
              <w:jc w:val="center"/>
              <w:rPr>
                <w:sz w:val="16"/>
              </w:rPr>
            </w:pPr>
            <w:r>
              <w:rPr>
                <w:sz w:val="16"/>
              </w:rPr>
              <w:t>в % к итогу</w:t>
            </w:r>
          </w:p>
        </w:tc>
      </w:tr>
      <w:tr w:rsidR="00DD7F7C">
        <w:trPr>
          <w:jc w:val="center"/>
        </w:trPr>
        <w:tc>
          <w:tcPr>
            <w:tcW w:w="5952" w:type="dxa"/>
            <w:tcBorders>
              <w:top w:val="single" w:sz="4" w:space="0" w:color="auto"/>
              <w:bottom w:val="nil"/>
            </w:tcBorders>
            <w:vAlign w:val="center"/>
          </w:tcPr>
          <w:p w:rsidR="00DD7F7C" w:rsidRDefault="00DD7F7C">
            <w:pPr>
              <w:pStyle w:val="10"/>
              <w:rPr>
                <w:sz w:val="16"/>
              </w:rPr>
            </w:pPr>
            <w:r>
              <w:rPr>
                <w:sz w:val="16"/>
              </w:rPr>
              <w:t>Валовой внутренний продукт</w:t>
            </w:r>
          </w:p>
        </w:tc>
        <w:tc>
          <w:tcPr>
            <w:tcW w:w="1077" w:type="dxa"/>
            <w:tcBorders>
              <w:top w:val="single" w:sz="4" w:space="0" w:color="auto"/>
              <w:bottom w:val="nil"/>
            </w:tcBorders>
            <w:vAlign w:val="center"/>
          </w:tcPr>
          <w:p w:rsidR="00DD7F7C" w:rsidRDefault="00DD7F7C">
            <w:pPr>
              <w:pStyle w:val="10"/>
              <w:jc w:val="center"/>
              <w:rPr>
                <w:sz w:val="16"/>
              </w:rPr>
            </w:pPr>
            <w:r>
              <w:rPr>
                <w:sz w:val="16"/>
              </w:rPr>
              <w:t>100,0</w:t>
            </w:r>
          </w:p>
        </w:tc>
        <w:tc>
          <w:tcPr>
            <w:tcW w:w="1134" w:type="dxa"/>
            <w:tcBorders>
              <w:top w:val="single" w:sz="4" w:space="0" w:color="auto"/>
              <w:bottom w:val="nil"/>
            </w:tcBorders>
            <w:vAlign w:val="center"/>
          </w:tcPr>
          <w:p w:rsidR="00DD7F7C" w:rsidRDefault="00DD7F7C">
            <w:pPr>
              <w:pStyle w:val="10"/>
              <w:jc w:val="center"/>
              <w:rPr>
                <w:sz w:val="16"/>
              </w:rPr>
            </w:pPr>
            <w:r>
              <w:rPr>
                <w:sz w:val="16"/>
              </w:rPr>
              <w:t>100,0</w:t>
            </w:r>
          </w:p>
        </w:tc>
        <w:tc>
          <w:tcPr>
            <w:tcW w:w="1073" w:type="dxa"/>
            <w:tcBorders>
              <w:top w:val="single" w:sz="4" w:space="0" w:color="auto"/>
              <w:bottom w:val="nil"/>
            </w:tcBorders>
            <w:vAlign w:val="center"/>
          </w:tcPr>
          <w:p w:rsidR="00DD7F7C" w:rsidRDefault="00DD7F7C">
            <w:pPr>
              <w:pStyle w:val="10"/>
              <w:jc w:val="center"/>
              <w:rPr>
                <w:sz w:val="16"/>
              </w:rPr>
            </w:pPr>
            <w:r>
              <w:rPr>
                <w:sz w:val="16"/>
              </w:rPr>
              <w:t>100,0</w:t>
            </w:r>
          </w:p>
        </w:tc>
      </w:tr>
      <w:tr w:rsidR="00DD7F7C">
        <w:trPr>
          <w:jc w:val="center"/>
        </w:trPr>
        <w:tc>
          <w:tcPr>
            <w:tcW w:w="5952" w:type="dxa"/>
            <w:tcBorders>
              <w:top w:val="nil"/>
            </w:tcBorders>
            <w:vAlign w:val="center"/>
          </w:tcPr>
          <w:p w:rsidR="00DD7F7C" w:rsidRDefault="00DD7F7C">
            <w:pPr>
              <w:pStyle w:val="10"/>
              <w:rPr>
                <w:sz w:val="16"/>
              </w:rPr>
            </w:pPr>
            <w:r>
              <w:rPr>
                <w:sz w:val="16"/>
              </w:rPr>
              <w:t>Расходы на конечное потребление</w:t>
            </w:r>
          </w:p>
        </w:tc>
        <w:tc>
          <w:tcPr>
            <w:tcW w:w="1077" w:type="dxa"/>
            <w:tcBorders>
              <w:top w:val="nil"/>
            </w:tcBorders>
            <w:vAlign w:val="center"/>
          </w:tcPr>
          <w:p w:rsidR="00DD7F7C" w:rsidRDefault="00DD7F7C">
            <w:pPr>
              <w:pStyle w:val="10"/>
              <w:jc w:val="center"/>
              <w:rPr>
                <w:sz w:val="16"/>
              </w:rPr>
            </w:pPr>
            <w:r>
              <w:rPr>
                <w:sz w:val="16"/>
              </w:rPr>
              <w:t>76,6</w:t>
            </w:r>
          </w:p>
        </w:tc>
        <w:tc>
          <w:tcPr>
            <w:tcW w:w="1134" w:type="dxa"/>
            <w:tcBorders>
              <w:top w:val="nil"/>
            </w:tcBorders>
            <w:vAlign w:val="center"/>
          </w:tcPr>
          <w:p w:rsidR="00DD7F7C" w:rsidRDefault="00DD7F7C">
            <w:pPr>
              <w:pStyle w:val="10"/>
              <w:jc w:val="center"/>
              <w:rPr>
                <w:sz w:val="16"/>
              </w:rPr>
            </w:pPr>
            <w:r>
              <w:rPr>
                <w:sz w:val="16"/>
              </w:rPr>
              <w:t>67,8</w:t>
            </w:r>
          </w:p>
        </w:tc>
        <w:tc>
          <w:tcPr>
            <w:tcW w:w="1073" w:type="dxa"/>
            <w:tcBorders>
              <w:top w:val="nil"/>
            </w:tcBorders>
            <w:vAlign w:val="center"/>
          </w:tcPr>
          <w:p w:rsidR="00DD7F7C" w:rsidRDefault="00DD7F7C">
            <w:pPr>
              <w:pStyle w:val="10"/>
              <w:jc w:val="center"/>
              <w:rPr>
                <w:sz w:val="16"/>
              </w:rPr>
            </w:pPr>
            <w:r>
              <w:rPr>
                <w:sz w:val="16"/>
              </w:rPr>
              <w:t>63,0</w:t>
            </w:r>
          </w:p>
        </w:tc>
      </w:tr>
      <w:tr w:rsidR="00DD7F7C">
        <w:trPr>
          <w:jc w:val="center"/>
        </w:trPr>
        <w:tc>
          <w:tcPr>
            <w:tcW w:w="5952" w:type="dxa"/>
            <w:vAlign w:val="center"/>
          </w:tcPr>
          <w:p w:rsidR="00DD7F7C" w:rsidRDefault="00DD7F7C">
            <w:pPr>
              <w:pStyle w:val="10"/>
              <w:rPr>
                <w:sz w:val="16"/>
              </w:rPr>
            </w:pPr>
            <w:r>
              <w:rPr>
                <w:sz w:val="16"/>
              </w:rPr>
              <w:t>домашних хозяйств</w:t>
            </w:r>
          </w:p>
        </w:tc>
        <w:tc>
          <w:tcPr>
            <w:tcW w:w="1077" w:type="dxa"/>
            <w:vAlign w:val="center"/>
          </w:tcPr>
          <w:p w:rsidR="00DD7F7C" w:rsidRDefault="00DD7F7C">
            <w:pPr>
              <w:pStyle w:val="10"/>
              <w:jc w:val="center"/>
              <w:rPr>
                <w:sz w:val="16"/>
              </w:rPr>
            </w:pPr>
            <w:r>
              <w:rPr>
                <w:sz w:val="16"/>
              </w:rPr>
              <w:t>54,5</w:t>
            </w:r>
          </w:p>
        </w:tc>
        <w:tc>
          <w:tcPr>
            <w:tcW w:w="1134" w:type="dxa"/>
            <w:vAlign w:val="center"/>
          </w:tcPr>
          <w:p w:rsidR="00DD7F7C" w:rsidRDefault="00DD7F7C">
            <w:pPr>
              <w:pStyle w:val="10"/>
              <w:jc w:val="center"/>
              <w:rPr>
                <w:sz w:val="16"/>
              </w:rPr>
            </w:pPr>
            <w:r>
              <w:rPr>
                <w:sz w:val="16"/>
              </w:rPr>
              <w:t>50,8</w:t>
            </w:r>
          </w:p>
        </w:tc>
        <w:tc>
          <w:tcPr>
            <w:tcW w:w="1073" w:type="dxa"/>
            <w:vAlign w:val="center"/>
          </w:tcPr>
          <w:p w:rsidR="00DD7F7C" w:rsidRDefault="00DD7F7C">
            <w:pPr>
              <w:pStyle w:val="10"/>
              <w:jc w:val="center"/>
              <w:rPr>
                <w:sz w:val="16"/>
              </w:rPr>
            </w:pPr>
            <w:r>
              <w:rPr>
                <w:sz w:val="16"/>
              </w:rPr>
              <w:t>46,2</w:t>
            </w:r>
          </w:p>
        </w:tc>
      </w:tr>
      <w:tr w:rsidR="00DD7F7C">
        <w:trPr>
          <w:jc w:val="center"/>
        </w:trPr>
        <w:tc>
          <w:tcPr>
            <w:tcW w:w="5952" w:type="dxa"/>
            <w:vAlign w:val="center"/>
          </w:tcPr>
          <w:p w:rsidR="00DD7F7C" w:rsidRDefault="00DD7F7C">
            <w:pPr>
              <w:pStyle w:val="10"/>
              <w:rPr>
                <w:sz w:val="16"/>
              </w:rPr>
            </w:pPr>
            <w:r>
              <w:rPr>
                <w:sz w:val="16"/>
              </w:rPr>
              <w:t>государственных учреждений</w:t>
            </w:r>
          </w:p>
        </w:tc>
        <w:tc>
          <w:tcPr>
            <w:tcW w:w="1077" w:type="dxa"/>
            <w:vAlign w:val="center"/>
          </w:tcPr>
          <w:p w:rsidR="00DD7F7C" w:rsidRDefault="00DD7F7C">
            <w:pPr>
              <w:pStyle w:val="10"/>
              <w:jc w:val="center"/>
              <w:rPr>
                <w:sz w:val="16"/>
              </w:rPr>
            </w:pPr>
            <w:r>
              <w:rPr>
                <w:sz w:val="16"/>
              </w:rPr>
              <w:t>18,8</w:t>
            </w:r>
          </w:p>
        </w:tc>
        <w:tc>
          <w:tcPr>
            <w:tcW w:w="1134" w:type="dxa"/>
            <w:vAlign w:val="center"/>
          </w:tcPr>
          <w:p w:rsidR="00DD7F7C" w:rsidRDefault="00DD7F7C">
            <w:pPr>
              <w:pStyle w:val="10"/>
              <w:jc w:val="center"/>
              <w:rPr>
                <w:sz w:val="16"/>
              </w:rPr>
            </w:pPr>
            <w:r>
              <w:rPr>
                <w:sz w:val="16"/>
              </w:rPr>
              <w:t>14,7</w:t>
            </w:r>
          </w:p>
        </w:tc>
        <w:tc>
          <w:tcPr>
            <w:tcW w:w="1073" w:type="dxa"/>
            <w:vAlign w:val="center"/>
          </w:tcPr>
          <w:p w:rsidR="00DD7F7C" w:rsidRDefault="00DD7F7C">
            <w:pPr>
              <w:pStyle w:val="10"/>
              <w:jc w:val="center"/>
              <w:rPr>
                <w:sz w:val="16"/>
              </w:rPr>
            </w:pPr>
            <w:r>
              <w:rPr>
                <w:sz w:val="16"/>
              </w:rPr>
              <w:t>14,7</w:t>
            </w:r>
          </w:p>
        </w:tc>
      </w:tr>
      <w:tr w:rsidR="00DD7F7C">
        <w:trPr>
          <w:jc w:val="center"/>
        </w:trPr>
        <w:tc>
          <w:tcPr>
            <w:tcW w:w="5952" w:type="dxa"/>
            <w:vAlign w:val="center"/>
          </w:tcPr>
          <w:p w:rsidR="00DD7F7C" w:rsidRDefault="00DD7F7C">
            <w:pPr>
              <w:pStyle w:val="10"/>
              <w:rPr>
                <w:sz w:val="16"/>
              </w:rPr>
            </w:pPr>
            <w:r>
              <w:rPr>
                <w:sz w:val="16"/>
              </w:rPr>
              <w:t>НКО*)</w:t>
            </w:r>
          </w:p>
        </w:tc>
        <w:tc>
          <w:tcPr>
            <w:tcW w:w="1077" w:type="dxa"/>
            <w:vAlign w:val="center"/>
          </w:tcPr>
          <w:p w:rsidR="00DD7F7C" w:rsidRDefault="00DD7F7C">
            <w:pPr>
              <w:pStyle w:val="10"/>
              <w:jc w:val="center"/>
              <w:rPr>
                <w:sz w:val="16"/>
              </w:rPr>
            </w:pPr>
            <w:r>
              <w:rPr>
                <w:sz w:val="16"/>
              </w:rPr>
              <w:t>3,3</w:t>
            </w:r>
          </w:p>
        </w:tc>
        <w:tc>
          <w:tcPr>
            <w:tcW w:w="1134" w:type="dxa"/>
            <w:vAlign w:val="center"/>
          </w:tcPr>
          <w:p w:rsidR="00DD7F7C" w:rsidRDefault="00DD7F7C">
            <w:pPr>
              <w:pStyle w:val="10"/>
              <w:jc w:val="center"/>
              <w:rPr>
                <w:sz w:val="16"/>
              </w:rPr>
            </w:pPr>
            <w:r>
              <w:rPr>
                <w:sz w:val="16"/>
              </w:rPr>
              <w:t>2,3</w:t>
            </w:r>
          </w:p>
        </w:tc>
        <w:tc>
          <w:tcPr>
            <w:tcW w:w="1073" w:type="dxa"/>
            <w:vAlign w:val="center"/>
          </w:tcPr>
          <w:p w:rsidR="00DD7F7C" w:rsidRDefault="00DD7F7C">
            <w:pPr>
              <w:pStyle w:val="10"/>
              <w:jc w:val="center"/>
              <w:rPr>
                <w:sz w:val="16"/>
              </w:rPr>
            </w:pPr>
            <w:r>
              <w:rPr>
                <w:sz w:val="16"/>
              </w:rPr>
              <w:t>2,1</w:t>
            </w:r>
          </w:p>
        </w:tc>
      </w:tr>
      <w:tr w:rsidR="00DD7F7C">
        <w:trPr>
          <w:jc w:val="center"/>
        </w:trPr>
        <w:tc>
          <w:tcPr>
            <w:tcW w:w="5952" w:type="dxa"/>
            <w:vAlign w:val="center"/>
          </w:tcPr>
          <w:p w:rsidR="00DD7F7C" w:rsidRDefault="00DD7F7C">
            <w:pPr>
              <w:pStyle w:val="10"/>
              <w:rPr>
                <w:sz w:val="16"/>
              </w:rPr>
            </w:pPr>
            <w:r>
              <w:rPr>
                <w:sz w:val="16"/>
              </w:rPr>
              <w:t>Валовое накопление</w:t>
            </w:r>
          </w:p>
        </w:tc>
        <w:tc>
          <w:tcPr>
            <w:tcW w:w="1077" w:type="dxa"/>
            <w:vAlign w:val="center"/>
          </w:tcPr>
          <w:p w:rsidR="00DD7F7C" w:rsidRDefault="00DD7F7C">
            <w:pPr>
              <w:pStyle w:val="10"/>
              <w:jc w:val="center"/>
              <w:rPr>
                <w:sz w:val="16"/>
              </w:rPr>
            </w:pPr>
            <w:r>
              <w:rPr>
                <w:sz w:val="16"/>
              </w:rPr>
              <w:t>16,2</w:t>
            </w:r>
          </w:p>
        </w:tc>
        <w:tc>
          <w:tcPr>
            <w:tcW w:w="1134" w:type="dxa"/>
            <w:vAlign w:val="center"/>
          </w:tcPr>
          <w:p w:rsidR="00DD7F7C" w:rsidRDefault="00DD7F7C">
            <w:pPr>
              <w:pStyle w:val="10"/>
              <w:jc w:val="center"/>
              <w:rPr>
                <w:sz w:val="16"/>
              </w:rPr>
            </w:pPr>
            <w:r>
              <w:rPr>
                <w:sz w:val="16"/>
              </w:rPr>
              <w:t>14,8</w:t>
            </w:r>
          </w:p>
        </w:tc>
        <w:tc>
          <w:tcPr>
            <w:tcW w:w="1073" w:type="dxa"/>
            <w:vAlign w:val="center"/>
          </w:tcPr>
          <w:p w:rsidR="00DD7F7C" w:rsidRDefault="00DD7F7C">
            <w:pPr>
              <w:pStyle w:val="10"/>
              <w:jc w:val="center"/>
              <w:rPr>
                <w:sz w:val="16"/>
              </w:rPr>
            </w:pPr>
            <w:r>
              <w:rPr>
                <w:sz w:val="16"/>
              </w:rPr>
              <w:t>17,2</w:t>
            </w:r>
          </w:p>
        </w:tc>
      </w:tr>
      <w:tr w:rsidR="00DD7F7C">
        <w:trPr>
          <w:jc w:val="center"/>
        </w:trPr>
        <w:tc>
          <w:tcPr>
            <w:tcW w:w="5952" w:type="dxa"/>
            <w:vAlign w:val="center"/>
          </w:tcPr>
          <w:p w:rsidR="00DD7F7C" w:rsidRDefault="00DD7F7C">
            <w:pPr>
              <w:pStyle w:val="10"/>
              <w:rPr>
                <w:sz w:val="16"/>
              </w:rPr>
            </w:pPr>
            <w:r>
              <w:rPr>
                <w:sz w:val="16"/>
              </w:rPr>
              <w:t>Чистый экспорт</w:t>
            </w:r>
          </w:p>
        </w:tc>
        <w:tc>
          <w:tcPr>
            <w:tcW w:w="1077" w:type="dxa"/>
            <w:vAlign w:val="center"/>
          </w:tcPr>
          <w:p w:rsidR="00DD7F7C" w:rsidRDefault="00DD7F7C">
            <w:pPr>
              <w:pStyle w:val="10"/>
              <w:jc w:val="center"/>
              <w:rPr>
                <w:sz w:val="16"/>
              </w:rPr>
            </w:pPr>
            <w:r>
              <w:rPr>
                <w:sz w:val="16"/>
              </w:rPr>
              <w:t>7,2</w:t>
            </w:r>
          </w:p>
        </w:tc>
        <w:tc>
          <w:tcPr>
            <w:tcW w:w="1134" w:type="dxa"/>
            <w:vAlign w:val="center"/>
          </w:tcPr>
          <w:p w:rsidR="00DD7F7C" w:rsidRDefault="00DD7F7C">
            <w:pPr>
              <w:pStyle w:val="10"/>
              <w:jc w:val="center"/>
              <w:rPr>
                <w:sz w:val="16"/>
              </w:rPr>
            </w:pPr>
            <w:r>
              <w:rPr>
                <w:sz w:val="16"/>
              </w:rPr>
              <w:t>17,4</w:t>
            </w:r>
          </w:p>
        </w:tc>
        <w:tc>
          <w:tcPr>
            <w:tcW w:w="1073" w:type="dxa"/>
            <w:vAlign w:val="center"/>
          </w:tcPr>
          <w:p w:rsidR="00DD7F7C" w:rsidRDefault="00DD7F7C">
            <w:pPr>
              <w:pStyle w:val="10"/>
              <w:jc w:val="center"/>
              <w:rPr>
                <w:sz w:val="16"/>
              </w:rPr>
            </w:pPr>
            <w:r>
              <w:rPr>
                <w:sz w:val="16"/>
              </w:rPr>
              <w:t>19,7</w:t>
            </w:r>
          </w:p>
        </w:tc>
      </w:tr>
    </w:tbl>
    <w:p w:rsidR="00DD7F7C" w:rsidRDefault="00DD7F7C">
      <w:pPr>
        <w:pStyle w:val="10"/>
        <w:rPr>
          <w:sz w:val="16"/>
        </w:rPr>
      </w:pPr>
      <w:r>
        <w:rPr>
          <w:sz w:val="16"/>
        </w:rPr>
        <w:t>*) Некоммерческие организации, обслуживающие домашние хозяйства</w:t>
      </w:r>
    </w:p>
    <w:p w:rsidR="00DD7F7C" w:rsidRDefault="00DD7F7C">
      <w:pPr>
        <w:rPr>
          <w:sz w:val="28"/>
        </w:rPr>
      </w:pPr>
    </w:p>
    <w:p w:rsidR="00DD7F7C" w:rsidRDefault="00DD7F7C">
      <w:pPr>
        <w:pStyle w:val="a5"/>
        <w:ind w:firstLine="0"/>
      </w:pPr>
      <w:r>
        <w:t xml:space="preserve">     Возросшая экспортная выручка и увеличившийся приток валюты в страну существенно увеличили ресурсный потенциал сектора предприятий и некоммерческих организаций, обслуживающих домашние хозяйства. Доля располагаемых предприятиями доходов возросла в 2000 году на 1.6 процентного пункта и составила 24.9% валового национального располагаемого дохода. Основной вклад в это увеличение оказал рост валовой прибыли - до 32.9%, и снижение передаваемых предприятиями доходов от собственности - до 6.8% от располагаемых ресурсов экономики.</w:t>
      </w:r>
    </w:p>
    <w:p w:rsidR="00DD7F7C" w:rsidRDefault="00DD7F7C">
      <w:pPr>
        <w:pStyle w:val="a5"/>
        <w:ind w:firstLine="0"/>
      </w:pPr>
      <w:r>
        <w:t xml:space="preserve">     Таким образом, решающая роль в обеспечении роста экономики в 2000 году принадлежит промышленности, строительству и торговле. Наименьшие темпы роста - в сельском хозяйстве и производстве нерыночных услуг. Высокие темпы роста добавленной стоимости в промышленности и строительстве обеспечили опережающий рост производства товаров по сравнению с производством услуг (8.2% и 7.3% соответственно). После интенсивного роста в первом полугодии, во втором полугодии темпы роста ВВП, рассчитанные с исключением сезонного фактора, снизились, а, начиная с сентября, рост ВВП практически остановился. Начиная с середины года растет доля внутреннего спроса, удовлетворяемого импортными поставками, то есть развивается процесс, обратный импортозамещению. </w:t>
      </w:r>
    </w:p>
    <w:p w:rsidR="00DD7F7C" w:rsidRDefault="00DD7F7C">
      <w:pPr>
        <w:pStyle w:val="a5"/>
        <w:ind w:firstLine="0"/>
        <w:rPr>
          <w:b/>
        </w:rPr>
      </w:pPr>
    </w:p>
    <w:p w:rsidR="00DD7F7C" w:rsidRDefault="00DD7F7C">
      <w:pPr>
        <w:pStyle w:val="a5"/>
        <w:ind w:firstLine="0"/>
        <w:rPr>
          <w:b/>
        </w:rPr>
      </w:pPr>
    </w:p>
    <w:p w:rsidR="00DD7F7C" w:rsidRDefault="00DD7F7C">
      <w:pPr>
        <w:pStyle w:val="a5"/>
        <w:ind w:firstLine="0"/>
        <w:rPr>
          <w:b/>
        </w:rPr>
      </w:pPr>
    </w:p>
    <w:p w:rsidR="00DD7F7C" w:rsidRDefault="00DD7F7C">
      <w:pPr>
        <w:pStyle w:val="a5"/>
        <w:ind w:firstLine="0"/>
        <w:rPr>
          <w:b/>
        </w:rPr>
      </w:pPr>
    </w:p>
    <w:p w:rsidR="00DD7F7C" w:rsidRDefault="00DD7F7C">
      <w:pPr>
        <w:pStyle w:val="a5"/>
        <w:ind w:firstLine="0"/>
        <w:rPr>
          <w:b/>
        </w:rPr>
      </w:pPr>
    </w:p>
    <w:p w:rsidR="00DD7F7C" w:rsidRDefault="00DD7F7C">
      <w:pPr>
        <w:pStyle w:val="a5"/>
        <w:ind w:firstLine="0"/>
        <w:rPr>
          <w:b/>
        </w:rPr>
      </w:pPr>
    </w:p>
    <w:p w:rsidR="00DD7F7C" w:rsidRDefault="00DD7F7C">
      <w:pPr>
        <w:pStyle w:val="a5"/>
        <w:numPr>
          <w:ilvl w:val="0"/>
          <w:numId w:val="2"/>
        </w:numPr>
        <w:jc w:val="center"/>
        <w:rPr>
          <w:b/>
        </w:rPr>
      </w:pPr>
      <w:r>
        <w:rPr>
          <w:b/>
        </w:rPr>
        <w:t>ЭЛЕМЕНТЫ ПРОГНОЗИРОВАНИЯ ВАЛОВОГО ВНУТРЕННЕГО ПРОДУКТА РОССИИ</w:t>
      </w:r>
    </w:p>
    <w:p w:rsidR="00DD7F7C" w:rsidRDefault="00DD7F7C">
      <w:pPr>
        <w:pStyle w:val="a5"/>
        <w:jc w:val="center"/>
        <w:rPr>
          <w:b/>
        </w:rPr>
      </w:pPr>
    </w:p>
    <w:p w:rsidR="00DD7F7C" w:rsidRDefault="00DD7F7C">
      <w:pPr>
        <w:pStyle w:val="a3"/>
      </w:pPr>
      <w:r>
        <w:t xml:space="preserve">     Прогнозирование ВВП имеет очень важное значение для экономики и государства в целом, например, проект федерального бюджета на 2001 год сформирован, исходя из позитивной оценки динамики валового внутреннего продукта. По данным Счетной палаты РФ в 2001 году объем ВВП прогнозируется в размере 7750 млрд. рублей, темп его роста по сравнению с ожидаемым объемом ВВП 2000 года (в сопоставимых ценах) составит 104,0%. Улучшится структура использования ВВП. Прогнозируется повышение доли расходов на конечное потребление в ВВП с 62,6% в 2000 году до 66,9% в 2001 году. Уровень валового накопления возрастет с 16,7 % в ВВП в 2000 году до 18,0% в ВВП в 2001 году. Объем ВВП, прогнозируемый на 2001 год, в сопоставимых ценах лишь на 7,7% выше объема ВВП 1997 года. Темпы роста ВВП на 1,5 процентных пункта ниже ожидаемых в 2000 году. Доля чистого экспорта в ВВП сократится с 20,7% в 2000 году до 15,1% в 2001 году. Сальдо счета текущих операций платежного баланса Российской Федерации уменьшится с 37,8 млрд. долларов США до 27,1 млрд. долларов США соответственно. На 6,9 млрд. долларов США, или на 7,5%, прогнозируется в 2001 году сокращение объемов экспорта в стоимостном выражении. В то же время объем импорта в 2001 году по сравнению с 2000 годом возрастет на 3,4 млрд. долларов США, или на 8,3%, вследствие чего положительное сальдо торгового баланса сократится с 51,1 млрд. долларов США в 2000 году до 40,8 млрд. долларов США в 2001 году. </w:t>
      </w:r>
    </w:p>
    <w:p w:rsidR="00DD7F7C" w:rsidRDefault="00DD7F7C">
      <w:pPr>
        <w:pStyle w:val="a3"/>
      </w:pPr>
      <w:r>
        <w:t xml:space="preserve">     Однако, анализ прогнозируемых и фактических объемов ВВП за ряд лет свидетельствует о недостаточно глубокой проработке значений данного показателя, оказывающего важнейшее влияние на формирование основных характеристик федерального бюджета. В 1997 году в расчетах к федеральному бюджету объем ВВП был принят в размере 2725,7 млрд. рублей, фактически он составил 2478,6 млрд. рублей; в 1998 году - 2840 млрд. и 2696,4 млрд. рублей соответственно; в 1999 году - 4000 млрд. и 4545,5 млрд. рублей. При формировании проекта федерального бюджета на 2000 год объем ВВП был определен в размере 5100 млрд. рублей, фактически – 6940,0 млрд. рублей. То есть необходимо уделять значительно большее внимание изучению и прогнозированию макроэкономических показателей, а особенно ВВП.</w:t>
      </w:r>
    </w:p>
    <w:p w:rsidR="00DD7F7C" w:rsidRDefault="00DD7F7C">
      <w:pPr>
        <w:jc w:val="both"/>
        <w:rPr>
          <w:sz w:val="28"/>
        </w:rPr>
      </w:pPr>
      <w:r>
        <w:rPr>
          <w:sz w:val="28"/>
        </w:rPr>
        <w:t xml:space="preserve">     Все же существует огромное количество прогнозов и стратегий различных сценариев экономического развития страны и, соответственно, ВВП. Одним из статистических методов прогнозирования является  расчет прогнозов на основе тренда и колеблемости динамического ряда до настоящего времени. Если мы будем знать как быстро и в каком направлении изменились уровни какого – то признака, то сможем узнать, какого значения достигнет уровень через известное время. Так, например, имея в наличии данные за несколько лет по структуре формирования ВВП (см. табл. 4)  можно при помощи статистической функции «тенденция» в программе «</w:t>
      </w:r>
      <w:r>
        <w:rPr>
          <w:sz w:val="28"/>
          <w:lang w:val="en-US"/>
        </w:rPr>
        <w:t>Excel</w:t>
      </w:r>
      <w:r>
        <w:rPr>
          <w:sz w:val="28"/>
        </w:rPr>
        <w:t xml:space="preserve">» получить прогноз изменения </w:t>
      </w:r>
    </w:p>
    <w:p w:rsidR="00DD7F7C" w:rsidRDefault="00DD7F7C">
      <w:pPr>
        <w:jc w:val="both"/>
        <w:rPr>
          <w:sz w:val="28"/>
        </w:rPr>
      </w:pPr>
      <w:r>
        <w:rPr>
          <w:sz w:val="28"/>
        </w:rPr>
        <w:t>Доработка к странице 21 курсовой работы по дисциплине «Статистика» по теме «Валовой внутренний продукт – важнейший показатель системы национальных счетов»</w:t>
      </w:r>
    </w:p>
    <w:p w:rsidR="00DD7F7C" w:rsidRDefault="00DD7F7C">
      <w:pPr>
        <w:jc w:val="both"/>
        <w:rPr>
          <w:sz w:val="28"/>
        </w:rPr>
      </w:pPr>
      <w:r>
        <w:rPr>
          <w:sz w:val="28"/>
        </w:rPr>
        <w:t xml:space="preserve"> </w:t>
      </w:r>
    </w:p>
    <w:p w:rsidR="00DD7F7C" w:rsidRDefault="00DD7F7C">
      <w:pPr>
        <w:jc w:val="both"/>
        <w:rPr>
          <w:sz w:val="28"/>
        </w:rPr>
      </w:pPr>
      <w:r>
        <w:rPr>
          <w:sz w:val="28"/>
        </w:rPr>
        <w:t>элементов ВВП. Данный прогноз основан на экстраполяции тренда и колеблемости, т.е. на предположении, что их параметры сохраняются до прогнозируемого периода. Такая экстраполяция справедлива, если система развивается эволюционно в достаточно стабильных условиях. Чем крупнее система, тем более вероятно сохранение параметров её изменения. Обычно рекомендуют, чтобы срок прогноза не превышал одной трети длительности базы расчета тренда. После исследования элементов формирования ВВП за 5 лет через функцию «тенденция» таблица 4 приняла следующий вид:</w:t>
      </w:r>
    </w:p>
    <w:p w:rsidR="00DD7F7C" w:rsidRDefault="00DD7F7C">
      <w:pPr>
        <w:jc w:val="both"/>
        <w:rPr>
          <w:sz w:val="28"/>
        </w:rPr>
      </w:pPr>
    </w:p>
    <w:p w:rsidR="00DD7F7C" w:rsidRDefault="00DD7F7C">
      <w:pPr>
        <w:pStyle w:val="1"/>
      </w:pPr>
      <w:r>
        <w:t>Таблица 7</w:t>
      </w:r>
    </w:p>
    <w:p w:rsidR="00DD7F7C" w:rsidRDefault="00DD7F7C"/>
    <w:p w:rsidR="00DD7F7C" w:rsidRDefault="00DD7F7C">
      <w:pPr>
        <w:pStyle w:val="10"/>
        <w:jc w:val="center"/>
        <w:rPr>
          <w:sz w:val="28"/>
        </w:rPr>
      </w:pPr>
      <w:r>
        <w:rPr>
          <w:sz w:val="28"/>
        </w:rPr>
        <w:t>Структура формирования валового внутреннего продукта по источникам дохода, в % к итогу</w:t>
      </w:r>
    </w:p>
    <w:p w:rsidR="00DD7F7C" w:rsidRDefault="00DD7F7C"/>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39"/>
        <w:gridCol w:w="1002"/>
        <w:gridCol w:w="992"/>
        <w:gridCol w:w="993"/>
        <w:gridCol w:w="850"/>
        <w:gridCol w:w="851"/>
        <w:gridCol w:w="850"/>
        <w:gridCol w:w="992"/>
      </w:tblGrid>
      <w:tr w:rsidR="00DD7F7C">
        <w:trPr>
          <w:trHeight w:val="250"/>
        </w:trPr>
        <w:tc>
          <w:tcPr>
            <w:tcW w:w="3139" w:type="dxa"/>
            <w:tcBorders>
              <w:top w:val="single" w:sz="4" w:space="0" w:color="auto"/>
              <w:bottom w:val="single" w:sz="4" w:space="0" w:color="auto"/>
            </w:tcBorders>
          </w:tcPr>
          <w:p w:rsidR="00DD7F7C" w:rsidRDefault="00DD7F7C">
            <w:pPr>
              <w:rPr>
                <w:snapToGrid w:val="0"/>
                <w:color w:val="000000"/>
                <w:sz w:val="16"/>
              </w:rPr>
            </w:pPr>
            <w:r>
              <w:rPr>
                <w:snapToGrid w:val="0"/>
                <w:color w:val="000000"/>
                <w:sz w:val="16"/>
              </w:rPr>
              <w:t>Год</w:t>
            </w:r>
          </w:p>
        </w:tc>
        <w:tc>
          <w:tcPr>
            <w:tcW w:w="1002"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1995</w:t>
            </w:r>
          </w:p>
        </w:tc>
        <w:tc>
          <w:tcPr>
            <w:tcW w:w="992"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1996</w:t>
            </w:r>
          </w:p>
        </w:tc>
        <w:tc>
          <w:tcPr>
            <w:tcW w:w="993"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1997</w:t>
            </w:r>
          </w:p>
        </w:tc>
        <w:tc>
          <w:tcPr>
            <w:tcW w:w="850"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1998</w:t>
            </w:r>
          </w:p>
        </w:tc>
        <w:tc>
          <w:tcPr>
            <w:tcW w:w="851"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1999</w:t>
            </w:r>
          </w:p>
        </w:tc>
        <w:tc>
          <w:tcPr>
            <w:tcW w:w="850"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2000</w:t>
            </w:r>
          </w:p>
        </w:tc>
        <w:tc>
          <w:tcPr>
            <w:tcW w:w="992"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прогноз</w:t>
            </w:r>
          </w:p>
        </w:tc>
      </w:tr>
      <w:tr w:rsidR="00DD7F7C">
        <w:trPr>
          <w:trHeight w:val="250"/>
        </w:trPr>
        <w:tc>
          <w:tcPr>
            <w:tcW w:w="3139" w:type="dxa"/>
            <w:tcBorders>
              <w:top w:val="single" w:sz="4" w:space="0" w:color="auto"/>
              <w:bottom w:val="nil"/>
            </w:tcBorders>
          </w:tcPr>
          <w:p w:rsidR="00DD7F7C" w:rsidRDefault="00DD7F7C">
            <w:pPr>
              <w:rPr>
                <w:snapToGrid w:val="0"/>
                <w:color w:val="000000"/>
                <w:sz w:val="16"/>
              </w:rPr>
            </w:pPr>
            <w:r>
              <w:rPr>
                <w:snapToGrid w:val="0"/>
                <w:color w:val="000000"/>
                <w:sz w:val="16"/>
              </w:rPr>
              <w:t>ВВП –  всего</w:t>
            </w:r>
          </w:p>
        </w:tc>
        <w:tc>
          <w:tcPr>
            <w:tcW w:w="1002"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c>
          <w:tcPr>
            <w:tcW w:w="992"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c>
          <w:tcPr>
            <w:tcW w:w="993"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c>
          <w:tcPr>
            <w:tcW w:w="850"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c>
          <w:tcPr>
            <w:tcW w:w="851"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c>
          <w:tcPr>
            <w:tcW w:w="850"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c>
          <w:tcPr>
            <w:tcW w:w="992" w:type="dxa"/>
            <w:tcBorders>
              <w:top w:val="single" w:sz="4" w:space="0" w:color="auto"/>
              <w:bottom w:val="nil"/>
            </w:tcBorders>
          </w:tcPr>
          <w:p w:rsidR="00DD7F7C" w:rsidRDefault="00DD7F7C">
            <w:pPr>
              <w:jc w:val="center"/>
              <w:rPr>
                <w:snapToGrid w:val="0"/>
                <w:color w:val="000000"/>
                <w:sz w:val="16"/>
              </w:rPr>
            </w:pPr>
            <w:r>
              <w:rPr>
                <w:snapToGrid w:val="0"/>
                <w:color w:val="000000"/>
                <w:sz w:val="16"/>
              </w:rPr>
              <w:t>100,0</w:t>
            </w:r>
          </w:p>
        </w:tc>
      </w:tr>
      <w:tr w:rsidR="00DD7F7C">
        <w:trPr>
          <w:trHeight w:val="250"/>
        </w:trPr>
        <w:tc>
          <w:tcPr>
            <w:tcW w:w="3139" w:type="dxa"/>
            <w:tcBorders>
              <w:top w:val="nil"/>
            </w:tcBorders>
          </w:tcPr>
          <w:p w:rsidR="00DD7F7C" w:rsidRDefault="00DD7F7C">
            <w:pPr>
              <w:rPr>
                <w:snapToGrid w:val="0"/>
                <w:color w:val="000000"/>
                <w:sz w:val="16"/>
              </w:rPr>
            </w:pPr>
            <w:r>
              <w:rPr>
                <w:snapToGrid w:val="0"/>
                <w:color w:val="000000"/>
                <w:sz w:val="16"/>
              </w:rPr>
              <w:t>в том числе:</w:t>
            </w:r>
          </w:p>
        </w:tc>
        <w:tc>
          <w:tcPr>
            <w:tcW w:w="1002" w:type="dxa"/>
            <w:tcBorders>
              <w:top w:val="nil"/>
            </w:tcBorders>
          </w:tcPr>
          <w:p w:rsidR="00DD7F7C" w:rsidRDefault="00DD7F7C">
            <w:pPr>
              <w:jc w:val="center"/>
              <w:rPr>
                <w:snapToGrid w:val="0"/>
                <w:color w:val="000000"/>
                <w:sz w:val="16"/>
              </w:rPr>
            </w:pPr>
          </w:p>
        </w:tc>
        <w:tc>
          <w:tcPr>
            <w:tcW w:w="992" w:type="dxa"/>
            <w:tcBorders>
              <w:top w:val="nil"/>
            </w:tcBorders>
          </w:tcPr>
          <w:p w:rsidR="00DD7F7C" w:rsidRDefault="00DD7F7C">
            <w:pPr>
              <w:jc w:val="center"/>
              <w:rPr>
                <w:snapToGrid w:val="0"/>
                <w:color w:val="000000"/>
                <w:sz w:val="16"/>
              </w:rPr>
            </w:pPr>
          </w:p>
        </w:tc>
        <w:tc>
          <w:tcPr>
            <w:tcW w:w="993" w:type="dxa"/>
            <w:tcBorders>
              <w:top w:val="nil"/>
            </w:tcBorders>
          </w:tcPr>
          <w:p w:rsidR="00DD7F7C" w:rsidRDefault="00DD7F7C">
            <w:pPr>
              <w:jc w:val="center"/>
              <w:rPr>
                <w:snapToGrid w:val="0"/>
                <w:color w:val="000000"/>
                <w:sz w:val="16"/>
              </w:rPr>
            </w:pPr>
          </w:p>
        </w:tc>
        <w:tc>
          <w:tcPr>
            <w:tcW w:w="850" w:type="dxa"/>
            <w:tcBorders>
              <w:top w:val="nil"/>
            </w:tcBorders>
          </w:tcPr>
          <w:p w:rsidR="00DD7F7C" w:rsidRDefault="00DD7F7C">
            <w:pPr>
              <w:jc w:val="center"/>
              <w:rPr>
                <w:snapToGrid w:val="0"/>
                <w:color w:val="000000"/>
                <w:sz w:val="16"/>
              </w:rPr>
            </w:pPr>
          </w:p>
        </w:tc>
        <w:tc>
          <w:tcPr>
            <w:tcW w:w="851" w:type="dxa"/>
            <w:tcBorders>
              <w:top w:val="nil"/>
            </w:tcBorders>
          </w:tcPr>
          <w:p w:rsidR="00DD7F7C" w:rsidRDefault="00DD7F7C">
            <w:pPr>
              <w:jc w:val="center"/>
              <w:rPr>
                <w:snapToGrid w:val="0"/>
                <w:color w:val="000000"/>
                <w:sz w:val="16"/>
              </w:rPr>
            </w:pPr>
          </w:p>
        </w:tc>
        <w:tc>
          <w:tcPr>
            <w:tcW w:w="850" w:type="dxa"/>
            <w:tcBorders>
              <w:top w:val="nil"/>
            </w:tcBorders>
          </w:tcPr>
          <w:p w:rsidR="00DD7F7C" w:rsidRDefault="00DD7F7C">
            <w:pPr>
              <w:jc w:val="center"/>
              <w:rPr>
                <w:snapToGrid w:val="0"/>
                <w:color w:val="000000"/>
                <w:sz w:val="16"/>
              </w:rPr>
            </w:pPr>
          </w:p>
        </w:tc>
        <w:tc>
          <w:tcPr>
            <w:tcW w:w="992" w:type="dxa"/>
            <w:tcBorders>
              <w:top w:val="nil"/>
            </w:tcBorders>
          </w:tcPr>
          <w:p w:rsidR="00DD7F7C" w:rsidRDefault="00DD7F7C">
            <w:pPr>
              <w:jc w:val="center"/>
              <w:rPr>
                <w:snapToGrid w:val="0"/>
                <w:color w:val="000000"/>
                <w:sz w:val="16"/>
              </w:rPr>
            </w:pPr>
          </w:p>
        </w:tc>
      </w:tr>
      <w:tr w:rsidR="00DD7F7C">
        <w:trPr>
          <w:trHeight w:val="250"/>
        </w:trPr>
        <w:tc>
          <w:tcPr>
            <w:tcW w:w="3139" w:type="dxa"/>
          </w:tcPr>
          <w:p w:rsidR="00DD7F7C" w:rsidRDefault="00DD7F7C">
            <w:pPr>
              <w:rPr>
                <w:snapToGrid w:val="0"/>
                <w:color w:val="000000"/>
                <w:sz w:val="16"/>
              </w:rPr>
            </w:pPr>
            <w:r>
              <w:rPr>
                <w:snapToGrid w:val="0"/>
                <w:color w:val="000000"/>
                <w:sz w:val="16"/>
              </w:rPr>
              <w:t>Оплата труда наемных работников, включая скрытую</w:t>
            </w:r>
          </w:p>
        </w:tc>
        <w:tc>
          <w:tcPr>
            <w:tcW w:w="1002" w:type="dxa"/>
          </w:tcPr>
          <w:p w:rsidR="00DD7F7C" w:rsidRDefault="00DD7F7C">
            <w:pPr>
              <w:jc w:val="center"/>
              <w:rPr>
                <w:snapToGrid w:val="0"/>
                <w:color w:val="000000"/>
                <w:sz w:val="16"/>
              </w:rPr>
            </w:pPr>
            <w:r>
              <w:rPr>
                <w:snapToGrid w:val="0"/>
                <w:color w:val="000000"/>
                <w:sz w:val="16"/>
              </w:rPr>
              <w:t>45,2</w:t>
            </w:r>
          </w:p>
        </w:tc>
        <w:tc>
          <w:tcPr>
            <w:tcW w:w="992" w:type="dxa"/>
          </w:tcPr>
          <w:p w:rsidR="00DD7F7C" w:rsidRDefault="00DD7F7C">
            <w:pPr>
              <w:jc w:val="center"/>
              <w:rPr>
                <w:snapToGrid w:val="0"/>
                <w:color w:val="000000"/>
                <w:sz w:val="16"/>
              </w:rPr>
            </w:pPr>
            <w:r>
              <w:rPr>
                <w:snapToGrid w:val="0"/>
                <w:color w:val="000000"/>
                <w:sz w:val="16"/>
              </w:rPr>
              <w:t>49,6</w:t>
            </w:r>
          </w:p>
        </w:tc>
        <w:tc>
          <w:tcPr>
            <w:tcW w:w="993" w:type="dxa"/>
          </w:tcPr>
          <w:p w:rsidR="00DD7F7C" w:rsidRDefault="00DD7F7C">
            <w:pPr>
              <w:jc w:val="center"/>
              <w:rPr>
                <w:snapToGrid w:val="0"/>
                <w:color w:val="000000"/>
                <w:sz w:val="16"/>
              </w:rPr>
            </w:pPr>
            <w:r>
              <w:rPr>
                <w:snapToGrid w:val="0"/>
                <w:color w:val="000000"/>
                <w:sz w:val="16"/>
              </w:rPr>
              <w:t>50</w:t>
            </w:r>
          </w:p>
        </w:tc>
        <w:tc>
          <w:tcPr>
            <w:tcW w:w="850" w:type="dxa"/>
          </w:tcPr>
          <w:p w:rsidR="00DD7F7C" w:rsidRDefault="00DD7F7C">
            <w:pPr>
              <w:jc w:val="center"/>
              <w:rPr>
                <w:snapToGrid w:val="0"/>
                <w:color w:val="000000"/>
                <w:sz w:val="16"/>
              </w:rPr>
            </w:pPr>
            <w:r>
              <w:rPr>
                <w:snapToGrid w:val="0"/>
                <w:color w:val="000000"/>
                <w:sz w:val="16"/>
              </w:rPr>
              <w:t>47,6</w:t>
            </w:r>
          </w:p>
        </w:tc>
        <w:tc>
          <w:tcPr>
            <w:tcW w:w="851" w:type="dxa"/>
          </w:tcPr>
          <w:p w:rsidR="00DD7F7C" w:rsidRDefault="00DD7F7C">
            <w:pPr>
              <w:jc w:val="center"/>
              <w:rPr>
                <w:snapToGrid w:val="0"/>
                <w:color w:val="000000"/>
                <w:sz w:val="16"/>
              </w:rPr>
            </w:pPr>
            <w:r>
              <w:rPr>
                <w:snapToGrid w:val="0"/>
                <w:color w:val="000000"/>
                <w:sz w:val="16"/>
              </w:rPr>
              <w:t>42,3</w:t>
            </w:r>
          </w:p>
        </w:tc>
        <w:tc>
          <w:tcPr>
            <w:tcW w:w="850" w:type="dxa"/>
          </w:tcPr>
          <w:p w:rsidR="00DD7F7C" w:rsidRDefault="00DD7F7C">
            <w:pPr>
              <w:jc w:val="center"/>
              <w:rPr>
                <w:snapToGrid w:val="0"/>
                <w:color w:val="000000"/>
                <w:sz w:val="16"/>
              </w:rPr>
            </w:pPr>
            <w:r>
              <w:rPr>
                <w:snapToGrid w:val="0"/>
                <w:color w:val="000000"/>
                <w:sz w:val="16"/>
              </w:rPr>
              <w:t>41,3</w:t>
            </w:r>
          </w:p>
        </w:tc>
        <w:tc>
          <w:tcPr>
            <w:tcW w:w="992" w:type="dxa"/>
          </w:tcPr>
          <w:p w:rsidR="00DD7F7C" w:rsidRDefault="00DD7F7C">
            <w:pPr>
              <w:jc w:val="center"/>
              <w:rPr>
                <w:snapToGrid w:val="0"/>
                <w:color w:val="000000"/>
                <w:sz w:val="16"/>
              </w:rPr>
            </w:pPr>
            <w:r>
              <w:rPr>
                <w:snapToGrid w:val="0"/>
                <w:color w:val="000000"/>
                <w:sz w:val="16"/>
              </w:rPr>
              <w:t>49,1286</w:t>
            </w:r>
          </w:p>
        </w:tc>
      </w:tr>
      <w:tr w:rsidR="00DD7F7C">
        <w:trPr>
          <w:trHeight w:val="250"/>
        </w:trPr>
        <w:tc>
          <w:tcPr>
            <w:tcW w:w="3139" w:type="dxa"/>
          </w:tcPr>
          <w:p w:rsidR="00DD7F7C" w:rsidRDefault="00DD7F7C">
            <w:pPr>
              <w:rPr>
                <w:snapToGrid w:val="0"/>
                <w:color w:val="000000"/>
                <w:sz w:val="16"/>
              </w:rPr>
            </w:pPr>
            <w:r>
              <w:rPr>
                <w:snapToGrid w:val="0"/>
                <w:color w:val="000000"/>
                <w:sz w:val="16"/>
              </w:rPr>
              <w:t>Чистые налоги на производство и импорт</w:t>
            </w:r>
          </w:p>
        </w:tc>
        <w:tc>
          <w:tcPr>
            <w:tcW w:w="1002" w:type="dxa"/>
          </w:tcPr>
          <w:p w:rsidR="00DD7F7C" w:rsidRDefault="00DD7F7C">
            <w:pPr>
              <w:jc w:val="center"/>
              <w:rPr>
                <w:snapToGrid w:val="0"/>
                <w:color w:val="000000"/>
                <w:sz w:val="16"/>
              </w:rPr>
            </w:pPr>
            <w:r>
              <w:rPr>
                <w:snapToGrid w:val="0"/>
                <w:color w:val="000000"/>
                <w:sz w:val="16"/>
              </w:rPr>
              <w:t>11,9</w:t>
            </w:r>
          </w:p>
        </w:tc>
        <w:tc>
          <w:tcPr>
            <w:tcW w:w="992" w:type="dxa"/>
          </w:tcPr>
          <w:p w:rsidR="00DD7F7C" w:rsidRDefault="00DD7F7C">
            <w:pPr>
              <w:jc w:val="center"/>
              <w:rPr>
                <w:snapToGrid w:val="0"/>
                <w:color w:val="000000"/>
                <w:sz w:val="16"/>
              </w:rPr>
            </w:pPr>
            <w:r>
              <w:rPr>
                <w:snapToGrid w:val="0"/>
                <w:color w:val="000000"/>
                <w:sz w:val="16"/>
              </w:rPr>
              <w:t>13,5</w:t>
            </w:r>
          </w:p>
        </w:tc>
        <w:tc>
          <w:tcPr>
            <w:tcW w:w="993" w:type="dxa"/>
          </w:tcPr>
          <w:p w:rsidR="00DD7F7C" w:rsidRDefault="00DD7F7C">
            <w:pPr>
              <w:jc w:val="center"/>
              <w:rPr>
                <w:snapToGrid w:val="0"/>
                <w:color w:val="000000"/>
                <w:sz w:val="16"/>
              </w:rPr>
            </w:pPr>
            <w:r>
              <w:rPr>
                <w:snapToGrid w:val="0"/>
                <w:color w:val="000000"/>
                <w:sz w:val="16"/>
              </w:rPr>
              <w:t>14,5</w:t>
            </w:r>
          </w:p>
        </w:tc>
        <w:tc>
          <w:tcPr>
            <w:tcW w:w="850" w:type="dxa"/>
          </w:tcPr>
          <w:p w:rsidR="00DD7F7C" w:rsidRDefault="00DD7F7C">
            <w:pPr>
              <w:jc w:val="center"/>
              <w:rPr>
                <w:snapToGrid w:val="0"/>
                <w:color w:val="000000"/>
                <w:sz w:val="16"/>
              </w:rPr>
            </w:pPr>
            <w:r>
              <w:rPr>
                <w:snapToGrid w:val="0"/>
                <w:color w:val="000000"/>
                <w:sz w:val="16"/>
              </w:rPr>
              <w:t>14,2</w:t>
            </w:r>
          </w:p>
        </w:tc>
        <w:tc>
          <w:tcPr>
            <w:tcW w:w="851" w:type="dxa"/>
          </w:tcPr>
          <w:p w:rsidR="00DD7F7C" w:rsidRDefault="00DD7F7C">
            <w:pPr>
              <w:jc w:val="center"/>
              <w:rPr>
                <w:snapToGrid w:val="0"/>
                <w:color w:val="000000"/>
                <w:sz w:val="16"/>
              </w:rPr>
            </w:pPr>
            <w:r>
              <w:rPr>
                <w:snapToGrid w:val="0"/>
                <w:color w:val="000000"/>
                <w:sz w:val="16"/>
              </w:rPr>
              <w:t>14,6</w:t>
            </w:r>
          </w:p>
        </w:tc>
        <w:tc>
          <w:tcPr>
            <w:tcW w:w="850" w:type="dxa"/>
          </w:tcPr>
          <w:p w:rsidR="00DD7F7C" w:rsidRDefault="00DD7F7C">
            <w:pPr>
              <w:jc w:val="center"/>
              <w:rPr>
                <w:snapToGrid w:val="0"/>
                <w:color w:val="000000"/>
                <w:sz w:val="16"/>
              </w:rPr>
            </w:pPr>
            <w:r>
              <w:rPr>
                <w:snapToGrid w:val="0"/>
                <w:color w:val="000000"/>
                <w:sz w:val="16"/>
              </w:rPr>
              <w:t>17,3</w:t>
            </w:r>
          </w:p>
        </w:tc>
        <w:tc>
          <w:tcPr>
            <w:tcW w:w="992" w:type="dxa"/>
          </w:tcPr>
          <w:p w:rsidR="00DD7F7C" w:rsidRDefault="00DD7F7C">
            <w:pPr>
              <w:jc w:val="center"/>
              <w:rPr>
                <w:snapToGrid w:val="0"/>
                <w:color w:val="000000"/>
                <w:sz w:val="16"/>
              </w:rPr>
            </w:pPr>
            <w:r>
              <w:rPr>
                <w:snapToGrid w:val="0"/>
                <w:color w:val="000000"/>
                <w:sz w:val="16"/>
              </w:rPr>
              <w:t>12,1905</w:t>
            </w:r>
          </w:p>
        </w:tc>
      </w:tr>
      <w:tr w:rsidR="00DD7F7C">
        <w:trPr>
          <w:trHeight w:val="250"/>
        </w:trPr>
        <w:tc>
          <w:tcPr>
            <w:tcW w:w="3139" w:type="dxa"/>
          </w:tcPr>
          <w:p w:rsidR="00DD7F7C" w:rsidRDefault="00DD7F7C">
            <w:pPr>
              <w:rPr>
                <w:snapToGrid w:val="0"/>
                <w:color w:val="000000"/>
                <w:sz w:val="16"/>
              </w:rPr>
            </w:pPr>
            <w:r>
              <w:rPr>
                <w:snapToGrid w:val="0"/>
                <w:color w:val="000000"/>
                <w:sz w:val="16"/>
              </w:rPr>
              <w:t>Валовая прибыль экономики и валовые смешанные доходы</w:t>
            </w:r>
          </w:p>
        </w:tc>
        <w:tc>
          <w:tcPr>
            <w:tcW w:w="1002" w:type="dxa"/>
          </w:tcPr>
          <w:p w:rsidR="00DD7F7C" w:rsidRDefault="00DD7F7C">
            <w:pPr>
              <w:jc w:val="center"/>
              <w:rPr>
                <w:snapToGrid w:val="0"/>
                <w:color w:val="000000"/>
                <w:sz w:val="16"/>
              </w:rPr>
            </w:pPr>
            <w:r>
              <w:rPr>
                <w:snapToGrid w:val="0"/>
                <w:color w:val="000000"/>
                <w:sz w:val="16"/>
              </w:rPr>
              <w:t>42,9</w:t>
            </w:r>
          </w:p>
        </w:tc>
        <w:tc>
          <w:tcPr>
            <w:tcW w:w="992" w:type="dxa"/>
          </w:tcPr>
          <w:p w:rsidR="00DD7F7C" w:rsidRDefault="00DD7F7C">
            <w:pPr>
              <w:jc w:val="center"/>
              <w:rPr>
                <w:snapToGrid w:val="0"/>
                <w:color w:val="000000"/>
                <w:sz w:val="16"/>
              </w:rPr>
            </w:pPr>
            <w:r>
              <w:rPr>
                <w:snapToGrid w:val="0"/>
                <w:color w:val="000000"/>
                <w:sz w:val="16"/>
              </w:rPr>
              <w:t>36,9</w:t>
            </w:r>
          </w:p>
        </w:tc>
        <w:tc>
          <w:tcPr>
            <w:tcW w:w="993" w:type="dxa"/>
          </w:tcPr>
          <w:p w:rsidR="00DD7F7C" w:rsidRDefault="00DD7F7C">
            <w:pPr>
              <w:jc w:val="center"/>
              <w:rPr>
                <w:snapToGrid w:val="0"/>
                <w:color w:val="000000"/>
                <w:sz w:val="16"/>
              </w:rPr>
            </w:pPr>
            <w:r>
              <w:rPr>
                <w:snapToGrid w:val="0"/>
                <w:color w:val="000000"/>
                <w:sz w:val="16"/>
              </w:rPr>
              <w:t>35,5</w:t>
            </w:r>
          </w:p>
        </w:tc>
        <w:tc>
          <w:tcPr>
            <w:tcW w:w="850" w:type="dxa"/>
          </w:tcPr>
          <w:p w:rsidR="00DD7F7C" w:rsidRDefault="00DD7F7C">
            <w:pPr>
              <w:jc w:val="center"/>
              <w:rPr>
                <w:snapToGrid w:val="0"/>
                <w:color w:val="000000"/>
                <w:sz w:val="16"/>
              </w:rPr>
            </w:pPr>
            <w:r>
              <w:rPr>
                <w:snapToGrid w:val="0"/>
                <w:color w:val="000000"/>
                <w:sz w:val="16"/>
              </w:rPr>
              <w:t>38,2</w:t>
            </w:r>
          </w:p>
        </w:tc>
        <w:tc>
          <w:tcPr>
            <w:tcW w:w="851" w:type="dxa"/>
          </w:tcPr>
          <w:p w:rsidR="00DD7F7C" w:rsidRDefault="00DD7F7C">
            <w:pPr>
              <w:jc w:val="center"/>
              <w:rPr>
                <w:snapToGrid w:val="0"/>
                <w:color w:val="000000"/>
                <w:sz w:val="16"/>
              </w:rPr>
            </w:pPr>
            <w:r>
              <w:rPr>
                <w:snapToGrid w:val="0"/>
                <w:color w:val="000000"/>
                <w:sz w:val="16"/>
              </w:rPr>
              <w:t>43,1</w:t>
            </w:r>
          </w:p>
        </w:tc>
        <w:tc>
          <w:tcPr>
            <w:tcW w:w="850" w:type="dxa"/>
          </w:tcPr>
          <w:p w:rsidR="00DD7F7C" w:rsidRDefault="00DD7F7C">
            <w:pPr>
              <w:jc w:val="center"/>
              <w:rPr>
                <w:snapToGrid w:val="0"/>
                <w:color w:val="000000"/>
                <w:sz w:val="16"/>
              </w:rPr>
            </w:pPr>
            <w:r>
              <w:rPr>
                <w:snapToGrid w:val="0"/>
                <w:color w:val="000000"/>
                <w:sz w:val="16"/>
              </w:rPr>
              <w:t>41,4</w:t>
            </w:r>
          </w:p>
        </w:tc>
        <w:tc>
          <w:tcPr>
            <w:tcW w:w="992" w:type="dxa"/>
          </w:tcPr>
          <w:p w:rsidR="00DD7F7C" w:rsidRDefault="00DD7F7C">
            <w:pPr>
              <w:jc w:val="center"/>
              <w:rPr>
                <w:snapToGrid w:val="0"/>
                <w:color w:val="000000"/>
                <w:sz w:val="16"/>
              </w:rPr>
            </w:pPr>
            <w:r>
              <w:rPr>
                <w:snapToGrid w:val="0"/>
                <w:color w:val="000000"/>
                <w:sz w:val="16"/>
              </w:rPr>
              <w:t>38,681</w:t>
            </w:r>
          </w:p>
        </w:tc>
      </w:tr>
    </w:tbl>
    <w:p w:rsidR="00DD7F7C" w:rsidRDefault="00DD7F7C">
      <w:pPr>
        <w:jc w:val="both"/>
        <w:rPr>
          <w:sz w:val="28"/>
        </w:rPr>
      </w:pPr>
    </w:p>
    <w:p w:rsidR="00DD7F7C" w:rsidRDefault="00DD7F7C">
      <w:pPr>
        <w:jc w:val="both"/>
        <w:rPr>
          <w:sz w:val="27"/>
        </w:rPr>
      </w:pPr>
      <w:r>
        <w:rPr>
          <w:sz w:val="27"/>
        </w:rPr>
        <w:t xml:space="preserve">     То есть в прогнозируемом периоде доля оплаты труда наемных работников увеличится по сравнению с 2000 годом на 7,8 процентных пунктов,  чистые налоги на производство и импорт и валовая прибыль экономики уменьшаться соответственно на 5,1  и 2,7 процентных пунктов.</w:t>
      </w:r>
    </w:p>
    <w:p w:rsidR="00DD7F7C" w:rsidRDefault="00DD7F7C">
      <w:pPr>
        <w:jc w:val="both"/>
        <w:rPr>
          <w:sz w:val="27"/>
        </w:rPr>
      </w:pPr>
      <w:r>
        <w:rPr>
          <w:sz w:val="27"/>
        </w:rPr>
        <w:t xml:space="preserve">     Все прогнозы в основном  делятся на оптимистические и пессимистические.  Мне бы хотелось остановиться на прогнозе Правительства России. </w:t>
      </w:r>
      <w:r>
        <w:rPr>
          <w:b/>
          <w:sz w:val="27"/>
        </w:rPr>
        <w:t xml:space="preserve"> </w:t>
      </w:r>
      <w:r>
        <w:rPr>
          <w:sz w:val="27"/>
        </w:rPr>
        <w:t xml:space="preserve">Данный прогноз является стратегией развития реального сектора экономики в ближайшие 10 лет. Снижение рисков работы в российской экономике позволит значительно расширить круг инвесторов всех типов. В результате снижения риска хозяйственных операций и инвестиционных проектов, развития институтов рыночной инфраструктуры снизятся трансакционные издержки и стоимость привлечения внешнего финансирования. Российская экономика перестанет быть закрытой на вход и открытой на выход для капитала и других ресурсов. Возникнет возможность взаимовыгодной в долгосрочном плане интеграции с мировой экономикой. Создание конкурентоспособных на мировом рынке капитала условий для инвестиций будет способствовать притоку современных управленческих и производственных технологий в реальный сектор. В ходе улучшения инвестиционного климата спекулятивные инвесторы будут в значительной мере замещены более консервативными инвесторами, в большей мере ориентирующимися на надежность инструмента, чем на доходность. Предложенные меры приведут к росту капитализации банковской системы.   </w:t>
      </w:r>
    </w:p>
    <w:p w:rsidR="00DD7F7C" w:rsidRDefault="00DD7F7C">
      <w:pPr>
        <w:pStyle w:val="10"/>
        <w:jc w:val="both"/>
        <w:rPr>
          <w:sz w:val="28"/>
        </w:rPr>
      </w:pPr>
      <w:r>
        <w:rPr>
          <w:sz w:val="28"/>
        </w:rPr>
        <w:t xml:space="preserve">     При реализации мер в области внешнеэкономической политики и валютного регулирования увеличится объем иностранных инвестиций, прежде всего прямых. Уменьшится эффективность использования оффшорных технологий, что приведет к сокращению оттока капитала, а также к более активному возвращению ранее вывезенного капитала. Произойдет существенное увеличение объема инвестиций крупнейшими транснациональными корпорациями и инвестиционными банками. Можно также ожидать увеличения инвестиций в интеллектуальную собственность, что приведет в долгосрочной перспективе к улучшению структуры российской экономики за счет увеличения доли высоких технологий. В результате реализации мер в области налогообложения произойдет существенное изменение соотношения между "официальной" и "теневой" экономикой. Значительное количество технологий по уходу от налогообложения станет неэффективным, вследствие чего увеличится налогооблагаемая база, прежде всего по налогу на прибыль и подоходному налогу. Реализация мер в области администрирования налоговой сферы позволит снизить издержки экономических агентов по своевременному и правильному выполнению фискальных требований и повысит конкурентоспособность российских условий по сравнению с условиями, предлагаемыми инвесторам в других экономиках. Реализация Программы должна обеспечить темпы роста ВВП как минимум в 5 процентов в год в среднем на протяжении 10-летнего периода. Это позволит увеличить объем ВВП примерно на 26-28 процентов к 2004 году и на 70 процентов к 2010 году (в сравнении с 1999 годом). В отдельные годы рост может ускоряться до 8-10 процентов, в этом случае увеличение объема производимого ВВП к 2010 году может быть большим. В долларовом эквиваленте объем ВВП, рассчитываемый по текущему обменному курсу, к 2010 году увеличится примерно в 2.5 раза, примерно в такой же степени увеличится и среднедушевой объем ВВП. Основные макроэкономические показатели на период до 2010 года приведены в таблице 8.</w:t>
      </w:r>
    </w:p>
    <w:p w:rsidR="00DD7F7C" w:rsidRDefault="00DD7F7C">
      <w:pPr>
        <w:pStyle w:val="10"/>
        <w:jc w:val="right"/>
        <w:rPr>
          <w:sz w:val="28"/>
        </w:rPr>
      </w:pPr>
      <w:r>
        <w:rPr>
          <w:sz w:val="28"/>
        </w:rPr>
        <w:t>Таблица 8</w:t>
      </w:r>
    </w:p>
    <w:p w:rsidR="00DD7F7C" w:rsidRDefault="00DD7F7C">
      <w:pPr>
        <w:pStyle w:val="10"/>
        <w:jc w:val="center"/>
        <w:rPr>
          <w:sz w:val="28"/>
        </w:rPr>
      </w:pPr>
      <w:r>
        <w:rPr>
          <w:sz w:val="28"/>
        </w:rPr>
        <w:t>Ожидаемые результаты экономического развития РФ в ближайшие 10 лет</w:t>
      </w:r>
    </w:p>
    <w:p w:rsidR="00DD7F7C" w:rsidRDefault="00DD7F7C">
      <w:pPr>
        <w:pStyle w:val="10"/>
        <w:jc w:val="center"/>
        <w:rPr>
          <w:sz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16"/>
        <w:gridCol w:w="1559"/>
        <w:gridCol w:w="1134"/>
        <w:gridCol w:w="1134"/>
        <w:gridCol w:w="1134"/>
        <w:gridCol w:w="992"/>
      </w:tblGrid>
      <w:tr w:rsidR="00DD7F7C">
        <w:trPr>
          <w:trHeight w:val="59"/>
        </w:trPr>
        <w:tc>
          <w:tcPr>
            <w:tcW w:w="3716" w:type="dxa"/>
            <w:tcBorders>
              <w:top w:val="single" w:sz="4" w:space="0" w:color="auto"/>
              <w:bottom w:val="single" w:sz="4" w:space="0" w:color="auto"/>
            </w:tcBorders>
          </w:tcPr>
          <w:p w:rsidR="00DD7F7C" w:rsidRDefault="00DD7F7C">
            <w:pPr>
              <w:jc w:val="both"/>
              <w:rPr>
                <w:snapToGrid w:val="0"/>
                <w:color w:val="000000"/>
                <w:sz w:val="16"/>
              </w:rPr>
            </w:pPr>
            <w:r>
              <w:rPr>
                <w:snapToGrid w:val="0"/>
                <w:color w:val="000000"/>
                <w:sz w:val="16"/>
              </w:rPr>
              <w:t>Год</w:t>
            </w:r>
          </w:p>
        </w:tc>
        <w:tc>
          <w:tcPr>
            <w:tcW w:w="1559"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2001</w:t>
            </w:r>
          </w:p>
        </w:tc>
        <w:tc>
          <w:tcPr>
            <w:tcW w:w="1134"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2002</w:t>
            </w:r>
          </w:p>
        </w:tc>
        <w:tc>
          <w:tcPr>
            <w:tcW w:w="1134"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2003</w:t>
            </w:r>
          </w:p>
        </w:tc>
        <w:tc>
          <w:tcPr>
            <w:tcW w:w="1134"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2004</w:t>
            </w:r>
          </w:p>
        </w:tc>
        <w:tc>
          <w:tcPr>
            <w:tcW w:w="992" w:type="dxa"/>
            <w:tcBorders>
              <w:top w:val="single" w:sz="4" w:space="0" w:color="auto"/>
              <w:bottom w:val="single" w:sz="4" w:space="0" w:color="auto"/>
            </w:tcBorders>
          </w:tcPr>
          <w:p w:rsidR="00DD7F7C" w:rsidRDefault="00DD7F7C">
            <w:pPr>
              <w:jc w:val="center"/>
              <w:rPr>
                <w:snapToGrid w:val="0"/>
                <w:color w:val="000000"/>
                <w:sz w:val="16"/>
              </w:rPr>
            </w:pPr>
            <w:r>
              <w:rPr>
                <w:snapToGrid w:val="0"/>
                <w:color w:val="000000"/>
                <w:sz w:val="16"/>
              </w:rPr>
              <w:t>2010</w:t>
            </w:r>
          </w:p>
        </w:tc>
      </w:tr>
      <w:tr w:rsidR="00DD7F7C">
        <w:trPr>
          <w:trHeight w:val="250"/>
        </w:trPr>
        <w:tc>
          <w:tcPr>
            <w:tcW w:w="3716" w:type="dxa"/>
            <w:tcBorders>
              <w:top w:val="single" w:sz="4" w:space="0" w:color="auto"/>
              <w:bottom w:val="nil"/>
            </w:tcBorders>
          </w:tcPr>
          <w:p w:rsidR="00DD7F7C" w:rsidRDefault="00DD7F7C">
            <w:pPr>
              <w:jc w:val="both"/>
              <w:rPr>
                <w:snapToGrid w:val="0"/>
                <w:color w:val="000000"/>
                <w:sz w:val="16"/>
              </w:rPr>
            </w:pPr>
            <w:r>
              <w:rPr>
                <w:snapToGrid w:val="0"/>
                <w:color w:val="000000"/>
                <w:sz w:val="16"/>
              </w:rPr>
              <w:t>Прирост ВВП к предыдущему году, %</w:t>
            </w:r>
          </w:p>
        </w:tc>
        <w:tc>
          <w:tcPr>
            <w:tcW w:w="1559" w:type="dxa"/>
            <w:tcBorders>
              <w:top w:val="single" w:sz="4" w:space="0" w:color="auto"/>
              <w:bottom w:val="nil"/>
            </w:tcBorders>
          </w:tcPr>
          <w:p w:rsidR="00DD7F7C" w:rsidRDefault="00DD7F7C">
            <w:pPr>
              <w:jc w:val="center"/>
              <w:rPr>
                <w:snapToGrid w:val="0"/>
                <w:color w:val="000000"/>
                <w:sz w:val="16"/>
              </w:rPr>
            </w:pPr>
            <w:r>
              <w:rPr>
                <w:snapToGrid w:val="0"/>
                <w:color w:val="000000"/>
                <w:sz w:val="16"/>
              </w:rPr>
              <w:t>4,1</w:t>
            </w:r>
          </w:p>
        </w:tc>
        <w:tc>
          <w:tcPr>
            <w:tcW w:w="1134" w:type="dxa"/>
            <w:tcBorders>
              <w:top w:val="single" w:sz="4" w:space="0" w:color="auto"/>
              <w:bottom w:val="nil"/>
            </w:tcBorders>
          </w:tcPr>
          <w:p w:rsidR="00DD7F7C" w:rsidRDefault="00DD7F7C">
            <w:pPr>
              <w:jc w:val="center"/>
              <w:rPr>
                <w:snapToGrid w:val="0"/>
                <w:color w:val="000000"/>
                <w:sz w:val="16"/>
              </w:rPr>
            </w:pPr>
            <w:r>
              <w:rPr>
                <w:snapToGrid w:val="0"/>
                <w:color w:val="000000"/>
                <w:sz w:val="16"/>
              </w:rPr>
              <w:t>4,6</w:t>
            </w:r>
          </w:p>
        </w:tc>
        <w:tc>
          <w:tcPr>
            <w:tcW w:w="1134" w:type="dxa"/>
            <w:tcBorders>
              <w:top w:val="single" w:sz="4" w:space="0" w:color="auto"/>
              <w:bottom w:val="nil"/>
            </w:tcBorders>
          </w:tcPr>
          <w:p w:rsidR="00DD7F7C" w:rsidRDefault="00DD7F7C">
            <w:pPr>
              <w:jc w:val="center"/>
              <w:rPr>
                <w:snapToGrid w:val="0"/>
                <w:color w:val="000000"/>
                <w:sz w:val="16"/>
              </w:rPr>
            </w:pPr>
            <w:r>
              <w:rPr>
                <w:snapToGrid w:val="0"/>
                <w:color w:val="000000"/>
                <w:sz w:val="16"/>
              </w:rPr>
              <w:t>5,1</w:t>
            </w:r>
          </w:p>
        </w:tc>
        <w:tc>
          <w:tcPr>
            <w:tcW w:w="1134" w:type="dxa"/>
            <w:tcBorders>
              <w:top w:val="single" w:sz="4" w:space="0" w:color="auto"/>
              <w:bottom w:val="nil"/>
            </w:tcBorders>
          </w:tcPr>
          <w:p w:rsidR="00DD7F7C" w:rsidRDefault="00DD7F7C">
            <w:pPr>
              <w:jc w:val="center"/>
              <w:rPr>
                <w:snapToGrid w:val="0"/>
                <w:color w:val="000000"/>
                <w:sz w:val="16"/>
              </w:rPr>
            </w:pPr>
            <w:r>
              <w:rPr>
                <w:snapToGrid w:val="0"/>
                <w:color w:val="000000"/>
                <w:sz w:val="16"/>
              </w:rPr>
              <w:t>4,7</w:t>
            </w:r>
          </w:p>
        </w:tc>
        <w:tc>
          <w:tcPr>
            <w:tcW w:w="992" w:type="dxa"/>
            <w:tcBorders>
              <w:top w:val="single" w:sz="4" w:space="0" w:color="auto"/>
              <w:bottom w:val="nil"/>
            </w:tcBorders>
          </w:tcPr>
          <w:p w:rsidR="00DD7F7C" w:rsidRDefault="00DD7F7C">
            <w:pPr>
              <w:jc w:val="center"/>
              <w:rPr>
                <w:snapToGrid w:val="0"/>
                <w:color w:val="000000"/>
                <w:sz w:val="16"/>
              </w:rPr>
            </w:pPr>
            <w:r>
              <w:rPr>
                <w:snapToGrid w:val="0"/>
                <w:color w:val="000000"/>
                <w:sz w:val="16"/>
              </w:rPr>
              <w:t>5,2</w:t>
            </w:r>
          </w:p>
        </w:tc>
      </w:tr>
      <w:tr w:rsidR="00DD7F7C">
        <w:trPr>
          <w:trHeight w:val="250"/>
        </w:trPr>
        <w:tc>
          <w:tcPr>
            <w:tcW w:w="3716" w:type="dxa"/>
            <w:tcBorders>
              <w:top w:val="nil"/>
            </w:tcBorders>
          </w:tcPr>
          <w:p w:rsidR="00DD7F7C" w:rsidRDefault="00DD7F7C">
            <w:pPr>
              <w:jc w:val="both"/>
              <w:rPr>
                <w:snapToGrid w:val="0"/>
                <w:color w:val="000000"/>
                <w:sz w:val="16"/>
              </w:rPr>
            </w:pPr>
            <w:r>
              <w:rPr>
                <w:snapToGrid w:val="0"/>
                <w:color w:val="000000"/>
                <w:sz w:val="16"/>
              </w:rPr>
              <w:t>ВВП в текущих ценах, млрд. руб.</w:t>
            </w:r>
          </w:p>
        </w:tc>
        <w:tc>
          <w:tcPr>
            <w:tcW w:w="1559" w:type="dxa"/>
            <w:tcBorders>
              <w:top w:val="nil"/>
            </w:tcBorders>
          </w:tcPr>
          <w:p w:rsidR="00DD7F7C" w:rsidRDefault="00DD7F7C">
            <w:pPr>
              <w:jc w:val="center"/>
              <w:rPr>
                <w:snapToGrid w:val="0"/>
                <w:color w:val="000000"/>
                <w:sz w:val="16"/>
              </w:rPr>
            </w:pPr>
            <w:r>
              <w:rPr>
                <w:snapToGrid w:val="0"/>
                <w:color w:val="000000"/>
                <w:sz w:val="16"/>
              </w:rPr>
              <w:t>6964</w:t>
            </w:r>
          </w:p>
        </w:tc>
        <w:tc>
          <w:tcPr>
            <w:tcW w:w="1134" w:type="dxa"/>
            <w:tcBorders>
              <w:top w:val="nil"/>
            </w:tcBorders>
          </w:tcPr>
          <w:p w:rsidR="00DD7F7C" w:rsidRDefault="00DD7F7C">
            <w:pPr>
              <w:jc w:val="center"/>
              <w:rPr>
                <w:snapToGrid w:val="0"/>
                <w:color w:val="000000"/>
                <w:sz w:val="16"/>
              </w:rPr>
            </w:pPr>
            <w:r>
              <w:rPr>
                <w:snapToGrid w:val="0"/>
                <w:color w:val="000000"/>
                <w:sz w:val="16"/>
              </w:rPr>
              <w:t>7907</w:t>
            </w:r>
          </w:p>
        </w:tc>
        <w:tc>
          <w:tcPr>
            <w:tcW w:w="1134" w:type="dxa"/>
            <w:tcBorders>
              <w:top w:val="nil"/>
            </w:tcBorders>
          </w:tcPr>
          <w:p w:rsidR="00DD7F7C" w:rsidRDefault="00DD7F7C">
            <w:pPr>
              <w:jc w:val="center"/>
              <w:rPr>
                <w:snapToGrid w:val="0"/>
                <w:color w:val="000000"/>
                <w:sz w:val="16"/>
              </w:rPr>
            </w:pPr>
            <w:r>
              <w:rPr>
                <w:snapToGrid w:val="0"/>
                <w:color w:val="000000"/>
                <w:sz w:val="16"/>
              </w:rPr>
              <w:t>8990</w:t>
            </w:r>
          </w:p>
        </w:tc>
        <w:tc>
          <w:tcPr>
            <w:tcW w:w="1134" w:type="dxa"/>
            <w:tcBorders>
              <w:top w:val="nil"/>
            </w:tcBorders>
          </w:tcPr>
          <w:p w:rsidR="00DD7F7C" w:rsidRDefault="00DD7F7C">
            <w:pPr>
              <w:jc w:val="center"/>
              <w:rPr>
                <w:snapToGrid w:val="0"/>
                <w:color w:val="000000"/>
                <w:sz w:val="16"/>
              </w:rPr>
            </w:pPr>
            <w:r>
              <w:rPr>
                <w:snapToGrid w:val="0"/>
                <w:color w:val="000000"/>
                <w:sz w:val="16"/>
              </w:rPr>
              <w:t>10023</w:t>
            </w:r>
          </w:p>
        </w:tc>
        <w:tc>
          <w:tcPr>
            <w:tcW w:w="992" w:type="dxa"/>
            <w:tcBorders>
              <w:top w:val="nil"/>
            </w:tcBorders>
          </w:tcPr>
          <w:p w:rsidR="00DD7F7C" w:rsidRDefault="00DD7F7C">
            <w:pPr>
              <w:jc w:val="center"/>
              <w:rPr>
                <w:snapToGrid w:val="0"/>
                <w:color w:val="000000"/>
                <w:sz w:val="16"/>
              </w:rPr>
            </w:pPr>
            <w:r>
              <w:rPr>
                <w:snapToGrid w:val="0"/>
                <w:color w:val="000000"/>
                <w:sz w:val="16"/>
              </w:rPr>
              <w:t>18932</w:t>
            </w:r>
          </w:p>
        </w:tc>
      </w:tr>
      <w:tr w:rsidR="00DD7F7C">
        <w:trPr>
          <w:trHeight w:val="235"/>
        </w:trPr>
        <w:tc>
          <w:tcPr>
            <w:tcW w:w="3716" w:type="dxa"/>
          </w:tcPr>
          <w:p w:rsidR="00DD7F7C" w:rsidRDefault="00DD7F7C">
            <w:pPr>
              <w:jc w:val="both"/>
              <w:rPr>
                <w:snapToGrid w:val="0"/>
                <w:color w:val="000000"/>
                <w:sz w:val="16"/>
              </w:rPr>
            </w:pPr>
            <w:r>
              <w:rPr>
                <w:snapToGrid w:val="0"/>
                <w:color w:val="000000"/>
                <w:sz w:val="16"/>
              </w:rPr>
              <w:t>ВВП по обменному курсу, млрд. долл.</w:t>
            </w:r>
          </w:p>
        </w:tc>
        <w:tc>
          <w:tcPr>
            <w:tcW w:w="1559" w:type="dxa"/>
          </w:tcPr>
          <w:p w:rsidR="00DD7F7C" w:rsidRDefault="00DD7F7C">
            <w:pPr>
              <w:jc w:val="center"/>
              <w:rPr>
                <w:snapToGrid w:val="0"/>
                <w:color w:val="000000"/>
                <w:sz w:val="16"/>
              </w:rPr>
            </w:pPr>
            <w:r>
              <w:rPr>
                <w:snapToGrid w:val="0"/>
                <w:color w:val="000000"/>
                <w:sz w:val="16"/>
              </w:rPr>
              <w:t>229</w:t>
            </w:r>
          </w:p>
        </w:tc>
        <w:tc>
          <w:tcPr>
            <w:tcW w:w="1134" w:type="dxa"/>
          </w:tcPr>
          <w:p w:rsidR="00DD7F7C" w:rsidRDefault="00DD7F7C">
            <w:pPr>
              <w:jc w:val="center"/>
              <w:rPr>
                <w:snapToGrid w:val="0"/>
                <w:color w:val="000000"/>
                <w:sz w:val="16"/>
              </w:rPr>
            </w:pPr>
            <w:r>
              <w:rPr>
                <w:snapToGrid w:val="0"/>
                <w:color w:val="000000"/>
                <w:sz w:val="16"/>
              </w:rPr>
              <w:t>234</w:t>
            </w:r>
          </w:p>
        </w:tc>
        <w:tc>
          <w:tcPr>
            <w:tcW w:w="1134" w:type="dxa"/>
          </w:tcPr>
          <w:p w:rsidR="00DD7F7C" w:rsidRDefault="00DD7F7C">
            <w:pPr>
              <w:jc w:val="center"/>
              <w:rPr>
                <w:snapToGrid w:val="0"/>
                <w:color w:val="000000"/>
                <w:sz w:val="16"/>
              </w:rPr>
            </w:pPr>
            <w:r>
              <w:rPr>
                <w:snapToGrid w:val="0"/>
                <w:color w:val="000000"/>
                <w:sz w:val="16"/>
              </w:rPr>
              <w:t>261</w:t>
            </w:r>
          </w:p>
        </w:tc>
        <w:tc>
          <w:tcPr>
            <w:tcW w:w="1134" w:type="dxa"/>
          </w:tcPr>
          <w:p w:rsidR="00DD7F7C" w:rsidRDefault="00DD7F7C">
            <w:pPr>
              <w:jc w:val="center"/>
              <w:rPr>
                <w:snapToGrid w:val="0"/>
                <w:color w:val="000000"/>
                <w:sz w:val="16"/>
              </w:rPr>
            </w:pPr>
            <w:r>
              <w:rPr>
                <w:snapToGrid w:val="0"/>
                <w:color w:val="000000"/>
                <w:sz w:val="16"/>
              </w:rPr>
              <w:t>284</w:t>
            </w:r>
          </w:p>
        </w:tc>
        <w:tc>
          <w:tcPr>
            <w:tcW w:w="992" w:type="dxa"/>
          </w:tcPr>
          <w:p w:rsidR="00DD7F7C" w:rsidRDefault="00DD7F7C">
            <w:pPr>
              <w:jc w:val="center"/>
              <w:rPr>
                <w:snapToGrid w:val="0"/>
                <w:color w:val="000000"/>
                <w:sz w:val="16"/>
              </w:rPr>
            </w:pPr>
            <w:r>
              <w:rPr>
                <w:snapToGrid w:val="0"/>
                <w:color w:val="000000"/>
                <w:sz w:val="16"/>
              </w:rPr>
              <w:t>457</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 xml:space="preserve">Объем в % к уровню 1999 г. </w:t>
            </w:r>
          </w:p>
        </w:tc>
        <w:tc>
          <w:tcPr>
            <w:tcW w:w="1559" w:type="dxa"/>
          </w:tcPr>
          <w:p w:rsidR="00DD7F7C" w:rsidRDefault="00DD7F7C">
            <w:pPr>
              <w:jc w:val="center"/>
              <w:rPr>
                <w:snapToGrid w:val="0"/>
                <w:color w:val="000000"/>
                <w:sz w:val="16"/>
              </w:rPr>
            </w:pPr>
          </w:p>
        </w:tc>
        <w:tc>
          <w:tcPr>
            <w:tcW w:w="1134" w:type="dxa"/>
          </w:tcPr>
          <w:p w:rsidR="00DD7F7C" w:rsidRDefault="00DD7F7C">
            <w:pPr>
              <w:jc w:val="center"/>
              <w:rPr>
                <w:snapToGrid w:val="0"/>
                <w:color w:val="000000"/>
                <w:sz w:val="16"/>
              </w:rPr>
            </w:pPr>
          </w:p>
        </w:tc>
        <w:tc>
          <w:tcPr>
            <w:tcW w:w="1134" w:type="dxa"/>
          </w:tcPr>
          <w:p w:rsidR="00DD7F7C" w:rsidRDefault="00DD7F7C">
            <w:pPr>
              <w:jc w:val="center"/>
              <w:rPr>
                <w:snapToGrid w:val="0"/>
                <w:color w:val="000000"/>
                <w:sz w:val="16"/>
              </w:rPr>
            </w:pPr>
          </w:p>
        </w:tc>
        <w:tc>
          <w:tcPr>
            <w:tcW w:w="1134" w:type="dxa"/>
          </w:tcPr>
          <w:p w:rsidR="00DD7F7C" w:rsidRDefault="00DD7F7C">
            <w:pPr>
              <w:jc w:val="center"/>
              <w:rPr>
                <w:snapToGrid w:val="0"/>
                <w:color w:val="000000"/>
                <w:sz w:val="16"/>
              </w:rPr>
            </w:pPr>
          </w:p>
        </w:tc>
        <w:tc>
          <w:tcPr>
            <w:tcW w:w="992" w:type="dxa"/>
          </w:tcPr>
          <w:p w:rsidR="00DD7F7C" w:rsidRDefault="00DD7F7C">
            <w:pPr>
              <w:jc w:val="center"/>
              <w:rPr>
                <w:snapToGrid w:val="0"/>
                <w:color w:val="000000"/>
                <w:sz w:val="16"/>
              </w:rPr>
            </w:pP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ВВП - всего</w:t>
            </w:r>
          </w:p>
        </w:tc>
        <w:tc>
          <w:tcPr>
            <w:tcW w:w="1559" w:type="dxa"/>
          </w:tcPr>
          <w:p w:rsidR="00DD7F7C" w:rsidRDefault="00DD7F7C">
            <w:pPr>
              <w:jc w:val="center"/>
              <w:rPr>
                <w:snapToGrid w:val="0"/>
                <w:color w:val="000000"/>
                <w:sz w:val="16"/>
              </w:rPr>
            </w:pPr>
            <w:r>
              <w:rPr>
                <w:snapToGrid w:val="0"/>
                <w:color w:val="000000"/>
                <w:sz w:val="16"/>
              </w:rPr>
              <w:t>109,3</w:t>
            </w:r>
          </w:p>
        </w:tc>
        <w:tc>
          <w:tcPr>
            <w:tcW w:w="1134" w:type="dxa"/>
          </w:tcPr>
          <w:p w:rsidR="00DD7F7C" w:rsidRDefault="00DD7F7C">
            <w:pPr>
              <w:jc w:val="center"/>
              <w:rPr>
                <w:snapToGrid w:val="0"/>
                <w:color w:val="000000"/>
                <w:sz w:val="16"/>
              </w:rPr>
            </w:pPr>
            <w:r>
              <w:rPr>
                <w:snapToGrid w:val="0"/>
                <w:color w:val="000000"/>
                <w:sz w:val="16"/>
              </w:rPr>
              <w:t>114,3</w:t>
            </w:r>
          </w:p>
        </w:tc>
        <w:tc>
          <w:tcPr>
            <w:tcW w:w="1134" w:type="dxa"/>
          </w:tcPr>
          <w:p w:rsidR="00DD7F7C" w:rsidRDefault="00DD7F7C">
            <w:pPr>
              <w:jc w:val="center"/>
              <w:rPr>
                <w:snapToGrid w:val="0"/>
                <w:color w:val="000000"/>
                <w:sz w:val="16"/>
              </w:rPr>
            </w:pPr>
            <w:r>
              <w:rPr>
                <w:snapToGrid w:val="0"/>
                <w:color w:val="000000"/>
                <w:sz w:val="16"/>
              </w:rPr>
              <w:t>120,1</w:t>
            </w:r>
          </w:p>
        </w:tc>
        <w:tc>
          <w:tcPr>
            <w:tcW w:w="1134" w:type="dxa"/>
          </w:tcPr>
          <w:p w:rsidR="00DD7F7C" w:rsidRDefault="00DD7F7C">
            <w:pPr>
              <w:jc w:val="center"/>
              <w:rPr>
                <w:snapToGrid w:val="0"/>
                <w:color w:val="000000"/>
                <w:sz w:val="16"/>
              </w:rPr>
            </w:pPr>
            <w:r>
              <w:rPr>
                <w:snapToGrid w:val="0"/>
                <w:color w:val="000000"/>
                <w:sz w:val="16"/>
              </w:rPr>
              <w:t>125,7</w:t>
            </w:r>
          </w:p>
        </w:tc>
        <w:tc>
          <w:tcPr>
            <w:tcW w:w="992" w:type="dxa"/>
          </w:tcPr>
          <w:p w:rsidR="00DD7F7C" w:rsidRDefault="00DD7F7C">
            <w:pPr>
              <w:jc w:val="center"/>
              <w:rPr>
                <w:snapToGrid w:val="0"/>
                <w:color w:val="000000"/>
                <w:sz w:val="16"/>
              </w:rPr>
            </w:pPr>
            <w:r>
              <w:rPr>
                <w:snapToGrid w:val="0"/>
                <w:color w:val="000000"/>
                <w:sz w:val="16"/>
              </w:rPr>
              <w:t>170,3</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 xml:space="preserve">Расходы на конечное потребление </w:t>
            </w:r>
          </w:p>
        </w:tc>
        <w:tc>
          <w:tcPr>
            <w:tcW w:w="1559" w:type="dxa"/>
          </w:tcPr>
          <w:p w:rsidR="00DD7F7C" w:rsidRDefault="00DD7F7C">
            <w:pPr>
              <w:jc w:val="center"/>
              <w:rPr>
                <w:snapToGrid w:val="0"/>
                <w:color w:val="000000"/>
                <w:sz w:val="16"/>
              </w:rPr>
            </w:pPr>
            <w:r>
              <w:rPr>
                <w:snapToGrid w:val="0"/>
                <w:color w:val="000000"/>
                <w:sz w:val="16"/>
              </w:rPr>
              <w:t>107,8</w:t>
            </w:r>
          </w:p>
        </w:tc>
        <w:tc>
          <w:tcPr>
            <w:tcW w:w="1134" w:type="dxa"/>
          </w:tcPr>
          <w:p w:rsidR="00DD7F7C" w:rsidRDefault="00DD7F7C">
            <w:pPr>
              <w:jc w:val="center"/>
              <w:rPr>
                <w:snapToGrid w:val="0"/>
                <w:color w:val="000000"/>
                <w:sz w:val="16"/>
              </w:rPr>
            </w:pPr>
            <w:r>
              <w:rPr>
                <w:snapToGrid w:val="0"/>
                <w:color w:val="000000"/>
                <w:sz w:val="16"/>
              </w:rPr>
              <w:t>113,3</w:t>
            </w:r>
          </w:p>
        </w:tc>
        <w:tc>
          <w:tcPr>
            <w:tcW w:w="1134" w:type="dxa"/>
          </w:tcPr>
          <w:p w:rsidR="00DD7F7C" w:rsidRDefault="00DD7F7C">
            <w:pPr>
              <w:jc w:val="center"/>
              <w:rPr>
                <w:snapToGrid w:val="0"/>
                <w:color w:val="000000"/>
                <w:sz w:val="16"/>
              </w:rPr>
            </w:pPr>
            <w:r>
              <w:rPr>
                <w:snapToGrid w:val="0"/>
                <w:color w:val="000000"/>
                <w:sz w:val="16"/>
              </w:rPr>
              <w:t>118,9</w:t>
            </w:r>
          </w:p>
        </w:tc>
        <w:tc>
          <w:tcPr>
            <w:tcW w:w="1134" w:type="dxa"/>
          </w:tcPr>
          <w:p w:rsidR="00DD7F7C" w:rsidRDefault="00DD7F7C">
            <w:pPr>
              <w:jc w:val="center"/>
              <w:rPr>
                <w:snapToGrid w:val="0"/>
                <w:color w:val="000000"/>
                <w:sz w:val="16"/>
              </w:rPr>
            </w:pPr>
            <w:r>
              <w:rPr>
                <w:snapToGrid w:val="0"/>
                <w:color w:val="000000"/>
                <w:sz w:val="16"/>
              </w:rPr>
              <w:t>125,1</w:t>
            </w:r>
          </w:p>
        </w:tc>
        <w:tc>
          <w:tcPr>
            <w:tcW w:w="992" w:type="dxa"/>
          </w:tcPr>
          <w:p w:rsidR="00DD7F7C" w:rsidRDefault="00DD7F7C">
            <w:pPr>
              <w:jc w:val="center"/>
              <w:rPr>
                <w:snapToGrid w:val="0"/>
                <w:color w:val="000000"/>
                <w:sz w:val="16"/>
              </w:rPr>
            </w:pPr>
            <w:r>
              <w:rPr>
                <w:snapToGrid w:val="0"/>
                <w:color w:val="000000"/>
                <w:sz w:val="16"/>
              </w:rPr>
              <w:t>171,6</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домашних хозяйств</w:t>
            </w:r>
          </w:p>
        </w:tc>
        <w:tc>
          <w:tcPr>
            <w:tcW w:w="1559" w:type="dxa"/>
          </w:tcPr>
          <w:p w:rsidR="00DD7F7C" w:rsidRDefault="00DD7F7C">
            <w:pPr>
              <w:jc w:val="center"/>
              <w:rPr>
                <w:snapToGrid w:val="0"/>
                <w:color w:val="000000"/>
                <w:sz w:val="16"/>
              </w:rPr>
            </w:pPr>
            <w:r>
              <w:rPr>
                <w:snapToGrid w:val="0"/>
                <w:color w:val="000000"/>
                <w:sz w:val="16"/>
              </w:rPr>
              <w:t>109,8</w:t>
            </w:r>
          </w:p>
        </w:tc>
        <w:tc>
          <w:tcPr>
            <w:tcW w:w="1134" w:type="dxa"/>
          </w:tcPr>
          <w:p w:rsidR="00DD7F7C" w:rsidRDefault="00DD7F7C">
            <w:pPr>
              <w:jc w:val="center"/>
              <w:rPr>
                <w:snapToGrid w:val="0"/>
                <w:color w:val="000000"/>
                <w:sz w:val="16"/>
              </w:rPr>
            </w:pPr>
            <w:r>
              <w:rPr>
                <w:snapToGrid w:val="0"/>
                <w:color w:val="000000"/>
                <w:sz w:val="16"/>
              </w:rPr>
              <w:t>116,1</w:t>
            </w:r>
          </w:p>
        </w:tc>
        <w:tc>
          <w:tcPr>
            <w:tcW w:w="1134" w:type="dxa"/>
          </w:tcPr>
          <w:p w:rsidR="00DD7F7C" w:rsidRDefault="00DD7F7C">
            <w:pPr>
              <w:jc w:val="center"/>
              <w:rPr>
                <w:snapToGrid w:val="0"/>
                <w:color w:val="000000"/>
                <w:sz w:val="16"/>
              </w:rPr>
            </w:pPr>
            <w:r>
              <w:rPr>
                <w:snapToGrid w:val="0"/>
                <w:color w:val="000000"/>
                <w:sz w:val="16"/>
              </w:rPr>
              <w:t>122,8</w:t>
            </w:r>
          </w:p>
        </w:tc>
        <w:tc>
          <w:tcPr>
            <w:tcW w:w="1134" w:type="dxa"/>
          </w:tcPr>
          <w:p w:rsidR="00DD7F7C" w:rsidRDefault="00DD7F7C">
            <w:pPr>
              <w:jc w:val="center"/>
              <w:rPr>
                <w:snapToGrid w:val="0"/>
                <w:color w:val="000000"/>
                <w:sz w:val="16"/>
              </w:rPr>
            </w:pPr>
            <w:r>
              <w:rPr>
                <w:snapToGrid w:val="0"/>
                <w:color w:val="000000"/>
                <w:sz w:val="16"/>
              </w:rPr>
              <w:t>128,9</w:t>
            </w:r>
          </w:p>
        </w:tc>
        <w:tc>
          <w:tcPr>
            <w:tcW w:w="992" w:type="dxa"/>
          </w:tcPr>
          <w:p w:rsidR="00DD7F7C" w:rsidRDefault="00DD7F7C">
            <w:pPr>
              <w:jc w:val="center"/>
              <w:rPr>
                <w:snapToGrid w:val="0"/>
                <w:color w:val="000000"/>
                <w:sz w:val="16"/>
              </w:rPr>
            </w:pPr>
            <w:r>
              <w:rPr>
                <w:snapToGrid w:val="0"/>
                <w:color w:val="000000"/>
                <w:sz w:val="16"/>
              </w:rPr>
              <w:t>182,1</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государственных учреждений</w:t>
            </w:r>
          </w:p>
        </w:tc>
        <w:tc>
          <w:tcPr>
            <w:tcW w:w="1559" w:type="dxa"/>
          </w:tcPr>
          <w:p w:rsidR="00DD7F7C" w:rsidRDefault="00DD7F7C">
            <w:pPr>
              <w:jc w:val="center"/>
              <w:rPr>
                <w:snapToGrid w:val="0"/>
                <w:color w:val="000000"/>
                <w:sz w:val="16"/>
              </w:rPr>
            </w:pPr>
            <w:r>
              <w:rPr>
                <w:snapToGrid w:val="0"/>
                <w:color w:val="000000"/>
                <w:sz w:val="16"/>
              </w:rPr>
              <w:t>104,1</w:t>
            </w:r>
          </w:p>
        </w:tc>
        <w:tc>
          <w:tcPr>
            <w:tcW w:w="1134" w:type="dxa"/>
          </w:tcPr>
          <w:p w:rsidR="00DD7F7C" w:rsidRDefault="00DD7F7C">
            <w:pPr>
              <w:jc w:val="center"/>
              <w:rPr>
                <w:snapToGrid w:val="0"/>
                <w:color w:val="000000"/>
                <w:sz w:val="16"/>
              </w:rPr>
            </w:pPr>
            <w:r>
              <w:rPr>
                <w:snapToGrid w:val="0"/>
                <w:color w:val="000000"/>
                <w:sz w:val="16"/>
              </w:rPr>
              <w:t>107,3</w:t>
            </w:r>
          </w:p>
        </w:tc>
        <w:tc>
          <w:tcPr>
            <w:tcW w:w="1134" w:type="dxa"/>
          </w:tcPr>
          <w:p w:rsidR="00DD7F7C" w:rsidRDefault="00DD7F7C">
            <w:pPr>
              <w:jc w:val="center"/>
              <w:rPr>
                <w:snapToGrid w:val="0"/>
                <w:color w:val="000000"/>
                <w:sz w:val="16"/>
              </w:rPr>
            </w:pPr>
            <w:r>
              <w:rPr>
                <w:snapToGrid w:val="0"/>
                <w:color w:val="000000"/>
                <w:sz w:val="16"/>
              </w:rPr>
              <w:t>110,2</w:t>
            </w:r>
          </w:p>
        </w:tc>
        <w:tc>
          <w:tcPr>
            <w:tcW w:w="1134" w:type="dxa"/>
          </w:tcPr>
          <w:p w:rsidR="00DD7F7C" w:rsidRDefault="00DD7F7C">
            <w:pPr>
              <w:jc w:val="center"/>
              <w:rPr>
                <w:snapToGrid w:val="0"/>
                <w:color w:val="000000"/>
                <w:sz w:val="16"/>
              </w:rPr>
            </w:pPr>
            <w:r>
              <w:rPr>
                <w:snapToGrid w:val="0"/>
                <w:color w:val="000000"/>
                <w:sz w:val="16"/>
              </w:rPr>
              <w:t>116,5</w:t>
            </w:r>
          </w:p>
        </w:tc>
        <w:tc>
          <w:tcPr>
            <w:tcW w:w="992" w:type="dxa"/>
          </w:tcPr>
          <w:p w:rsidR="00DD7F7C" w:rsidRDefault="00DD7F7C">
            <w:pPr>
              <w:jc w:val="center"/>
              <w:rPr>
                <w:snapToGrid w:val="0"/>
                <w:color w:val="000000"/>
                <w:sz w:val="16"/>
              </w:rPr>
            </w:pPr>
            <w:r>
              <w:rPr>
                <w:snapToGrid w:val="0"/>
                <w:color w:val="000000"/>
                <w:sz w:val="16"/>
              </w:rPr>
              <w:t>145,5</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Валовое накопление основных фондов</w:t>
            </w:r>
          </w:p>
        </w:tc>
        <w:tc>
          <w:tcPr>
            <w:tcW w:w="1559" w:type="dxa"/>
          </w:tcPr>
          <w:p w:rsidR="00DD7F7C" w:rsidRDefault="00DD7F7C">
            <w:pPr>
              <w:jc w:val="center"/>
              <w:rPr>
                <w:snapToGrid w:val="0"/>
                <w:color w:val="000000"/>
                <w:sz w:val="16"/>
              </w:rPr>
            </w:pPr>
            <w:r>
              <w:rPr>
                <w:snapToGrid w:val="0"/>
                <w:color w:val="000000"/>
                <w:sz w:val="16"/>
              </w:rPr>
              <w:t>118,2</w:t>
            </w:r>
          </w:p>
        </w:tc>
        <w:tc>
          <w:tcPr>
            <w:tcW w:w="1134" w:type="dxa"/>
          </w:tcPr>
          <w:p w:rsidR="00DD7F7C" w:rsidRDefault="00DD7F7C">
            <w:pPr>
              <w:jc w:val="center"/>
              <w:rPr>
                <w:snapToGrid w:val="0"/>
                <w:color w:val="000000"/>
                <w:sz w:val="16"/>
              </w:rPr>
            </w:pPr>
            <w:r>
              <w:rPr>
                <w:snapToGrid w:val="0"/>
                <w:color w:val="000000"/>
                <w:sz w:val="16"/>
              </w:rPr>
              <w:t>131,2</w:t>
            </w:r>
          </w:p>
        </w:tc>
        <w:tc>
          <w:tcPr>
            <w:tcW w:w="1134" w:type="dxa"/>
          </w:tcPr>
          <w:p w:rsidR="00DD7F7C" w:rsidRDefault="00DD7F7C">
            <w:pPr>
              <w:jc w:val="center"/>
              <w:rPr>
                <w:snapToGrid w:val="0"/>
                <w:color w:val="000000"/>
                <w:sz w:val="16"/>
              </w:rPr>
            </w:pPr>
            <w:r>
              <w:rPr>
                <w:snapToGrid w:val="0"/>
                <w:color w:val="000000"/>
                <w:sz w:val="16"/>
              </w:rPr>
              <w:t>151,4</w:t>
            </w:r>
          </w:p>
        </w:tc>
        <w:tc>
          <w:tcPr>
            <w:tcW w:w="1134" w:type="dxa"/>
          </w:tcPr>
          <w:p w:rsidR="00DD7F7C" w:rsidRDefault="00DD7F7C">
            <w:pPr>
              <w:jc w:val="center"/>
              <w:rPr>
                <w:snapToGrid w:val="0"/>
                <w:color w:val="000000"/>
                <w:sz w:val="16"/>
              </w:rPr>
            </w:pPr>
            <w:r>
              <w:rPr>
                <w:snapToGrid w:val="0"/>
                <w:color w:val="000000"/>
                <w:sz w:val="16"/>
              </w:rPr>
              <w:t>169,5</w:t>
            </w:r>
          </w:p>
        </w:tc>
        <w:tc>
          <w:tcPr>
            <w:tcW w:w="992" w:type="dxa"/>
          </w:tcPr>
          <w:p w:rsidR="00DD7F7C" w:rsidRDefault="00DD7F7C">
            <w:pPr>
              <w:jc w:val="center"/>
              <w:rPr>
                <w:snapToGrid w:val="0"/>
                <w:color w:val="000000"/>
                <w:sz w:val="16"/>
              </w:rPr>
            </w:pPr>
            <w:r>
              <w:rPr>
                <w:snapToGrid w:val="0"/>
                <w:color w:val="000000"/>
                <w:sz w:val="16"/>
              </w:rPr>
              <w:t>270,7</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Структура ВВП в текущих ценах, %</w:t>
            </w:r>
          </w:p>
        </w:tc>
        <w:tc>
          <w:tcPr>
            <w:tcW w:w="1559" w:type="dxa"/>
          </w:tcPr>
          <w:p w:rsidR="00DD7F7C" w:rsidRDefault="00DD7F7C">
            <w:pPr>
              <w:jc w:val="center"/>
              <w:rPr>
                <w:snapToGrid w:val="0"/>
                <w:color w:val="000000"/>
                <w:sz w:val="16"/>
              </w:rPr>
            </w:pPr>
          </w:p>
        </w:tc>
        <w:tc>
          <w:tcPr>
            <w:tcW w:w="1134" w:type="dxa"/>
          </w:tcPr>
          <w:p w:rsidR="00DD7F7C" w:rsidRDefault="00DD7F7C">
            <w:pPr>
              <w:jc w:val="center"/>
              <w:rPr>
                <w:snapToGrid w:val="0"/>
                <w:color w:val="000000"/>
                <w:sz w:val="16"/>
              </w:rPr>
            </w:pPr>
          </w:p>
        </w:tc>
        <w:tc>
          <w:tcPr>
            <w:tcW w:w="1134" w:type="dxa"/>
          </w:tcPr>
          <w:p w:rsidR="00DD7F7C" w:rsidRDefault="00DD7F7C">
            <w:pPr>
              <w:jc w:val="center"/>
              <w:rPr>
                <w:snapToGrid w:val="0"/>
                <w:color w:val="000000"/>
                <w:sz w:val="16"/>
              </w:rPr>
            </w:pPr>
          </w:p>
        </w:tc>
        <w:tc>
          <w:tcPr>
            <w:tcW w:w="1134" w:type="dxa"/>
          </w:tcPr>
          <w:p w:rsidR="00DD7F7C" w:rsidRDefault="00DD7F7C">
            <w:pPr>
              <w:jc w:val="center"/>
              <w:rPr>
                <w:snapToGrid w:val="0"/>
                <w:color w:val="000000"/>
                <w:sz w:val="16"/>
              </w:rPr>
            </w:pPr>
          </w:p>
        </w:tc>
        <w:tc>
          <w:tcPr>
            <w:tcW w:w="992" w:type="dxa"/>
          </w:tcPr>
          <w:p w:rsidR="00DD7F7C" w:rsidRDefault="00DD7F7C">
            <w:pPr>
              <w:jc w:val="center"/>
              <w:rPr>
                <w:snapToGrid w:val="0"/>
                <w:color w:val="000000"/>
                <w:sz w:val="16"/>
              </w:rPr>
            </w:pP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ВВП - всего</w:t>
            </w:r>
          </w:p>
        </w:tc>
        <w:tc>
          <w:tcPr>
            <w:tcW w:w="1559" w:type="dxa"/>
          </w:tcPr>
          <w:p w:rsidR="00DD7F7C" w:rsidRDefault="00DD7F7C">
            <w:pPr>
              <w:jc w:val="center"/>
              <w:rPr>
                <w:snapToGrid w:val="0"/>
                <w:color w:val="000000"/>
                <w:sz w:val="16"/>
              </w:rPr>
            </w:pPr>
            <w:r>
              <w:rPr>
                <w:snapToGrid w:val="0"/>
                <w:color w:val="000000"/>
                <w:sz w:val="16"/>
              </w:rPr>
              <w:t>100</w:t>
            </w:r>
          </w:p>
        </w:tc>
        <w:tc>
          <w:tcPr>
            <w:tcW w:w="1134" w:type="dxa"/>
          </w:tcPr>
          <w:p w:rsidR="00DD7F7C" w:rsidRDefault="00DD7F7C">
            <w:pPr>
              <w:jc w:val="center"/>
              <w:rPr>
                <w:snapToGrid w:val="0"/>
                <w:color w:val="000000"/>
                <w:sz w:val="16"/>
              </w:rPr>
            </w:pPr>
            <w:r>
              <w:rPr>
                <w:snapToGrid w:val="0"/>
                <w:color w:val="000000"/>
                <w:sz w:val="16"/>
              </w:rPr>
              <w:t>100</w:t>
            </w:r>
          </w:p>
        </w:tc>
        <w:tc>
          <w:tcPr>
            <w:tcW w:w="1134" w:type="dxa"/>
          </w:tcPr>
          <w:p w:rsidR="00DD7F7C" w:rsidRDefault="00DD7F7C">
            <w:pPr>
              <w:jc w:val="center"/>
              <w:rPr>
                <w:snapToGrid w:val="0"/>
                <w:color w:val="000000"/>
                <w:sz w:val="16"/>
              </w:rPr>
            </w:pPr>
            <w:r>
              <w:rPr>
                <w:snapToGrid w:val="0"/>
                <w:color w:val="000000"/>
                <w:sz w:val="16"/>
              </w:rPr>
              <w:t>100</w:t>
            </w:r>
          </w:p>
        </w:tc>
        <w:tc>
          <w:tcPr>
            <w:tcW w:w="1134" w:type="dxa"/>
          </w:tcPr>
          <w:p w:rsidR="00DD7F7C" w:rsidRDefault="00DD7F7C">
            <w:pPr>
              <w:jc w:val="center"/>
              <w:rPr>
                <w:snapToGrid w:val="0"/>
                <w:color w:val="000000"/>
                <w:sz w:val="16"/>
              </w:rPr>
            </w:pPr>
            <w:r>
              <w:rPr>
                <w:snapToGrid w:val="0"/>
                <w:color w:val="000000"/>
                <w:sz w:val="16"/>
              </w:rPr>
              <w:t>100</w:t>
            </w:r>
          </w:p>
        </w:tc>
        <w:tc>
          <w:tcPr>
            <w:tcW w:w="992" w:type="dxa"/>
          </w:tcPr>
          <w:p w:rsidR="00DD7F7C" w:rsidRDefault="00DD7F7C">
            <w:pPr>
              <w:jc w:val="center"/>
              <w:rPr>
                <w:snapToGrid w:val="0"/>
                <w:color w:val="000000"/>
                <w:sz w:val="16"/>
              </w:rPr>
            </w:pPr>
            <w:r>
              <w:rPr>
                <w:snapToGrid w:val="0"/>
                <w:color w:val="000000"/>
                <w:sz w:val="16"/>
              </w:rPr>
              <w:t>100</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 xml:space="preserve">Расходы на конечное потребление </w:t>
            </w:r>
          </w:p>
        </w:tc>
        <w:tc>
          <w:tcPr>
            <w:tcW w:w="1559" w:type="dxa"/>
          </w:tcPr>
          <w:p w:rsidR="00DD7F7C" w:rsidRDefault="00DD7F7C">
            <w:pPr>
              <w:jc w:val="center"/>
              <w:rPr>
                <w:snapToGrid w:val="0"/>
                <w:color w:val="000000"/>
                <w:sz w:val="16"/>
              </w:rPr>
            </w:pPr>
            <w:r>
              <w:rPr>
                <w:snapToGrid w:val="0"/>
                <w:color w:val="000000"/>
                <w:sz w:val="16"/>
              </w:rPr>
              <w:t>65,8</w:t>
            </w:r>
          </w:p>
        </w:tc>
        <w:tc>
          <w:tcPr>
            <w:tcW w:w="1134" w:type="dxa"/>
          </w:tcPr>
          <w:p w:rsidR="00DD7F7C" w:rsidRDefault="00DD7F7C">
            <w:pPr>
              <w:jc w:val="center"/>
              <w:rPr>
                <w:snapToGrid w:val="0"/>
                <w:color w:val="000000"/>
                <w:sz w:val="16"/>
              </w:rPr>
            </w:pPr>
            <w:r>
              <w:rPr>
                <w:snapToGrid w:val="0"/>
                <w:color w:val="000000"/>
                <w:sz w:val="16"/>
              </w:rPr>
              <w:t>66,8</w:t>
            </w:r>
          </w:p>
        </w:tc>
        <w:tc>
          <w:tcPr>
            <w:tcW w:w="1134" w:type="dxa"/>
          </w:tcPr>
          <w:p w:rsidR="00DD7F7C" w:rsidRDefault="00DD7F7C">
            <w:pPr>
              <w:jc w:val="center"/>
              <w:rPr>
                <w:snapToGrid w:val="0"/>
                <w:color w:val="000000"/>
                <w:sz w:val="16"/>
              </w:rPr>
            </w:pPr>
            <w:r>
              <w:rPr>
                <w:snapToGrid w:val="0"/>
                <w:color w:val="000000"/>
                <w:sz w:val="16"/>
              </w:rPr>
              <w:t>67,1</w:t>
            </w:r>
          </w:p>
        </w:tc>
        <w:tc>
          <w:tcPr>
            <w:tcW w:w="1134" w:type="dxa"/>
          </w:tcPr>
          <w:p w:rsidR="00DD7F7C" w:rsidRDefault="00DD7F7C">
            <w:pPr>
              <w:jc w:val="center"/>
              <w:rPr>
                <w:snapToGrid w:val="0"/>
                <w:color w:val="000000"/>
                <w:sz w:val="16"/>
              </w:rPr>
            </w:pPr>
            <w:r>
              <w:rPr>
                <w:snapToGrid w:val="0"/>
                <w:color w:val="000000"/>
                <w:sz w:val="16"/>
              </w:rPr>
              <w:t>67,8</w:t>
            </w:r>
          </w:p>
        </w:tc>
        <w:tc>
          <w:tcPr>
            <w:tcW w:w="992" w:type="dxa"/>
          </w:tcPr>
          <w:p w:rsidR="00DD7F7C" w:rsidRDefault="00DD7F7C">
            <w:pPr>
              <w:jc w:val="center"/>
              <w:rPr>
                <w:snapToGrid w:val="0"/>
                <w:color w:val="000000"/>
                <w:sz w:val="16"/>
              </w:rPr>
            </w:pPr>
            <w:r>
              <w:rPr>
                <w:snapToGrid w:val="0"/>
                <w:color w:val="000000"/>
                <w:sz w:val="16"/>
              </w:rPr>
              <w:t>70,8</w:t>
            </w:r>
          </w:p>
        </w:tc>
      </w:tr>
    </w:tbl>
    <w:p w:rsidR="00DD7F7C" w:rsidRDefault="00DD7F7C">
      <w:pPr>
        <w:pStyle w:val="10"/>
        <w:jc w:val="right"/>
      </w:pPr>
      <w:r>
        <w:t>Продолжение таблицы 8</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16"/>
        <w:gridCol w:w="1559"/>
        <w:gridCol w:w="1134"/>
        <w:gridCol w:w="1134"/>
        <w:gridCol w:w="1134"/>
        <w:gridCol w:w="992"/>
      </w:tblGrid>
      <w:tr w:rsidR="00DD7F7C">
        <w:trPr>
          <w:trHeight w:val="250"/>
        </w:trPr>
        <w:tc>
          <w:tcPr>
            <w:tcW w:w="3716" w:type="dxa"/>
          </w:tcPr>
          <w:p w:rsidR="00DD7F7C" w:rsidRDefault="00DD7F7C">
            <w:pPr>
              <w:jc w:val="both"/>
              <w:rPr>
                <w:snapToGrid w:val="0"/>
                <w:color w:val="000000"/>
                <w:sz w:val="16"/>
              </w:rPr>
            </w:pPr>
            <w:r>
              <w:rPr>
                <w:snapToGrid w:val="0"/>
                <w:color w:val="000000"/>
                <w:sz w:val="16"/>
              </w:rPr>
              <w:t>домашних хозяйств</w:t>
            </w:r>
          </w:p>
        </w:tc>
        <w:tc>
          <w:tcPr>
            <w:tcW w:w="1559" w:type="dxa"/>
          </w:tcPr>
          <w:p w:rsidR="00DD7F7C" w:rsidRDefault="00DD7F7C">
            <w:pPr>
              <w:jc w:val="center"/>
              <w:rPr>
                <w:snapToGrid w:val="0"/>
                <w:color w:val="000000"/>
                <w:sz w:val="16"/>
              </w:rPr>
            </w:pPr>
            <w:r>
              <w:rPr>
                <w:snapToGrid w:val="0"/>
                <w:color w:val="000000"/>
                <w:sz w:val="16"/>
              </w:rPr>
              <w:t>48,7</w:t>
            </w:r>
          </w:p>
        </w:tc>
        <w:tc>
          <w:tcPr>
            <w:tcW w:w="1134" w:type="dxa"/>
          </w:tcPr>
          <w:p w:rsidR="00DD7F7C" w:rsidRDefault="00DD7F7C">
            <w:pPr>
              <w:jc w:val="center"/>
              <w:rPr>
                <w:snapToGrid w:val="0"/>
                <w:color w:val="000000"/>
                <w:sz w:val="16"/>
              </w:rPr>
            </w:pPr>
            <w:r>
              <w:rPr>
                <w:snapToGrid w:val="0"/>
                <w:color w:val="000000"/>
                <w:sz w:val="16"/>
              </w:rPr>
              <w:t>49,9</w:t>
            </w:r>
          </w:p>
        </w:tc>
        <w:tc>
          <w:tcPr>
            <w:tcW w:w="1134" w:type="dxa"/>
          </w:tcPr>
          <w:p w:rsidR="00DD7F7C" w:rsidRDefault="00DD7F7C">
            <w:pPr>
              <w:jc w:val="center"/>
              <w:rPr>
                <w:snapToGrid w:val="0"/>
                <w:color w:val="000000"/>
                <w:sz w:val="16"/>
              </w:rPr>
            </w:pPr>
            <w:r>
              <w:rPr>
                <w:snapToGrid w:val="0"/>
                <w:color w:val="000000"/>
                <w:sz w:val="16"/>
              </w:rPr>
              <w:t>50,5</w:t>
            </w:r>
          </w:p>
        </w:tc>
        <w:tc>
          <w:tcPr>
            <w:tcW w:w="1134" w:type="dxa"/>
          </w:tcPr>
          <w:p w:rsidR="00DD7F7C" w:rsidRDefault="00DD7F7C">
            <w:pPr>
              <w:jc w:val="center"/>
              <w:rPr>
                <w:snapToGrid w:val="0"/>
                <w:color w:val="000000"/>
                <w:sz w:val="16"/>
              </w:rPr>
            </w:pPr>
            <w:r>
              <w:rPr>
                <w:snapToGrid w:val="0"/>
                <w:color w:val="000000"/>
                <w:sz w:val="16"/>
              </w:rPr>
              <w:t>50,9</w:t>
            </w:r>
          </w:p>
        </w:tc>
        <w:tc>
          <w:tcPr>
            <w:tcW w:w="992" w:type="dxa"/>
          </w:tcPr>
          <w:p w:rsidR="00DD7F7C" w:rsidRDefault="00DD7F7C">
            <w:pPr>
              <w:jc w:val="center"/>
              <w:rPr>
                <w:snapToGrid w:val="0"/>
                <w:color w:val="000000"/>
                <w:sz w:val="16"/>
              </w:rPr>
            </w:pPr>
            <w:r>
              <w:rPr>
                <w:snapToGrid w:val="0"/>
                <w:color w:val="000000"/>
                <w:sz w:val="16"/>
              </w:rPr>
              <w:t>54,6</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государственных учреждений</w:t>
            </w:r>
          </w:p>
        </w:tc>
        <w:tc>
          <w:tcPr>
            <w:tcW w:w="1559" w:type="dxa"/>
          </w:tcPr>
          <w:p w:rsidR="00DD7F7C" w:rsidRDefault="00DD7F7C">
            <w:pPr>
              <w:jc w:val="center"/>
              <w:rPr>
                <w:snapToGrid w:val="0"/>
                <w:color w:val="000000"/>
                <w:sz w:val="16"/>
              </w:rPr>
            </w:pPr>
            <w:r>
              <w:rPr>
                <w:snapToGrid w:val="0"/>
                <w:color w:val="000000"/>
                <w:sz w:val="16"/>
              </w:rPr>
              <w:t>14,6</w:t>
            </w:r>
          </w:p>
        </w:tc>
        <w:tc>
          <w:tcPr>
            <w:tcW w:w="1134" w:type="dxa"/>
          </w:tcPr>
          <w:p w:rsidR="00DD7F7C" w:rsidRDefault="00DD7F7C">
            <w:pPr>
              <w:jc w:val="center"/>
              <w:rPr>
                <w:snapToGrid w:val="0"/>
                <w:color w:val="000000"/>
                <w:sz w:val="16"/>
              </w:rPr>
            </w:pPr>
            <w:r>
              <w:rPr>
                <w:snapToGrid w:val="0"/>
                <w:color w:val="000000"/>
                <w:sz w:val="16"/>
              </w:rPr>
              <w:t>14,6</w:t>
            </w:r>
          </w:p>
        </w:tc>
        <w:tc>
          <w:tcPr>
            <w:tcW w:w="1134" w:type="dxa"/>
          </w:tcPr>
          <w:p w:rsidR="00DD7F7C" w:rsidRDefault="00DD7F7C">
            <w:pPr>
              <w:jc w:val="center"/>
              <w:rPr>
                <w:snapToGrid w:val="0"/>
                <w:color w:val="000000"/>
                <w:sz w:val="16"/>
              </w:rPr>
            </w:pPr>
            <w:r>
              <w:rPr>
                <w:snapToGrid w:val="0"/>
                <w:color w:val="000000"/>
                <w:sz w:val="16"/>
              </w:rPr>
              <w:t>14,2</w:t>
            </w:r>
          </w:p>
        </w:tc>
        <w:tc>
          <w:tcPr>
            <w:tcW w:w="1134" w:type="dxa"/>
          </w:tcPr>
          <w:p w:rsidR="00DD7F7C" w:rsidRDefault="00DD7F7C">
            <w:pPr>
              <w:jc w:val="center"/>
              <w:rPr>
                <w:snapToGrid w:val="0"/>
                <w:color w:val="000000"/>
                <w:sz w:val="16"/>
              </w:rPr>
            </w:pPr>
            <w:r>
              <w:rPr>
                <w:snapToGrid w:val="0"/>
                <w:color w:val="000000"/>
                <w:sz w:val="16"/>
              </w:rPr>
              <w:t>14,4</w:t>
            </w:r>
          </w:p>
        </w:tc>
        <w:tc>
          <w:tcPr>
            <w:tcW w:w="992" w:type="dxa"/>
          </w:tcPr>
          <w:p w:rsidR="00DD7F7C" w:rsidRDefault="00DD7F7C">
            <w:pPr>
              <w:jc w:val="center"/>
              <w:rPr>
                <w:snapToGrid w:val="0"/>
                <w:color w:val="000000"/>
                <w:sz w:val="16"/>
              </w:rPr>
            </w:pPr>
            <w:r>
              <w:rPr>
                <w:snapToGrid w:val="0"/>
                <w:color w:val="000000"/>
                <w:sz w:val="16"/>
              </w:rPr>
              <w:t>13,6</w:t>
            </w:r>
          </w:p>
        </w:tc>
      </w:tr>
      <w:tr w:rsidR="00DD7F7C">
        <w:trPr>
          <w:trHeight w:val="250"/>
        </w:trPr>
        <w:tc>
          <w:tcPr>
            <w:tcW w:w="3716" w:type="dxa"/>
          </w:tcPr>
          <w:p w:rsidR="00DD7F7C" w:rsidRDefault="00DD7F7C">
            <w:pPr>
              <w:jc w:val="both"/>
              <w:rPr>
                <w:rFonts w:ascii="Arial" w:hAnsi="Arial"/>
                <w:snapToGrid w:val="0"/>
                <w:color w:val="000000"/>
                <w:sz w:val="16"/>
              </w:rPr>
            </w:pPr>
            <w:r>
              <w:rPr>
                <w:rFonts w:ascii="Arial" w:hAnsi="Arial"/>
                <w:snapToGrid w:val="0"/>
                <w:color w:val="000000"/>
                <w:sz w:val="16"/>
              </w:rPr>
              <w:t>НКО</w:t>
            </w:r>
          </w:p>
        </w:tc>
        <w:tc>
          <w:tcPr>
            <w:tcW w:w="1559" w:type="dxa"/>
          </w:tcPr>
          <w:p w:rsidR="00DD7F7C" w:rsidRDefault="00DD7F7C">
            <w:pPr>
              <w:jc w:val="center"/>
              <w:rPr>
                <w:rFonts w:ascii="Arial" w:hAnsi="Arial"/>
                <w:snapToGrid w:val="0"/>
                <w:color w:val="000000"/>
                <w:sz w:val="16"/>
              </w:rPr>
            </w:pPr>
            <w:r>
              <w:rPr>
                <w:rFonts w:ascii="Arial" w:hAnsi="Arial"/>
                <w:snapToGrid w:val="0"/>
                <w:color w:val="000000"/>
                <w:sz w:val="16"/>
              </w:rPr>
              <w:t>2,4</w:t>
            </w:r>
          </w:p>
        </w:tc>
        <w:tc>
          <w:tcPr>
            <w:tcW w:w="1134" w:type="dxa"/>
          </w:tcPr>
          <w:p w:rsidR="00DD7F7C" w:rsidRDefault="00DD7F7C">
            <w:pPr>
              <w:jc w:val="center"/>
              <w:rPr>
                <w:rFonts w:ascii="Arial" w:hAnsi="Arial"/>
                <w:snapToGrid w:val="0"/>
                <w:color w:val="000000"/>
                <w:sz w:val="16"/>
              </w:rPr>
            </w:pPr>
            <w:r>
              <w:rPr>
                <w:rFonts w:ascii="Arial" w:hAnsi="Arial"/>
                <w:snapToGrid w:val="0"/>
                <w:color w:val="000000"/>
                <w:sz w:val="16"/>
              </w:rPr>
              <w:t>2,4</w:t>
            </w:r>
          </w:p>
        </w:tc>
        <w:tc>
          <w:tcPr>
            <w:tcW w:w="1134" w:type="dxa"/>
          </w:tcPr>
          <w:p w:rsidR="00DD7F7C" w:rsidRDefault="00DD7F7C">
            <w:pPr>
              <w:jc w:val="center"/>
              <w:rPr>
                <w:rFonts w:ascii="Arial" w:hAnsi="Arial"/>
                <w:snapToGrid w:val="0"/>
                <w:color w:val="000000"/>
                <w:sz w:val="16"/>
              </w:rPr>
            </w:pPr>
            <w:r>
              <w:rPr>
                <w:rFonts w:ascii="Arial" w:hAnsi="Arial"/>
                <w:snapToGrid w:val="0"/>
                <w:color w:val="000000"/>
                <w:sz w:val="16"/>
              </w:rPr>
              <w:t>2,4</w:t>
            </w:r>
          </w:p>
        </w:tc>
        <w:tc>
          <w:tcPr>
            <w:tcW w:w="1134" w:type="dxa"/>
          </w:tcPr>
          <w:p w:rsidR="00DD7F7C" w:rsidRDefault="00DD7F7C">
            <w:pPr>
              <w:jc w:val="center"/>
              <w:rPr>
                <w:rFonts w:ascii="Arial" w:hAnsi="Arial"/>
                <w:snapToGrid w:val="0"/>
                <w:color w:val="000000"/>
                <w:sz w:val="16"/>
              </w:rPr>
            </w:pPr>
            <w:r>
              <w:rPr>
                <w:rFonts w:ascii="Arial" w:hAnsi="Arial"/>
                <w:snapToGrid w:val="0"/>
                <w:color w:val="000000"/>
                <w:sz w:val="16"/>
              </w:rPr>
              <w:t>2,5</w:t>
            </w:r>
          </w:p>
        </w:tc>
        <w:tc>
          <w:tcPr>
            <w:tcW w:w="992" w:type="dxa"/>
          </w:tcPr>
          <w:p w:rsidR="00DD7F7C" w:rsidRDefault="00DD7F7C">
            <w:pPr>
              <w:jc w:val="center"/>
              <w:rPr>
                <w:rFonts w:ascii="Arial" w:hAnsi="Arial"/>
                <w:snapToGrid w:val="0"/>
                <w:color w:val="000000"/>
                <w:sz w:val="16"/>
              </w:rPr>
            </w:pPr>
            <w:r>
              <w:rPr>
                <w:rFonts w:ascii="Arial" w:hAnsi="Arial"/>
                <w:snapToGrid w:val="0"/>
                <w:color w:val="000000"/>
                <w:sz w:val="16"/>
              </w:rPr>
              <w:t>2,6</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 xml:space="preserve"> Валовое накопление основных фондов</w:t>
            </w:r>
          </w:p>
        </w:tc>
        <w:tc>
          <w:tcPr>
            <w:tcW w:w="1559" w:type="dxa"/>
          </w:tcPr>
          <w:p w:rsidR="00DD7F7C" w:rsidRDefault="00DD7F7C">
            <w:pPr>
              <w:jc w:val="center"/>
              <w:rPr>
                <w:snapToGrid w:val="0"/>
                <w:color w:val="000000"/>
                <w:sz w:val="16"/>
              </w:rPr>
            </w:pPr>
            <w:r>
              <w:rPr>
                <w:snapToGrid w:val="0"/>
                <w:color w:val="000000"/>
                <w:sz w:val="16"/>
              </w:rPr>
              <w:t>21,7</w:t>
            </w:r>
          </w:p>
        </w:tc>
        <w:tc>
          <w:tcPr>
            <w:tcW w:w="1134" w:type="dxa"/>
          </w:tcPr>
          <w:p w:rsidR="00DD7F7C" w:rsidRDefault="00DD7F7C">
            <w:pPr>
              <w:jc w:val="center"/>
              <w:rPr>
                <w:snapToGrid w:val="0"/>
                <w:color w:val="000000"/>
                <w:sz w:val="16"/>
              </w:rPr>
            </w:pPr>
            <w:r>
              <w:rPr>
                <w:snapToGrid w:val="0"/>
                <w:color w:val="000000"/>
                <w:sz w:val="16"/>
              </w:rPr>
              <w:t>23</w:t>
            </w:r>
          </w:p>
        </w:tc>
        <w:tc>
          <w:tcPr>
            <w:tcW w:w="1134" w:type="dxa"/>
          </w:tcPr>
          <w:p w:rsidR="00DD7F7C" w:rsidRDefault="00DD7F7C">
            <w:pPr>
              <w:jc w:val="center"/>
              <w:rPr>
                <w:snapToGrid w:val="0"/>
                <w:color w:val="000000"/>
                <w:sz w:val="16"/>
              </w:rPr>
            </w:pPr>
            <w:r>
              <w:rPr>
                <w:snapToGrid w:val="0"/>
                <w:color w:val="000000"/>
                <w:sz w:val="16"/>
              </w:rPr>
              <w:t>24,7</w:t>
            </w:r>
          </w:p>
        </w:tc>
        <w:tc>
          <w:tcPr>
            <w:tcW w:w="1134" w:type="dxa"/>
          </w:tcPr>
          <w:p w:rsidR="00DD7F7C" w:rsidRDefault="00DD7F7C">
            <w:pPr>
              <w:jc w:val="center"/>
              <w:rPr>
                <w:snapToGrid w:val="0"/>
                <w:color w:val="000000"/>
                <w:sz w:val="16"/>
              </w:rPr>
            </w:pPr>
            <w:r>
              <w:rPr>
                <w:snapToGrid w:val="0"/>
                <w:color w:val="000000"/>
                <w:sz w:val="16"/>
              </w:rPr>
              <w:t>25,6</w:t>
            </w:r>
          </w:p>
        </w:tc>
        <w:tc>
          <w:tcPr>
            <w:tcW w:w="992" w:type="dxa"/>
          </w:tcPr>
          <w:p w:rsidR="00DD7F7C" w:rsidRDefault="00DD7F7C">
            <w:pPr>
              <w:jc w:val="center"/>
              <w:rPr>
                <w:snapToGrid w:val="0"/>
                <w:color w:val="000000"/>
                <w:sz w:val="16"/>
              </w:rPr>
            </w:pPr>
            <w:r>
              <w:rPr>
                <w:snapToGrid w:val="0"/>
                <w:color w:val="000000"/>
                <w:sz w:val="16"/>
              </w:rPr>
              <w:t>27,2</w:t>
            </w:r>
          </w:p>
        </w:tc>
      </w:tr>
      <w:tr w:rsidR="00DD7F7C">
        <w:trPr>
          <w:trHeight w:val="384"/>
        </w:trPr>
        <w:tc>
          <w:tcPr>
            <w:tcW w:w="3716" w:type="dxa"/>
          </w:tcPr>
          <w:p w:rsidR="00DD7F7C" w:rsidRDefault="00DD7F7C">
            <w:pPr>
              <w:jc w:val="both"/>
              <w:rPr>
                <w:snapToGrid w:val="0"/>
                <w:color w:val="000000"/>
                <w:sz w:val="16"/>
              </w:rPr>
            </w:pPr>
            <w:r>
              <w:rPr>
                <w:snapToGrid w:val="0"/>
                <w:color w:val="000000"/>
                <w:sz w:val="16"/>
              </w:rPr>
              <w:t>прирост запасов материальных оборотных средств</w:t>
            </w:r>
          </w:p>
        </w:tc>
        <w:tc>
          <w:tcPr>
            <w:tcW w:w="1559" w:type="dxa"/>
          </w:tcPr>
          <w:p w:rsidR="00DD7F7C" w:rsidRDefault="00DD7F7C">
            <w:pPr>
              <w:jc w:val="center"/>
              <w:rPr>
                <w:snapToGrid w:val="0"/>
                <w:color w:val="000000"/>
                <w:sz w:val="16"/>
              </w:rPr>
            </w:pPr>
            <w:r>
              <w:rPr>
                <w:snapToGrid w:val="0"/>
                <w:color w:val="000000"/>
                <w:sz w:val="16"/>
              </w:rPr>
              <w:t>1,4</w:t>
            </w:r>
          </w:p>
        </w:tc>
        <w:tc>
          <w:tcPr>
            <w:tcW w:w="1134" w:type="dxa"/>
          </w:tcPr>
          <w:p w:rsidR="00DD7F7C" w:rsidRDefault="00DD7F7C">
            <w:pPr>
              <w:jc w:val="center"/>
              <w:rPr>
                <w:snapToGrid w:val="0"/>
                <w:color w:val="000000"/>
                <w:sz w:val="16"/>
              </w:rPr>
            </w:pPr>
            <w:r>
              <w:rPr>
                <w:snapToGrid w:val="0"/>
                <w:color w:val="000000"/>
                <w:sz w:val="16"/>
              </w:rPr>
              <w:t>1,4</w:t>
            </w:r>
          </w:p>
        </w:tc>
        <w:tc>
          <w:tcPr>
            <w:tcW w:w="1134" w:type="dxa"/>
          </w:tcPr>
          <w:p w:rsidR="00DD7F7C" w:rsidRDefault="00DD7F7C">
            <w:pPr>
              <w:jc w:val="center"/>
              <w:rPr>
                <w:snapToGrid w:val="0"/>
                <w:color w:val="000000"/>
                <w:sz w:val="16"/>
              </w:rPr>
            </w:pPr>
            <w:r>
              <w:rPr>
                <w:snapToGrid w:val="0"/>
                <w:color w:val="000000"/>
                <w:sz w:val="16"/>
              </w:rPr>
              <w:t>1,3</w:t>
            </w:r>
          </w:p>
        </w:tc>
        <w:tc>
          <w:tcPr>
            <w:tcW w:w="1134" w:type="dxa"/>
          </w:tcPr>
          <w:p w:rsidR="00DD7F7C" w:rsidRDefault="00DD7F7C">
            <w:pPr>
              <w:jc w:val="center"/>
              <w:rPr>
                <w:snapToGrid w:val="0"/>
                <w:color w:val="000000"/>
                <w:sz w:val="16"/>
              </w:rPr>
            </w:pPr>
            <w:r>
              <w:rPr>
                <w:snapToGrid w:val="0"/>
                <w:color w:val="000000"/>
                <w:sz w:val="16"/>
              </w:rPr>
              <w:t>0,9</w:t>
            </w:r>
          </w:p>
        </w:tc>
        <w:tc>
          <w:tcPr>
            <w:tcW w:w="992" w:type="dxa"/>
          </w:tcPr>
          <w:p w:rsidR="00DD7F7C" w:rsidRDefault="00DD7F7C">
            <w:pPr>
              <w:jc w:val="center"/>
              <w:rPr>
                <w:snapToGrid w:val="0"/>
                <w:color w:val="000000"/>
                <w:sz w:val="16"/>
              </w:rPr>
            </w:pPr>
            <w:r>
              <w:rPr>
                <w:snapToGrid w:val="0"/>
                <w:color w:val="000000"/>
                <w:sz w:val="16"/>
              </w:rPr>
              <w:t>0</w:t>
            </w:r>
          </w:p>
        </w:tc>
      </w:tr>
      <w:tr w:rsidR="00DD7F7C">
        <w:trPr>
          <w:trHeight w:val="250"/>
        </w:trPr>
        <w:tc>
          <w:tcPr>
            <w:tcW w:w="3716" w:type="dxa"/>
          </w:tcPr>
          <w:p w:rsidR="00DD7F7C" w:rsidRDefault="00DD7F7C">
            <w:pPr>
              <w:jc w:val="both"/>
              <w:rPr>
                <w:snapToGrid w:val="0"/>
                <w:color w:val="000000"/>
                <w:sz w:val="16"/>
              </w:rPr>
            </w:pPr>
            <w:r>
              <w:rPr>
                <w:snapToGrid w:val="0"/>
                <w:color w:val="000000"/>
                <w:sz w:val="16"/>
              </w:rPr>
              <w:t>Чистый экспорт</w:t>
            </w:r>
          </w:p>
        </w:tc>
        <w:tc>
          <w:tcPr>
            <w:tcW w:w="1559" w:type="dxa"/>
          </w:tcPr>
          <w:p w:rsidR="00DD7F7C" w:rsidRDefault="00DD7F7C">
            <w:pPr>
              <w:jc w:val="center"/>
              <w:rPr>
                <w:snapToGrid w:val="0"/>
                <w:color w:val="000000"/>
                <w:sz w:val="16"/>
              </w:rPr>
            </w:pPr>
            <w:r>
              <w:rPr>
                <w:snapToGrid w:val="0"/>
                <w:color w:val="000000"/>
                <w:sz w:val="16"/>
              </w:rPr>
              <w:t>12,6</w:t>
            </w:r>
          </w:p>
        </w:tc>
        <w:tc>
          <w:tcPr>
            <w:tcW w:w="1134" w:type="dxa"/>
          </w:tcPr>
          <w:p w:rsidR="00DD7F7C" w:rsidRDefault="00DD7F7C">
            <w:pPr>
              <w:jc w:val="center"/>
              <w:rPr>
                <w:snapToGrid w:val="0"/>
                <w:color w:val="000000"/>
                <w:sz w:val="16"/>
              </w:rPr>
            </w:pPr>
            <w:r>
              <w:rPr>
                <w:snapToGrid w:val="0"/>
                <w:color w:val="000000"/>
                <w:sz w:val="16"/>
              </w:rPr>
              <w:t>10,2</w:t>
            </w:r>
          </w:p>
        </w:tc>
        <w:tc>
          <w:tcPr>
            <w:tcW w:w="1134" w:type="dxa"/>
          </w:tcPr>
          <w:p w:rsidR="00DD7F7C" w:rsidRDefault="00DD7F7C">
            <w:pPr>
              <w:jc w:val="center"/>
              <w:rPr>
                <w:snapToGrid w:val="0"/>
                <w:color w:val="000000"/>
                <w:sz w:val="16"/>
              </w:rPr>
            </w:pPr>
            <w:r>
              <w:rPr>
                <w:snapToGrid w:val="0"/>
                <w:color w:val="000000"/>
                <w:sz w:val="16"/>
              </w:rPr>
              <w:t>8,2</w:t>
            </w:r>
          </w:p>
        </w:tc>
        <w:tc>
          <w:tcPr>
            <w:tcW w:w="1134" w:type="dxa"/>
          </w:tcPr>
          <w:p w:rsidR="00DD7F7C" w:rsidRDefault="00DD7F7C">
            <w:pPr>
              <w:jc w:val="center"/>
              <w:rPr>
                <w:snapToGrid w:val="0"/>
                <w:color w:val="000000"/>
                <w:sz w:val="16"/>
              </w:rPr>
            </w:pPr>
            <w:r>
              <w:rPr>
                <w:snapToGrid w:val="0"/>
                <w:color w:val="000000"/>
                <w:sz w:val="16"/>
              </w:rPr>
              <w:t>6,6</w:t>
            </w:r>
          </w:p>
        </w:tc>
        <w:tc>
          <w:tcPr>
            <w:tcW w:w="992" w:type="dxa"/>
          </w:tcPr>
          <w:p w:rsidR="00DD7F7C" w:rsidRDefault="00DD7F7C">
            <w:pPr>
              <w:jc w:val="center"/>
              <w:rPr>
                <w:snapToGrid w:val="0"/>
                <w:color w:val="000000"/>
                <w:sz w:val="16"/>
              </w:rPr>
            </w:pPr>
            <w:r>
              <w:rPr>
                <w:snapToGrid w:val="0"/>
                <w:color w:val="000000"/>
                <w:sz w:val="16"/>
              </w:rPr>
              <w:t>2</w:t>
            </w:r>
          </w:p>
        </w:tc>
      </w:tr>
      <w:tr w:rsidR="00DD7F7C">
        <w:trPr>
          <w:trHeight w:val="384"/>
        </w:trPr>
        <w:tc>
          <w:tcPr>
            <w:tcW w:w="3716" w:type="dxa"/>
          </w:tcPr>
          <w:p w:rsidR="00DD7F7C" w:rsidRDefault="00DD7F7C">
            <w:pPr>
              <w:jc w:val="both"/>
              <w:rPr>
                <w:snapToGrid w:val="0"/>
                <w:color w:val="000000"/>
                <w:sz w:val="16"/>
              </w:rPr>
            </w:pPr>
            <w:r>
              <w:rPr>
                <w:snapToGrid w:val="0"/>
                <w:color w:val="000000"/>
                <w:sz w:val="16"/>
              </w:rPr>
              <w:t>Прирост потребительских цен, % (среднегодовой)</w:t>
            </w:r>
          </w:p>
        </w:tc>
        <w:tc>
          <w:tcPr>
            <w:tcW w:w="1559" w:type="dxa"/>
          </w:tcPr>
          <w:p w:rsidR="00DD7F7C" w:rsidRDefault="00DD7F7C">
            <w:pPr>
              <w:jc w:val="center"/>
              <w:rPr>
                <w:snapToGrid w:val="0"/>
                <w:color w:val="000000"/>
                <w:sz w:val="16"/>
              </w:rPr>
            </w:pPr>
            <w:r>
              <w:rPr>
                <w:snapToGrid w:val="0"/>
                <w:color w:val="000000"/>
                <w:sz w:val="16"/>
              </w:rPr>
              <w:t>10</w:t>
            </w:r>
          </w:p>
        </w:tc>
        <w:tc>
          <w:tcPr>
            <w:tcW w:w="1134" w:type="dxa"/>
          </w:tcPr>
          <w:p w:rsidR="00DD7F7C" w:rsidRDefault="00DD7F7C">
            <w:pPr>
              <w:jc w:val="center"/>
              <w:rPr>
                <w:snapToGrid w:val="0"/>
                <w:color w:val="000000"/>
                <w:sz w:val="16"/>
              </w:rPr>
            </w:pPr>
            <w:r>
              <w:rPr>
                <w:snapToGrid w:val="0"/>
                <w:color w:val="000000"/>
                <w:sz w:val="16"/>
              </w:rPr>
              <w:t>11</w:t>
            </w:r>
          </w:p>
        </w:tc>
        <w:tc>
          <w:tcPr>
            <w:tcW w:w="1134" w:type="dxa"/>
          </w:tcPr>
          <w:p w:rsidR="00DD7F7C" w:rsidRDefault="00DD7F7C">
            <w:pPr>
              <w:jc w:val="center"/>
              <w:rPr>
                <w:snapToGrid w:val="0"/>
                <w:color w:val="000000"/>
                <w:sz w:val="16"/>
              </w:rPr>
            </w:pPr>
            <w:r>
              <w:rPr>
                <w:snapToGrid w:val="0"/>
                <w:color w:val="000000"/>
                <w:sz w:val="16"/>
              </w:rPr>
              <w:t>9</w:t>
            </w:r>
          </w:p>
        </w:tc>
        <w:tc>
          <w:tcPr>
            <w:tcW w:w="1134" w:type="dxa"/>
          </w:tcPr>
          <w:p w:rsidR="00DD7F7C" w:rsidRDefault="00DD7F7C">
            <w:pPr>
              <w:jc w:val="center"/>
              <w:rPr>
                <w:snapToGrid w:val="0"/>
                <w:color w:val="000000"/>
                <w:sz w:val="16"/>
              </w:rPr>
            </w:pPr>
            <w:r>
              <w:rPr>
                <w:snapToGrid w:val="0"/>
                <w:color w:val="000000"/>
                <w:sz w:val="16"/>
              </w:rPr>
              <w:t>7</w:t>
            </w:r>
          </w:p>
        </w:tc>
        <w:tc>
          <w:tcPr>
            <w:tcW w:w="992" w:type="dxa"/>
          </w:tcPr>
          <w:p w:rsidR="00DD7F7C" w:rsidRDefault="00DD7F7C">
            <w:pPr>
              <w:jc w:val="center"/>
              <w:rPr>
                <w:snapToGrid w:val="0"/>
                <w:color w:val="000000"/>
                <w:sz w:val="16"/>
              </w:rPr>
            </w:pPr>
            <w:r>
              <w:rPr>
                <w:snapToGrid w:val="0"/>
                <w:color w:val="000000"/>
                <w:sz w:val="16"/>
              </w:rPr>
              <w:t>6</w:t>
            </w:r>
          </w:p>
        </w:tc>
      </w:tr>
      <w:tr w:rsidR="00DD7F7C">
        <w:trPr>
          <w:trHeight w:val="442"/>
        </w:trPr>
        <w:tc>
          <w:tcPr>
            <w:tcW w:w="3716" w:type="dxa"/>
          </w:tcPr>
          <w:p w:rsidR="00DD7F7C" w:rsidRDefault="00DD7F7C">
            <w:pPr>
              <w:jc w:val="both"/>
              <w:rPr>
                <w:snapToGrid w:val="0"/>
                <w:color w:val="000000"/>
                <w:sz w:val="16"/>
              </w:rPr>
            </w:pPr>
            <w:r>
              <w:rPr>
                <w:snapToGrid w:val="0"/>
                <w:color w:val="000000"/>
                <w:sz w:val="16"/>
              </w:rPr>
              <w:t>Среднегодовой обменный курс, руб. за долл. США</w:t>
            </w:r>
          </w:p>
        </w:tc>
        <w:tc>
          <w:tcPr>
            <w:tcW w:w="1559" w:type="dxa"/>
          </w:tcPr>
          <w:p w:rsidR="00DD7F7C" w:rsidRDefault="00DD7F7C">
            <w:pPr>
              <w:jc w:val="center"/>
              <w:rPr>
                <w:snapToGrid w:val="0"/>
                <w:color w:val="000000"/>
                <w:sz w:val="16"/>
              </w:rPr>
            </w:pPr>
            <w:r>
              <w:rPr>
                <w:snapToGrid w:val="0"/>
                <w:color w:val="000000"/>
                <w:sz w:val="16"/>
              </w:rPr>
              <w:t>30,3</w:t>
            </w:r>
          </w:p>
        </w:tc>
        <w:tc>
          <w:tcPr>
            <w:tcW w:w="1134" w:type="dxa"/>
          </w:tcPr>
          <w:p w:rsidR="00DD7F7C" w:rsidRDefault="00DD7F7C">
            <w:pPr>
              <w:jc w:val="center"/>
              <w:rPr>
                <w:snapToGrid w:val="0"/>
                <w:color w:val="000000"/>
                <w:sz w:val="16"/>
              </w:rPr>
            </w:pPr>
            <w:r>
              <w:rPr>
                <w:snapToGrid w:val="0"/>
                <w:color w:val="000000"/>
                <w:sz w:val="16"/>
              </w:rPr>
              <w:t>33,8</w:t>
            </w:r>
          </w:p>
        </w:tc>
        <w:tc>
          <w:tcPr>
            <w:tcW w:w="1134" w:type="dxa"/>
          </w:tcPr>
          <w:p w:rsidR="00DD7F7C" w:rsidRDefault="00DD7F7C">
            <w:pPr>
              <w:jc w:val="center"/>
              <w:rPr>
                <w:snapToGrid w:val="0"/>
                <w:color w:val="000000"/>
                <w:sz w:val="16"/>
              </w:rPr>
            </w:pPr>
            <w:r>
              <w:rPr>
                <w:snapToGrid w:val="0"/>
                <w:color w:val="000000"/>
                <w:sz w:val="16"/>
              </w:rPr>
              <w:t>34,5</w:t>
            </w:r>
          </w:p>
        </w:tc>
        <w:tc>
          <w:tcPr>
            <w:tcW w:w="1134" w:type="dxa"/>
          </w:tcPr>
          <w:p w:rsidR="00DD7F7C" w:rsidRDefault="00DD7F7C">
            <w:pPr>
              <w:jc w:val="center"/>
              <w:rPr>
                <w:snapToGrid w:val="0"/>
                <w:color w:val="000000"/>
                <w:sz w:val="16"/>
              </w:rPr>
            </w:pPr>
            <w:r>
              <w:rPr>
                <w:snapToGrid w:val="0"/>
                <w:color w:val="000000"/>
                <w:sz w:val="16"/>
              </w:rPr>
              <w:t>35,2</w:t>
            </w:r>
          </w:p>
        </w:tc>
        <w:tc>
          <w:tcPr>
            <w:tcW w:w="992" w:type="dxa"/>
          </w:tcPr>
          <w:p w:rsidR="00DD7F7C" w:rsidRDefault="00DD7F7C">
            <w:pPr>
              <w:jc w:val="center"/>
              <w:rPr>
                <w:snapToGrid w:val="0"/>
                <w:color w:val="000000"/>
                <w:sz w:val="16"/>
              </w:rPr>
            </w:pPr>
            <w:r>
              <w:rPr>
                <w:snapToGrid w:val="0"/>
                <w:color w:val="000000"/>
                <w:sz w:val="16"/>
              </w:rPr>
              <w:t>41,3</w:t>
            </w:r>
          </w:p>
        </w:tc>
      </w:tr>
    </w:tbl>
    <w:p w:rsidR="00DD7F7C" w:rsidRDefault="00DD7F7C">
      <w:pPr>
        <w:pStyle w:val="10"/>
        <w:jc w:val="both"/>
      </w:pPr>
    </w:p>
    <w:p w:rsidR="00DD7F7C" w:rsidRDefault="00DD7F7C">
      <w:pPr>
        <w:pStyle w:val="10"/>
        <w:jc w:val="both"/>
        <w:rPr>
          <w:sz w:val="28"/>
        </w:rPr>
      </w:pPr>
      <w:r>
        <w:rPr>
          <w:sz w:val="28"/>
        </w:rPr>
        <w:t xml:space="preserve">     Реализация Программы позволит добиться постепенного преодоления деформаций в структуре распределения доходов населения, и помимо общего увеличения реальных располагаемых доходов позволит увеличить суммарную долю доходов среднедоходных групп населения. Тем самым будет создана основа для устойчивого массового внутреннего спроса и перехода к качественно иной траектории роста, когда динамика потребления начнет обгонять динамику инвестиций. В результате к концу десятилетнего периода динамика частного потребления начнет устойчиво опережать динамику инвестиций, так что в 2010 году потребление увеличится в несколько большей пропорции, чем ВВП. В целом динамика ВВП будет отставать как от динамики потребления, так и от динамики валового накопления. Это отставание будет компенсироваться сокращением чистого экспорта и, соответственно, сокращением вывоза капитала. Не следует исключать, что в отдельные годы чистый экспорт товаров и услуг может принимать и отрицательные значения, если Россия станет надежным реципиентом капитала. </w:t>
      </w:r>
    </w:p>
    <w:p w:rsidR="00DD7F7C" w:rsidRDefault="00DD7F7C">
      <w:pPr>
        <w:pStyle w:val="10"/>
        <w:jc w:val="both"/>
        <w:rPr>
          <w:sz w:val="28"/>
        </w:rPr>
      </w:pPr>
      <w:r>
        <w:rPr>
          <w:sz w:val="28"/>
        </w:rPr>
        <w:t xml:space="preserve">     К 2010 году Россия может существенно увеличить традиционно слабый для страны сектор экономики - экспортно-ориентированные услуги, объем которых может вырасти за десятилетие не менее чем на 60 процентов по сравнению с 1999 годом. При этом импорт услуг увеличится примерно чем на 30 процентов. Противоположные тенденции будут преобладать во внешней торговле товарами - динамика импорта будет устойчиво опережать динамику экспорта, причем в существенной степени за счет импорта инвестиционных товаров.</w:t>
      </w:r>
      <w:r>
        <w:t xml:space="preserve"> В </w:t>
      </w:r>
      <w:r>
        <w:rPr>
          <w:sz w:val="28"/>
        </w:rPr>
        <w:t>настоящий момент структура российской экономики такова, что динамика ВВП в ближайшие годы будет в существенной мере определяться динамикой промышленного производства. Удельный вес информатики и связи, где потенциально ожидаются более высокие темпы роста, составляет порядка двух процентов ВВП. Несмотря на то, что увеличение объема этих и других рыночных услуг в среднесрочной перспективе будет ускорять динамику ВВП, эти сектора пока еще не станут определяющими. Лишь к концу десятилетия можно рассчитывать на весомое увеличение экспорта услуг, так что традиционно отрицательное внешнее сальдо баланса услуг может стать приблизиться к нулевому значению.</w:t>
      </w:r>
    </w:p>
    <w:p w:rsidR="00DD7F7C" w:rsidRDefault="00DD7F7C">
      <w:pPr>
        <w:pStyle w:val="10"/>
        <w:jc w:val="both"/>
        <w:rPr>
          <w:sz w:val="28"/>
        </w:rPr>
      </w:pPr>
      <w:r>
        <w:rPr>
          <w:sz w:val="28"/>
        </w:rPr>
        <w:t xml:space="preserve">     К 2004 году чистый экспорт может сократиться до 5-7 процентов ВВП. К концу десятилетия он может составлять порядка 2-3 процентов ВВП. При этом к 2010 году удельный вес инвестиций в основной капитал будет составлять порядка 26-27 процентов ВВП с тенденцией к последующему его плавному снижению. Доля потребления в ВВП сохранится практически неизменной до 2004 года - увеличение доли валового накопления будет компенсироваться пропорциональным сокращением чистого экспорта. После 2004 года обозначится устойчивый рост потребления, доля которого в ВВП может превысить 70%, что будет примерно соответствовать пропорциям 1996-1998 гг. и существенно превышать значения 1991-1995 гг. При этом, однако, следует учитывать, что прогнозируемые относительно высокий уровень потребления и пропорции между потреблением, валовым накоплением основного капитала и чистым экспортом в конце десятилетия будут гораздо более стабильными по сравнению с 1996-1998 гг., учитывая, что в эти годы относительно высокий для страны уровень потребления поддерживался за счет внешних заимствований. Одновременно с этим доля государственного потребления в ВВП будет плавно снижаться при одновременном росте его в реальном выражении, который, однако, будет существенно отставать от темпов роста ВВП. Это будет сопровождаться сокращением номинального налогового бремени и номинальных обязательств государства, не выполняемых в настоящее время. В итоге при росте общего уровня потребления, лишь незначительно опережающим рост ВВП, к 2010 году частное потребление увеличится не менее чем на 80 процентов. Это будет происходить на фоне повышения эффективности производства, в частности производительности труда, динамика которой будет примерно соответствовать динамике роста частного потребления и реальных доходов.</w:t>
      </w:r>
    </w:p>
    <w:p w:rsidR="00DD7F7C" w:rsidRDefault="00DD7F7C">
      <w:pPr>
        <w:pStyle w:val="10"/>
        <w:jc w:val="both"/>
        <w:rPr>
          <w:sz w:val="28"/>
        </w:rPr>
      </w:pPr>
      <w:r>
        <w:rPr>
          <w:sz w:val="28"/>
        </w:rPr>
        <w:t xml:space="preserve">     Реализация предлагаемой стратегии должна обеспечить выход России на качественно новый уровень развития, характеризующийся устойчиво растущей экономикой, эффективным государством, наличием самостоятельного среднего класса, стабильными социальными и политическими отношениями.</w:t>
      </w:r>
    </w:p>
    <w:p w:rsidR="00DD7F7C" w:rsidRDefault="00DD7F7C">
      <w:pPr>
        <w:pStyle w:val="10"/>
        <w:jc w:val="both"/>
        <w:rPr>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p>
    <w:p w:rsidR="00DD7F7C" w:rsidRDefault="00DD7F7C">
      <w:pPr>
        <w:pStyle w:val="10"/>
        <w:jc w:val="center"/>
        <w:rPr>
          <w:b/>
          <w:sz w:val="28"/>
        </w:rPr>
      </w:pPr>
      <w:r>
        <w:rPr>
          <w:b/>
          <w:sz w:val="28"/>
        </w:rPr>
        <w:t>ЗАКЛЮЧЕНИЕ</w:t>
      </w:r>
    </w:p>
    <w:p w:rsidR="00DD7F7C" w:rsidRDefault="00DD7F7C">
      <w:pPr>
        <w:pStyle w:val="10"/>
        <w:jc w:val="center"/>
        <w:rPr>
          <w:b/>
          <w:sz w:val="28"/>
        </w:rPr>
      </w:pPr>
    </w:p>
    <w:p w:rsidR="00DD7F7C" w:rsidRDefault="00DD7F7C">
      <w:pPr>
        <w:pStyle w:val="10"/>
        <w:jc w:val="center"/>
        <w:rPr>
          <w:b/>
          <w:sz w:val="28"/>
        </w:rPr>
      </w:pPr>
    </w:p>
    <w:p w:rsidR="00DD7F7C" w:rsidRDefault="00DD7F7C">
      <w:pPr>
        <w:pStyle w:val="a3"/>
      </w:pPr>
      <w:r>
        <w:rPr>
          <w:b/>
        </w:rPr>
        <w:t xml:space="preserve">     </w:t>
      </w:r>
      <w:r>
        <w:t>В данной работе рассматривались основные понятия ВВП и методы его расчета. Таким образом, ВВП - это показатель системы национальных счетов, который характеризует стоимость конечных товаров и услуг, произведенных резидентами страны за тот или иной период. ВВП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 и так далее. Существует три ключевых момента в понятии ВВП:</w:t>
      </w:r>
    </w:p>
    <w:p w:rsidR="00DD7F7C" w:rsidRDefault="00DD7F7C">
      <w:pPr>
        <w:pStyle w:val="a3"/>
        <w:numPr>
          <w:ilvl w:val="0"/>
          <w:numId w:val="20"/>
        </w:numPr>
      </w:pPr>
      <w:r>
        <w:t>ВВП – это показатель произведенного продукта;</w:t>
      </w:r>
    </w:p>
    <w:p w:rsidR="00DD7F7C" w:rsidRDefault="00DD7F7C">
      <w:pPr>
        <w:pStyle w:val="a3"/>
        <w:numPr>
          <w:ilvl w:val="0"/>
          <w:numId w:val="20"/>
        </w:numPr>
      </w:pPr>
      <w:r>
        <w:t>ВВП – это внутренний продукт;</w:t>
      </w:r>
    </w:p>
    <w:p w:rsidR="00DD7F7C" w:rsidRDefault="00DD7F7C">
      <w:pPr>
        <w:pStyle w:val="a3"/>
        <w:numPr>
          <w:ilvl w:val="0"/>
          <w:numId w:val="20"/>
        </w:numPr>
      </w:pPr>
      <w:r>
        <w:t>ВВП – это валовой продукт.</w:t>
      </w:r>
    </w:p>
    <w:p w:rsidR="00DD7F7C" w:rsidRDefault="00DD7F7C">
      <w:pPr>
        <w:pStyle w:val="a3"/>
      </w:pPr>
      <w:r>
        <w:t xml:space="preserve">     Также существует три метода расчета ВВП: </w:t>
      </w:r>
    </w:p>
    <w:p w:rsidR="00DD7F7C" w:rsidRDefault="00DD7F7C">
      <w:pPr>
        <w:pStyle w:val="a5"/>
        <w:numPr>
          <w:ilvl w:val="0"/>
          <w:numId w:val="21"/>
        </w:numPr>
      </w:pPr>
      <w:r>
        <w:t>ВВП – как сумма валовой добавленной стоимости (при расчете этим методом ВВП исчисляется путем суммирования валовой добавленной стоимости всех производственных единиц – резидентов, сгруппированных по отраслям или секторам);</w:t>
      </w:r>
    </w:p>
    <w:p w:rsidR="00DD7F7C" w:rsidRDefault="00DD7F7C">
      <w:pPr>
        <w:pStyle w:val="a5"/>
        <w:numPr>
          <w:ilvl w:val="0"/>
          <w:numId w:val="21"/>
        </w:numPr>
      </w:pPr>
      <w:r>
        <w:t>ВВП как сумма компонентов конечного использования (согласно этому методу  ВВП определяется как сумма расходов на конечное потребление товаров и услуг, валового накопления, сальдо экспорта и импорта товаров и услуг).</w:t>
      </w:r>
    </w:p>
    <w:p w:rsidR="00DD7F7C" w:rsidRDefault="00DD7F7C">
      <w:pPr>
        <w:pStyle w:val="a5"/>
        <w:numPr>
          <w:ilvl w:val="0"/>
          <w:numId w:val="21"/>
        </w:numPr>
      </w:pPr>
      <w:r>
        <w:t>ВВП как сумма первичных доходов (при определении этим методом ВВП включает следующие виды первичных доходов: оплату труда наемных работников, чистые  налоги на производство и импорт (налоги на производство и импорт минус субсидии на производство и импорт), валовую прибыль и валовые смешанные доходы).</w:t>
      </w:r>
    </w:p>
    <w:p w:rsidR="00DD7F7C" w:rsidRDefault="00DD7F7C">
      <w:pPr>
        <w:pStyle w:val="a5"/>
        <w:ind w:firstLine="0"/>
        <w:rPr>
          <w:b/>
        </w:rPr>
      </w:pPr>
      <w:r>
        <w:t xml:space="preserve">     Структура ВВП в 2000 году характеризовалась опережающим ростом доли отраслей, производящих товары. В структуре ВВП, рассчитанному по производственному методу, доля производства товаров составила 41,2% против 40,9% за 1999 год, а доля производства услуг, соответственно, - 48,9%  против 50,1%. Доля чистых (за вычетом субсидий) налогов на продукты составила 9,9% против 9,0% в 1999 году. Суммарная прибыль по экономике в 2000 году составила 1186,8 млрд. руб. и в 1,62 раза превысила уровень предыдущего года. Доля чистых налогов на производство и импорт в ВВП увеличилась на 2,7 процентных пункта по сравнению с 1999 годом. На протяжении всего года наиболее быстрыми темпами среди элементов конечного использования ВВП росло накопление основного капитала. Рост потребительского спроса обеспечивался увеличением реальных располагаемых доходов населения (рост – на 9.1%). Наименьший рост зафиксирован для расходов сектора государственных учреждений, в условиях проведения Правительством достаточно жесткой бюджетной политики.</w:t>
      </w:r>
    </w:p>
    <w:p w:rsidR="00DD7F7C" w:rsidRDefault="00DD7F7C">
      <w:pPr>
        <w:pStyle w:val="a5"/>
        <w:ind w:firstLine="0"/>
      </w:pPr>
    </w:p>
    <w:p w:rsidR="00DD7F7C" w:rsidRDefault="00DD7F7C">
      <w:pPr>
        <w:pStyle w:val="a5"/>
        <w:ind w:firstLine="0"/>
      </w:pPr>
      <w:r>
        <w:t xml:space="preserve">    Прирост физического объема ВВП в 2000 году составил, по оценке Минэкономразвития, 7.6%. Номинальный объем ВВП (в текущих рыночных ценах) достиг 6940 млрд. руб., при индексе-дефляторе 141.5%. Решающая роль в обеспечении роста экономики в 2000 году принадлежит промышленности, строительству и торговле. Наименьшие темпы роста - в сельском хозяйстве и производстве нерыночных услуг. Высокие темпы роста добавленной стоимости в промышленности и строительстве обеспечили опережающий рост производства товаров по сравнению с производством услуг (8.2% и 7.3% соответственно). </w:t>
      </w:r>
    </w:p>
    <w:p w:rsidR="00DD7F7C" w:rsidRDefault="00DD7F7C">
      <w:pPr>
        <w:pStyle w:val="a5"/>
        <w:ind w:firstLine="0"/>
      </w:pPr>
      <w:r>
        <w:t xml:space="preserve">     По прогнозам Правительства РФ к 2010 году ВВП увеличится до 18932 млрд. руб. Реализация Программы Правительства РФ  должна обеспечить темпы роста ВВП как минимум в 5 процентов в год в среднем на протяжении 10-летнего периода. Это позволит увеличить объем ВВП примерно на 26-28 процентов к 2004 году и на 70 процентов к 2010 году (в сравнении с 1999 годом). В отдельные годы рост может ускоряться до 8-10 процентов, в этом случае увеличение объема производимого ВВП к 2010 году может быть большим. В долларовом эквиваленте объем ВВП, рассчитываемый по текущему обменному курсу, к 2010 году увеличится примерно в 2.5 раза, примерно в такой же степени увеличится и среднедушевой объем ВВП.</w:t>
      </w:r>
    </w:p>
    <w:p w:rsidR="00DD7F7C" w:rsidRDefault="00DD7F7C">
      <w:pPr>
        <w:pStyle w:val="a5"/>
        <w:ind w:firstLine="0"/>
      </w:pPr>
    </w:p>
    <w:p w:rsidR="00DD7F7C" w:rsidRDefault="00DD7F7C">
      <w:pPr>
        <w:pStyle w:val="a5"/>
        <w:ind w:firstLine="0"/>
      </w:pPr>
    </w:p>
    <w:p w:rsidR="00DD7F7C" w:rsidRDefault="00DD7F7C">
      <w:pPr>
        <w:pStyle w:val="a5"/>
        <w:ind w:firstLine="0"/>
      </w:pPr>
    </w:p>
    <w:p w:rsidR="00DD7F7C" w:rsidRDefault="00DD7F7C">
      <w:pPr>
        <w:pStyle w:val="a5"/>
        <w:ind w:firstLine="0"/>
      </w:pPr>
    </w:p>
    <w:p w:rsidR="00DD7F7C" w:rsidRDefault="00DD7F7C">
      <w:pPr>
        <w:pStyle w:val="a5"/>
        <w:ind w:firstLine="0"/>
      </w:pPr>
    </w:p>
    <w:p w:rsidR="00DD7F7C" w:rsidRDefault="00DD7F7C">
      <w:pPr>
        <w:pStyle w:val="a5"/>
        <w:ind w:firstLine="0"/>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p>
    <w:p w:rsidR="00DD7F7C" w:rsidRDefault="00DD7F7C">
      <w:pPr>
        <w:pStyle w:val="a5"/>
        <w:ind w:firstLine="0"/>
        <w:jc w:val="center"/>
        <w:rPr>
          <w:b/>
        </w:rPr>
      </w:pPr>
      <w:r>
        <w:rPr>
          <w:b/>
        </w:rPr>
        <w:t>СПИСОК ИСПОЛЬЗОВАННОЙ ЛИТЕРАТУРЫ</w:t>
      </w:r>
    </w:p>
    <w:p w:rsidR="00DD7F7C" w:rsidRDefault="00DD7F7C">
      <w:pPr>
        <w:pStyle w:val="a5"/>
        <w:ind w:firstLine="0"/>
        <w:jc w:val="center"/>
        <w:rPr>
          <w:b/>
        </w:rPr>
      </w:pPr>
    </w:p>
    <w:p w:rsidR="00DD7F7C" w:rsidRDefault="00DD7F7C">
      <w:pPr>
        <w:pStyle w:val="a5"/>
        <w:ind w:firstLine="0"/>
        <w:jc w:val="center"/>
        <w:rPr>
          <w:b/>
        </w:rPr>
      </w:pPr>
    </w:p>
    <w:p w:rsidR="00DD7F7C" w:rsidRDefault="00DD7F7C">
      <w:pPr>
        <w:numPr>
          <w:ilvl w:val="0"/>
          <w:numId w:val="22"/>
        </w:numPr>
        <w:jc w:val="both"/>
        <w:rPr>
          <w:sz w:val="28"/>
        </w:rPr>
      </w:pPr>
      <w:r>
        <w:rPr>
          <w:sz w:val="28"/>
        </w:rPr>
        <w:t>Заключение Счетной палаты Российской Федерации на проект федерального закона "О федеральном бюджете на 2001 год" от 12 сентября 2000 года (протокол № 31 (223).</w:t>
      </w:r>
    </w:p>
    <w:p w:rsidR="00DD7F7C" w:rsidRDefault="00DD7F7C">
      <w:pPr>
        <w:numPr>
          <w:ilvl w:val="0"/>
          <w:numId w:val="22"/>
        </w:numPr>
        <w:jc w:val="both"/>
        <w:rPr>
          <w:sz w:val="28"/>
        </w:rPr>
      </w:pPr>
      <w:r>
        <w:rPr>
          <w:sz w:val="28"/>
        </w:rPr>
        <w:t>Башкатов Б.И., Кулагина Г.Д. Экономическая статистика. Учебное пособие. – М.: изд-во МНЭПУ, 1997. - 60 с.</w:t>
      </w:r>
    </w:p>
    <w:p w:rsidR="00DD7F7C" w:rsidRDefault="00DD7F7C">
      <w:pPr>
        <w:numPr>
          <w:ilvl w:val="0"/>
          <w:numId w:val="22"/>
        </w:numPr>
        <w:jc w:val="both"/>
        <w:rPr>
          <w:sz w:val="28"/>
        </w:rPr>
      </w:pPr>
      <w:r>
        <w:rPr>
          <w:sz w:val="28"/>
        </w:rPr>
        <w:t>Макконнел К.Р., Брю С.Л. Экономикс: Принципы, проблемы и политика. В 2  т.: Пер. с англ. Т.1.</w:t>
      </w:r>
    </w:p>
    <w:p w:rsidR="00DD7F7C" w:rsidRDefault="00DD7F7C">
      <w:pPr>
        <w:numPr>
          <w:ilvl w:val="0"/>
          <w:numId w:val="22"/>
        </w:numPr>
        <w:jc w:val="both"/>
        <w:rPr>
          <w:sz w:val="28"/>
        </w:rPr>
      </w:pPr>
      <w:r>
        <w:rPr>
          <w:sz w:val="28"/>
        </w:rPr>
        <w:t>Общая теория статистики: Учебник/Под ред. чл.-корр. РАН И.И. Елисеевой.  – М.: Финансы и статистика, 4-е изд., перераб. и доп., 1999. –480 с.: ил.</w:t>
      </w:r>
    </w:p>
    <w:p w:rsidR="00DD7F7C" w:rsidRDefault="00DD7F7C">
      <w:pPr>
        <w:numPr>
          <w:ilvl w:val="0"/>
          <w:numId w:val="22"/>
        </w:numPr>
        <w:jc w:val="both"/>
        <w:rPr>
          <w:sz w:val="28"/>
        </w:rPr>
      </w:pPr>
      <w:r>
        <w:rPr>
          <w:sz w:val="28"/>
        </w:rPr>
        <w:t xml:space="preserve">Сажина М.А., Чибриков Г.Г. Экономическая теория. Учебник для вузов. – М.: Издательская группа НОРМА – ИНФРА – М, 1998. – 456 с. </w:t>
      </w:r>
    </w:p>
    <w:p w:rsidR="00DD7F7C" w:rsidRDefault="00DD7F7C">
      <w:pPr>
        <w:numPr>
          <w:ilvl w:val="0"/>
          <w:numId w:val="22"/>
        </w:numPr>
        <w:jc w:val="both"/>
        <w:rPr>
          <w:sz w:val="28"/>
        </w:rPr>
      </w:pPr>
      <w:r>
        <w:rPr>
          <w:sz w:val="28"/>
        </w:rPr>
        <w:t>Экономическая статистика. Учебник/Под ред. Ю.Н. Иванова.- М.: ИНФРА-М, 2-е изд., доп., 2000. – 480с.</w:t>
      </w:r>
    </w:p>
    <w:p w:rsidR="00DD7F7C" w:rsidRDefault="00DD7F7C">
      <w:pPr>
        <w:pStyle w:val="a5"/>
        <w:numPr>
          <w:ilvl w:val="0"/>
          <w:numId w:val="22"/>
        </w:numPr>
        <w:rPr>
          <w:color w:val="000000"/>
        </w:rPr>
      </w:pPr>
      <w:r w:rsidRPr="002A07F1">
        <w:t>http://minfin.metric.ru/macrorus/mac_sit.htm</w:t>
      </w:r>
      <w:r>
        <w:rPr>
          <w:color w:val="000000"/>
        </w:rPr>
        <w:t xml:space="preserve"> – сайт министерства финансов РФ</w:t>
      </w:r>
    </w:p>
    <w:p w:rsidR="00DD7F7C" w:rsidRDefault="00DD7F7C">
      <w:pPr>
        <w:pStyle w:val="a5"/>
        <w:numPr>
          <w:ilvl w:val="0"/>
          <w:numId w:val="22"/>
        </w:numPr>
        <w:rPr>
          <w:color w:val="000000"/>
        </w:rPr>
      </w:pPr>
      <w:r w:rsidRPr="002A07F1">
        <w:t>http://www.rbc.ru/public/659/showb.cgi/130401659.html-</w:t>
      </w:r>
      <w:r>
        <w:rPr>
          <w:color w:val="000000"/>
        </w:rPr>
        <w:t xml:space="preserve"> сайт министерства торговли РФ</w:t>
      </w:r>
    </w:p>
    <w:p w:rsidR="00DD7F7C" w:rsidRDefault="00DD7F7C">
      <w:pPr>
        <w:pStyle w:val="a5"/>
        <w:numPr>
          <w:ilvl w:val="0"/>
          <w:numId w:val="22"/>
        </w:numPr>
        <w:rPr>
          <w:color w:val="000000"/>
        </w:rPr>
      </w:pPr>
      <w:r w:rsidRPr="002A07F1">
        <w:t>http://www.gokhran.ru/macrorus/mac_sit1.htm</w:t>
      </w:r>
    </w:p>
    <w:p w:rsidR="00DD7F7C" w:rsidRDefault="00DD7F7C">
      <w:pPr>
        <w:pStyle w:val="a5"/>
        <w:numPr>
          <w:ilvl w:val="0"/>
          <w:numId w:val="22"/>
        </w:numPr>
        <w:rPr>
          <w:color w:val="000000"/>
        </w:rPr>
      </w:pPr>
      <w:r w:rsidRPr="002A07F1">
        <w:t>http://www.akm.ru/rus/gosinfo/progr_gov/rez.stm</w:t>
      </w:r>
    </w:p>
    <w:p w:rsidR="00DD7F7C" w:rsidRDefault="00DD7F7C">
      <w:pPr>
        <w:pStyle w:val="a5"/>
        <w:numPr>
          <w:ilvl w:val="0"/>
          <w:numId w:val="22"/>
        </w:numPr>
        <w:rPr>
          <w:color w:val="000000"/>
        </w:rPr>
      </w:pPr>
      <w:r w:rsidRPr="002A07F1">
        <w:t>http://www.rio.ru/rus/Economic/1998_RE/default.htm</w:t>
      </w:r>
    </w:p>
    <w:p w:rsidR="00DD7F7C" w:rsidRDefault="00DD7F7C">
      <w:pPr>
        <w:pStyle w:val="a5"/>
        <w:numPr>
          <w:ilvl w:val="0"/>
          <w:numId w:val="22"/>
        </w:numPr>
        <w:rPr>
          <w:color w:val="000000"/>
        </w:rPr>
      </w:pPr>
      <w:r w:rsidRPr="002A07F1">
        <w:t>www.cer.uz/Statistic/4-sept-r.htm</w:t>
      </w:r>
    </w:p>
    <w:p w:rsidR="00DD7F7C" w:rsidRDefault="00DD7F7C">
      <w:pPr>
        <w:pStyle w:val="a5"/>
        <w:numPr>
          <w:ilvl w:val="0"/>
          <w:numId w:val="22"/>
        </w:numPr>
        <w:rPr>
          <w:color w:val="000000"/>
        </w:rPr>
      </w:pPr>
      <w:r>
        <w:rPr>
          <w:color w:val="000000"/>
        </w:rPr>
        <w:t xml:space="preserve"> </w:t>
      </w:r>
      <w:r w:rsidRPr="002A07F1">
        <w:t>http://www.economy.gov.ru/god2000/glava2.html</w:t>
      </w:r>
    </w:p>
    <w:p w:rsidR="00DD7F7C" w:rsidRDefault="00DD7F7C">
      <w:pPr>
        <w:pStyle w:val="a5"/>
        <w:numPr>
          <w:ilvl w:val="0"/>
          <w:numId w:val="22"/>
        </w:numPr>
      </w:pPr>
      <w:r>
        <w:rPr>
          <w:color w:val="000000"/>
        </w:rPr>
        <w:t xml:space="preserve"> </w:t>
      </w:r>
      <w:r w:rsidRPr="002A07F1">
        <w:t>http://www.iet.ru/trend/1998/razdel2_1.htm</w:t>
      </w:r>
    </w:p>
    <w:p w:rsidR="00DD7F7C" w:rsidRDefault="00DD7F7C">
      <w:pPr>
        <w:pStyle w:val="a5"/>
        <w:ind w:firstLine="0"/>
      </w:pPr>
    </w:p>
    <w:p w:rsidR="00DD7F7C" w:rsidRDefault="00DD7F7C">
      <w:pPr>
        <w:pStyle w:val="a5"/>
        <w:ind w:firstLine="0"/>
      </w:pPr>
    </w:p>
    <w:p w:rsidR="00DD7F7C" w:rsidRDefault="00DD7F7C">
      <w:pPr>
        <w:pStyle w:val="a5"/>
        <w:ind w:firstLine="0"/>
      </w:pPr>
    </w:p>
    <w:p w:rsidR="00DD7F7C" w:rsidRDefault="00DD7F7C">
      <w:pPr>
        <w:pStyle w:val="a5"/>
        <w:ind w:left="360" w:firstLine="0"/>
      </w:pPr>
      <w:r>
        <w:t xml:space="preserve"> </w:t>
      </w:r>
    </w:p>
    <w:p w:rsidR="00DD7F7C" w:rsidRDefault="00DD7F7C">
      <w:pPr>
        <w:pStyle w:val="a3"/>
      </w:pPr>
    </w:p>
    <w:p w:rsidR="00DD7F7C" w:rsidRDefault="00DD7F7C">
      <w:pPr>
        <w:pStyle w:val="a5"/>
        <w:ind w:firstLine="0"/>
      </w:pPr>
    </w:p>
    <w:p w:rsidR="00DD7F7C" w:rsidRDefault="00DD7F7C">
      <w:pPr>
        <w:pStyle w:val="a3"/>
      </w:pPr>
      <w:r>
        <w:t xml:space="preserve"> </w:t>
      </w:r>
    </w:p>
    <w:p w:rsidR="00DD7F7C" w:rsidRDefault="00DD7F7C">
      <w:pPr>
        <w:pStyle w:val="10"/>
        <w:jc w:val="both"/>
        <w:rPr>
          <w:sz w:val="28"/>
        </w:rPr>
      </w:pPr>
      <w:r>
        <w:rPr>
          <w:sz w:val="28"/>
        </w:rPr>
        <w:t xml:space="preserve"> </w:t>
      </w:r>
    </w:p>
    <w:p w:rsidR="00DD7F7C" w:rsidRDefault="00DD7F7C">
      <w:pPr>
        <w:pStyle w:val="10"/>
        <w:jc w:val="both"/>
        <w:rPr>
          <w:b/>
          <w:sz w:val="28"/>
        </w:rPr>
      </w:pPr>
      <w:r>
        <w:rPr>
          <w:b/>
          <w:sz w:val="28"/>
        </w:rPr>
        <w:t xml:space="preserve">   </w:t>
      </w:r>
    </w:p>
    <w:p w:rsidR="00DD7F7C" w:rsidRDefault="00DD7F7C">
      <w:pPr>
        <w:pStyle w:val="10"/>
        <w:jc w:val="both"/>
        <w:rPr>
          <w:sz w:val="28"/>
        </w:rPr>
      </w:pPr>
    </w:p>
    <w:p w:rsidR="00DD7F7C" w:rsidRDefault="00DD7F7C">
      <w:pPr>
        <w:pStyle w:val="10"/>
        <w:rPr>
          <w:sz w:val="28"/>
        </w:rPr>
      </w:pPr>
    </w:p>
    <w:p w:rsidR="00DD7F7C" w:rsidRDefault="00DD7F7C">
      <w:pPr>
        <w:pStyle w:val="10"/>
        <w:rPr>
          <w:sz w:val="28"/>
        </w:rPr>
      </w:pPr>
      <w:r>
        <w:rPr>
          <w:sz w:val="28"/>
        </w:rPr>
        <w:t xml:space="preserve"> </w:t>
      </w:r>
    </w:p>
    <w:p w:rsidR="00DD7F7C" w:rsidRDefault="00DD7F7C">
      <w:pPr>
        <w:pStyle w:val="10"/>
        <w:rPr>
          <w:sz w:val="28"/>
        </w:rPr>
      </w:pPr>
    </w:p>
    <w:p w:rsidR="00DD7F7C" w:rsidRDefault="00DD7F7C">
      <w:pPr>
        <w:pStyle w:val="10"/>
        <w:jc w:val="both"/>
        <w:rPr>
          <w:sz w:val="28"/>
        </w:rPr>
      </w:pPr>
    </w:p>
    <w:p w:rsidR="00DD7F7C" w:rsidRDefault="00DD7F7C">
      <w:pPr>
        <w:pStyle w:val="a5"/>
        <w:ind w:firstLine="0"/>
        <w:rPr>
          <w:b/>
        </w:rPr>
      </w:pPr>
      <w:r>
        <w:rPr>
          <w:b/>
        </w:rPr>
        <w:t xml:space="preserve"> </w:t>
      </w:r>
    </w:p>
    <w:p w:rsidR="00DD7F7C" w:rsidRDefault="00DD7F7C">
      <w:pPr>
        <w:pStyle w:val="a5"/>
        <w:jc w:val="center"/>
        <w:rPr>
          <w:b/>
        </w:rPr>
      </w:pPr>
    </w:p>
    <w:p w:rsidR="00DD7F7C" w:rsidRDefault="00DD7F7C">
      <w:pPr>
        <w:pStyle w:val="a5"/>
        <w:ind w:firstLine="0"/>
        <w:rPr>
          <w:b/>
        </w:rPr>
      </w:pPr>
    </w:p>
    <w:p w:rsidR="00DD7F7C" w:rsidRDefault="00DD7F7C">
      <w:pPr>
        <w:pStyle w:val="a5"/>
        <w:jc w:val="center"/>
        <w:rPr>
          <w:b/>
        </w:rPr>
      </w:pPr>
    </w:p>
    <w:p w:rsidR="00DD7F7C" w:rsidRDefault="00DD7F7C">
      <w:pPr>
        <w:pStyle w:val="a5"/>
        <w:jc w:val="center"/>
        <w:rPr>
          <w:b/>
        </w:rPr>
      </w:pPr>
    </w:p>
    <w:p w:rsidR="00DD7F7C" w:rsidRDefault="00DD7F7C">
      <w:pPr>
        <w:pStyle w:val="a5"/>
        <w:jc w:val="center"/>
        <w:rPr>
          <w:b/>
        </w:rPr>
      </w:pPr>
    </w:p>
    <w:p w:rsidR="00DD7F7C" w:rsidRDefault="00DD7F7C">
      <w:pPr>
        <w:pStyle w:val="a5"/>
        <w:jc w:val="center"/>
        <w:rPr>
          <w:b/>
        </w:rPr>
      </w:pPr>
    </w:p>
    <w:p w:rsidR="00DD7F7C" w:rsidRDefault="00DD7F7C">
      <w:pPr>
        <w:pStyle w:val="a5"/>
        <w:jc w:val="center"/>
        <w:rPr>
          <w:b/>
        </w:rPr>
      </w:pPr>
    </w:p>
    <w:p w:rsidR="00DD7F7C" w:rsidRDefault="00DD7F7C">
      <w:pPr>
        <w:pStyle w:val="a5"/>
        <w:jc w:val="center"/>
        <w:rPr>
          <w:b/>
        </w:rPr>
      </w:pPr>
    </w:p>
    <w:p w:rsidR="00DD7F7C" w:rsidRDefault="00DD7F7C">
      <w:pPr>
        <w:pStyle w:val="a5"/>
      </w:pPr>
    </w:p>
    <w:p w:rsidR="00DD7F7C" w:rsidRDefault="00DD7F7C">
      <w:pPr>
        <w:pStyle w:val="a5"/>
      </w:pPr>
    </w:p>
    <w:p w:rsidR="00DD7F7C" w:rsidRDefault="00DD7F7C">
      <w:pPr>
        <w:pStyle w:val="a5"/>
      </w:pPr>
    </w:p>
    <w:p w:rsidR="00DD7F7C" w:rsidRDefault="00DD7F7C">
      <w:pPr>
        <w:pStyle w:val="a5"/>
      </w:pPr>
    </w:p>
    <w:p w:rsidR="00DD7F7C" w:rsidRDefault="00DD7F7C">
      <w:pPr>
        <w:jc w:val="both"/>
        <w:rPr>
          <w:sz w:val="28"/>
        </w:rPr>
      </w:pPr>
    </w:p>
    <w:p w:rsidR="00DD7F7C" w:rsidRDefault="00DD7F7C">
      <w:pPr>
        <w:jc w:val="both"/>
        <w:rPr>
          <w:sz w:val="28"/>
        </w:rPr>
      </w:pPr>
    </w:p>
    <w:p w:rsidR="00DD7F7C" w:rsidRDefault="00DD7F7C">
      <w:pPr>
        <w:jc w:val="both"/>
        <w:rPr>
          <w:sz w:val="28"/>
        </w:rPr>
      </w:pPr>
    </w:p>
    <w:p w:rsidR="00DD7F7C" w:rsidRDefault="00DD7F7C">
      <w:pPr>
        <w:jc w:val="both"/>
      </w:pPr>
      <w:r>
        <w:rPr>
          <w:sz w:val="28"/>
        </w:rPr>
        <w:tab/>
      </w:r>
      <w:r>
        <w:rPr>
          <w:sz w:val="28"/>
        </w:rPr>
        <w:tab/>
      </w:r>
      <w:r>
        <w:rPr>
          <w:sz w:val="28"/>
        </w:rPr>
        <w:tab/>
      </w:r>
    </w:p>
    <w:p w:rsidR="00DD7F7C" w:rsidRDefault="00DD7F7C">
      <w:bookmarkStart w:id="0" w:name="_GoBack"/>
      <w:bookmarkEnd w:id="0"/>
    </w:p>
    <w:sectPr w:rsidR="00DD7F7C">
      <w:headerReference w:type="even" r:id="rId14"/>
      <w:headerReference w:type="default" r:id="rId15"/>
      <w:pgSz w:w="11906" w:h="16838" w:code="9"/>
      <w:pgMar w:top="1276" w:right="567"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7C" w:rsidRDefault="00DD7F7C">
      <w:r>
        <w:separator/>
      </w:r>
    </w:p>
  </w:endnote>
  <w:endnote w:type="continuationSeparator" w:id="0">
    <w:p w:rsidR="00DD7F7C" w:rsidRDefault="00DD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7C" w:rsidRDefault="00DD7F7C">
      <w:r>
        <w:separator/>
      </w:r>
    </w:p>
  </w:footnote>
  <w:footnote w:type="continuationSeparator" w:id="0">
    <w:p w:rsidR="00DD7F7C" w:rsidRDefault="00DD7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7C" w:rsidRDefault="00DD7F7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D7F7C" w:rsidRDefault="00DD7F7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7C" w:rsidRDefault="00DD7F7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A07F1">
      <w:rPr>
        <w:rStyle w:val="a7"/>
        <w:noProof/>
      </w:rPr>
      <w:t>3</w:t>
    </w:r>
    <w:r>
      <w:rPr>
        <w:rStyle w:val="a7"/>
      </w:rPr>
      <w:fldChar w:fldCharType="end"/>
    </w:r>
  </w:p>
  <w:p w:rsidR="00DD7F7C" w:rsidRDefault="00DD7F7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762B"/>
    <w:multiLevelType w:val="singleLevel"/>
    <w:tmpl w:val="4D8A0FA2"/>
    <w:lvl w:ilvl="0">
      <w:start w:val="1"/>
      <w:numFmt w:val="decimal"/>
      <w:lvlText w:val="%1)"/>
      <w:lvlJc w:val="left"/>
      <w:pPr>
        <w:tabs>
          <w:tab w:val="num" w:pos="1092"/>
        </w:tabs>
        <w:ind w:left="1092" w:hanging="372"/>
      </w:pPr>
      <w:rPr>
        <w:rFonts w:hint="default"/>
      </w:rPr>
    </w:lvl>
  </w:abstractNum>
  <w:abstractNum w:abstractNumId="1">
    <w:nsid w:val="0A3A08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BB7E26"/>
    <w:multiLevelType w:val="multilevel"/>
    <w:tmpl w:val="B492E6E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
    <w:nsid w:val="1CF105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E433087"/>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21A74209"/>
    <w:multiLevelType w:val="multilevel"/>
    <w:tmpl w:val="24901994"/>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FF3BED"/>
    <w:multiLevelType w:val="singleLevel"/>
    <w:tmpl w:val="6EE8537E"/>
    <w:lvl w:ilvl="0">
      <w:start w:val="1"/>
      <w:numFmt w:val="decimal"/>
      <w:lvlText w:val="%1)"/>
      <w:lvlJc w:val="left"/>
      <w:pPr>
        <w:tabs>
          <w:tab w:val="num" w:pos="720"/>
        </w:tabs>
        <w:ind w:left="720" w:hanging="360"/>
      </w:pPr>
      <w:rPr>
        <w:rFonts w:hint="default"/>
      </w:rPr>
    </w:lvl>
  </w:abstractNum>
  <w:abstractNum w:abstractNumId="7">
    <w:nsid w:val="24CA044A"/>
    <w:multiLevelType w:val="singleLevel"/>
    <w:tmpl w:val="0419000F"/>
    <w:lvl w:ilvl="0">
      <w:start w:val="1"/>
      <w:numFmt w:val="decimal"/>
      <w:lvlText w:val="%1."/>
      <w:lvlJc w:val="left"/>
      <w:pPr>
        <w:tabs>
          <w:tab w:val="num" w:pos="360"/>
        </w:tabs>
        <w:ind w:left="360" w:hanging="360"/>
      </w:pPr>
    </w:lvl>
  </w:abstractNum>
  <w:abstractNum w:abstractNumId="8">
    <w:nsid w:val="2CF14C19"/>
    <w:multiLevelType w:val="multilevel"/>
    <w:tmpl w:val="F2BCDDA0"/>
    <w:lvl w:ilvl="0">
      <w:start w:val="1"/>
      <w:numFmt w:val="decimal"/>
      <w:lvlText w:val="%1."/>
      <w:lvlJc w:val="left"/>
      <w:pPr>
        <w:tabs>
          <w:tab w:val="num" w:pos="576"/>
        </w:tabs>
        <w:ind w:left="576" w:hanging="360"/>
      </w:pPr>
      <w:rPr>
        <w:rFonts w:hint="default"/>
      </w:rPr>
    </w:lvl>
    <w:lvl w:ilvl="1">
      <w:start w:val="1"/>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368"/>
        </w:tabs>
        <w:ind w:left="1368" w:hanging="720"/>
      </w:pPr>
      <w:rPr>
        <w:rFonts w:hint="default"/>
      </w:rPr>
    </w:lvl>
    <w:lvl w:ilvl="3">
      <w:start w:val="1"/>
      <w:numFmt w:val="decimal"/>
      <w:isLgl/>
      <w:lvlText w:val="%1.%2.%3.%4."/>
      <w:lvlJc w:val="left"/>
      <w:pPr>
        <w:tabs>
          <w:tab w:val="num" w:pos="1944"/>
        </w:tabs>
        <w:ind w:left="1944"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36"/>
        </w:tabs>
        <w:ind w:left="2736" w:hanging="1440"/>
      </w:pPr>
      <w:rPr>
        <w:rFonts w:hint="default"/>
      </w:rPr>
    </w:lvl>
    <w:lvl w:ilvl="6">
      <w:start w:val="1"/>
      <w:numFmt w:val="decimal"/>
      <w:isLgl/>
      <w:lvlText w:val="%1.%2.%3.%4.%5.%6.%7."/>
      <w:lvlJc w:val="left"/>
      <w:pPr>
        <w:tabs>
          <w:tab w:val="num" w:pos="3312"/>
        </w:tabs>
        <w:ind w:left="3312" w:hanging="180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4104"/>
        </w:tabs>
        <w:ind w:left="4104" w:hanging="2160"/>
      </w:pPr>
      <w:rPr>
        <w:rFonts w:hint="default"/>
      </w:rPr>
    </w:lvl>
  </w:abstractNum>
  <w:abstractNum w:abstractNumId="9">
    <w:nsid w:val="30DB6D28"/>
    <w:multiLevelType w:val="singleLevel"/>
    <w:tmpl w:val="0419000F"/>
    <w:lvl w:ilvl="0">
      <w:start w:val="1"/>
      <w:numFmt w:val="decimal"/>
      <w:lvlText w:val="%1."/>
      <w:lvlJc w:val="left"/>
      <w:pPr>
        <w:tabs>
          <w:tab w:val="num" w:pos="360"/>
        </w:tabs>
        <w:ind w:left="360" w:hanging="360"/>
      </w:pPr>
    </w:lvl>
  </w:abstractNum>
  <w:abstractNum w:abstractNumId="10">
    <w:nsid w:val="367725C4"/>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368D0331"/>
    <w:multiLevelType w:val="multilevel"/>
    <w:tmpl w:val="3D66F4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nsid w:val="373A7A6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E405E2F"/>
    <w:multiLevelType w:val="singleLevel"/>
    <w:tmpl w:val="0419000F"/>
    <w:lvl w:ilvl="0">
      <w:start w:val="1"/>
      <w:numFmt w:val="decimal"/>
      <w:lvlText w:val="%1."/>
      <w:lvlJc w:val="left"/>
      <w:pPr>
        <w:tabs>
          <w:tab w:val="num" w:pos="360"/>
        </w:tabs>
        <w:ind w:left="360" w:hanging="360"/>
      </w:pPr>
    </w:lvl>
  </w:abstractNum>
  <w:abstractNum w:abstractNumId="14">
    <w:nsid w:val="3F6B3E70"/>
    <w:multiLevelType w:val="singleLevel"/>
    <w:tmpl w:val="34A28D96"/>
    <w:lvl w:ilvl="0">
      <w:start w:val="1"/>
      <w:numFmt w:val="decimal"/>
      <w:lvlText w:val="%1)"/>
      <w:lvlJc w:val="left"/>
      <w:pPr>
        <w:tabs>
          <w:tab w:val="num" w:pos="744"/>
        </w:tabs>
        <w:ind w:left="744" w:hanging="384"/>
      </w:pPr>
      <w:rPr>
        <w:rFonts w:hint="default"/>
      </w:rPr>
    </w:lvl>
  </w:abstractNum>
  <w:abstractNum w:abstractNumId="15">
    <w:nsid w:val="47166A6D"/>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4A4A476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31645E5"/>
    <w:multiLevelType w:val="multilevel"/>
    <w:tmpl w:val="2EFCC4C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8">
    <w:nsid w:val="5E4E1155"/>
    <w:multiLevelType w:val="multilevel"/>
    <w:tmpl w:val="27F2E7DA"/>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0AA2D88"/>
    <w:multiLevelType w:val="multilevel"/>
    <w:tmpl w:val="7E5CED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nsid w:val="60BF5405"/>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61F82A06"/>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663D0E57"/>
    <w:multiLevelType w:val="multilevel"/>
    <w:tmpl w:val="9E665B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B1B0D79"/>
    <w:multiLevelType w:val="singleLevel"/>
    <w:tmpl w:val="1B68CED0"/>
    <w:lvl w:ilvl="0">
      <w:numFmt w:val="bullet"/>
      <w:lvlText w:val="—"/>
      <w:lvlJc w:val="left"/>
      <w:pPr>
        <w:tabs>
          <w:tab w:val="num" w:pos="660"/>
        </w:tabs>
        <w:ind w:left="660" w:hanging="360"/>
      </w:pPr>
      <w:rPr>
        <w:rFonts w:hint="default"/>
      </w:rPr>
    </w:lvl>
  </w:abstractNum>
  <w:abstractNum w:abstractNumId="24">
    <w:nsid w:val="7C011279"/>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7DC95117"/>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7EA26DBB"/>
    <w:multiLevelType w:val="singleLevel"/>
    <w:tmpl w:val="0419000F"/>
    <w:lvl w:ilvl="0">
      <w:start w:val="1"/>
      <w:numFmt w:val="decimal"/>
      <w:lvlText w:val="%1."/>
      <w:lvlJc w:val="left"/>
      <w:pPr>
        <w:tabs>
          <w:tab w:val="num" w:pos="360"/>
        </w:tabs>
        <w:ind w:left="360" w:hanging="360"/>
      </w:pPr>
    </w:lvl>
  </w:abstractNum>
  <w:num w:numId="1">
    <w:abstractNumId w:val="23"/>
  </w:num>
  <w:num w:numId="2">
    <w:abstractNumId w:val="19"/>
  </w:num>
  <w:num w:numId="3">
    <w:abstractNumId w:val="26"/>
  </w:num>
  <w:num w:numId="4">
    <w:abstractNumId w:val="22"/>
  </w:num>
  <w:num w:numId="5">
    <w:abstractNumId w:val="16"/>
  </w:num>
  <w:num w:numId="6">
    <w:abstractNumId w:val="0"/>
  </w:num>
  <w:num w:numId="7">
    <w:abstractNumId w:val="3"/>
  </w:num>
  <w:num w:numId="8">
    <w:abstractNumId w:val="1"/>
  </w:num>
  <w:num w:numId="9">
    <w:abstractNumId w:val="13"/>
  </w:num>
  <w:num w:numId="10">
    <w:abstractNumId w:val="15"/>
  </w:num>
  <w:num w:numId="11">
    <w:abstractNumId w:val="10"/>
  </w:num>
  <w:num w:numId="12">
    <w:abstractNumId w:val="24"/>
  </w:num>
  <w:num w:numId="13">
    <w:abstractNumId w:val="4"/>
  </w:num>
  <w:num w:numId="14">
    <w:abstractNumId w:val="20"/>
  </w:num>
  <w:num w:numId="15">
    <w:abstractNumId w:val="25"/>
  </w:num>
  <w:num w:numId="16">
    <w:abstractNumId w:val="7"/>
  </w:num>
  <w:num w:numId="17">
    <w:abstractNumId w:val="9"/>
  </w:num>
  <w:num w:numId="18">
    <w:abstractNumId w:val="21"/>
  </w:num>
  <w:num w:numId="19">
    <w:abstractNumId w:val="11"/>
  </w:num>
  <w:num w:numId="20">
    <w:abstractNumId w:val="6"/>
  </w:num>
  <w:num w:numId="21">
    <w:abstractNumId w:val="14"/>
  </w:num>
  <w:num w:numId="22">
    <w:abstractNumId w:val="12"/>
  </w:num>
  <w:num w:numId="23">
    <w:abstractNumId w:val="17"/>
  </w:num>
  <w:num w:numId="24">
    <w:abstractNumId w:val="2"/>
  </w:num>
  <w:num w:numId="25">
    <w:abstractNumId w:val="18"/>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wpJustification/>
    <w:lineWrapLikeWord6/>
    <w:wrapTrailSpac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3AA"/>
    <w:rsid w:val="002133AA"/>
    <w:rsid w:val="002A07F1"/>
    <w:rsid w:val="00310B6A"/>
    <w:rsid w:val="00DD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5B85C2F-D686-46D2-AF41-F98D5349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szCs w:val="20"/>
    </w:rPr>
  </w:style>
  <w:style w:type="paragraph" w:styleId="2">
    <w:name w:val="heading 2"/>
    <w:basedOn w:val="a"/>
    <w:next w:val="a"/>
    <w:qFormat/>
    <w:pPr>
      <w:keepNext/>
      <w:jc w:val="both"/>
      <w:outlineLvl w:val="1"/>
    </w:pPr>
    <w:rPr>
      <w:sz w:val="28"/>
      <w:szCs w:val="20"/>
    </w:rPr>
  </w:style>
  <w:style w:type="paragraph" w:styleId="3">
    <w:name w:val="heading 3"/>
    <w:basedOn w:val="a"/>
    <w:next w:val="a"/>
    <w:qFormat/>
    <w:pPr>
      <w:keepNext/>
      <w:outlineLvl w:val="2"/>
    </w:pPr>
    <w:rPr>
      <w:sz w:val="28"/>
      <w:szCs w:val="20"/>
    </w:rPr>
  </w:style>
  <w:style w:type="paragraph" w:styleId="4">
    <w:name w:val="heading 4"/>
    <w:basedOn w:val="a"/>
    <w:next w:val="a"/>
    <w:qFormat/>
    <w:pPr>
      <w:keepNext/>
      <w:jc w:val="right"/>
      <w:outlineLvl w:val="3"/>
    </w:pPr>
    <w:rPr>
      <w:sz w:val="28"/>
      <w:szCs w:val="20"/>
    </w:rPr>
  </w:style>
  <w:style w:type="paragraph" w:styleId="5">
    <w:name w:val="heading 5"/>
    <w:basedOn w:val="a"/>
    <w:next w:val="a"/>
    <w:qFormat/>
    <w:pPr>
      <w:keepNext/>
      <w:jc w:val="center"/>
      <w:outlineLvl w:val="4"/>
    </w:pPr>
    <w:rPr>
      <w:sz w:val="28"/>
      <w:szCs w:val="20"/>
    </w:rPr>
  </w:style>
  <w:style w:type="paragraph" w:styleId="6">
    <w:name w:val="heading 6"/>
    <w:basedOn w:val="a"/>
    <w:next w:val="a"/>
    <w:qFormat/>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szCs w:val="20"/>
    </w:rPr>
  </w:style>
  <w:style w:type="paragraph" w:styleId="20">
    <w:name w:val="Body Text 2"/>
    <w:basedOn w:val="a"/>
    <w:semiHidden/>
    <w:pPr>
      <w:ind w:right="200"/>
      <w:jc w:val="both"/>
    </w:pPr>
    <w:rPr>
      <w:sz w:val="28"/>
      <w:szCs w:val="20"/>
    </w:rPr>
  </w:style>
  <w:style w:type="paragraph" w:styleId="a4">
    <w:name w:val="Title"/>
    <w:basedOn w:val="a"/>
    <w:qFormat/>
    <w:pPr>
      <w:jc w:val="center"/>
    </w:pPr>
    <w:rPr>
      <w:b/>
      <w:sz w:val="28"/>
      <w:szCs w:val="20"/>
    </w:rPr>
  </w:style>
  <w:style w:type="paragraph" w:styleId="a5">
    <w:name w:val="Body Text Indent"/>
    <w:basedOn w:val="a"/>
    <w:semiHidden/>
    <w:pPr>
      <w:ind w:firstLine="720"/>
      <w:jc w:val="both"/>
    </w:pPr>
    <w:rPr>
      <w:sz w:val="28"/>
      <w:szCs w:val="20"/>
    </w:rPr>
  </w:style>
  <w:style w:type="paragraph" w:styleId="21">
    <w:name w:val="Body Text Indent 2"/>
    <w:basedOn w:val="a"/>
    <w:semiHidden/>
    <w:pPr>
      <w:ind w:firstLine="300"/>
      <w:jc w:val="both"/>
    </w:pPr>
    <w:rPr>
      <w:sz w:val="28"/>
      <w:szCs w:val="20"/>
    </w:rPr>
  </w:style>
  <w:style w:type="paragraph" w:styleId="30">
    <w:name w:val="Body Text Indent 3"/>
    <w:basedOn w:val="a"/>
    <w:semiHidden/>
    <w:pPr>
      <w:ind w:left="40" w:firstLine="260"/>
      <w:jc w:val="both"/>
    </w:pPr>
    <w:rPr>
      <w:sz w:val="28"/>
      <w:szCs w:val="20"/>
    </w:rPr>
  </w:style>
  <w:style w:type="paragraph" w:customStyle="1" w:styleId="10">
    <w:name w:val="Звичайний1"/>
    <w:pPr>
      <w:spacing w:before="100" w:after="100"/>
    </w:pPr>
    <w:rPr>
      <w:snapToGrid w:val="0"/>
      <w:sz w:val="24"/>
    </w:rPr>
  </w:style>
  <w:style w:type="character" w:styleId="a6">
    <w:name w:val="Hyperlink"/>
    <w:semiHidden/>
    <w:rPr>
      <w:color w:val="0000FF"/>
      <w:u w:val="single"/>
    </w:rPr>
  </w:style>
  <w:style w:type="character" w:styleId="a7">
    <w:name w:val="page number"/>
    <w:basedOn w:val="a0"/>
    <w:semiHidden/>
  </w:style>
  <w:style w:type="paragraph" w:styleId="a8">
    <w:name w:val="header"/>
    <w:basedOn w:val="a"/>
    <w:semiHidden/>
    <w:pPr>
      <w:tabs>
        <w:tab w:val="center" w:pos="4153"/>
        <w:tab w:val="right" w:pos="830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_Microsoft_Excel_97-20031.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8398</Words>
  <Characters>47873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56159</CharactersWithSpaces>
  <SharedDoc>false</SharedDoc>
  <HLinks>
    <vt:vector size="48" baseType="variant">
      <vt:variant>
        <vt:i4>3276880</vt:i4>
      </vt:variant>
      <vt:variant>
        <vt:i4>21</vt:i4>
      </vt:variant>
      <vt:variant>
        <vt:i4>0</vt:i4>
      </vt:variant>
      <vt:variant>
        <vt:i4>5</vt:i4>
      </vt:variant>
      <vt:variant>
        <vt:lpwstr>http://www.iet.ru/trend/1998/razdel2_1.htm</vt:lpwstr>
      </vt:variant>
      <vt:variant>
        <vt:lpwstr/>
      </vt:variant>
      <vt:variant>
        <vt:i4>1310740</vt:i4>
      </vt:variant>
      <vt:variant>
        <vt:i4>18</vt:i4>
      </vt:variant>
      <vt:variant>
        <vt:i4>0</vt:i4>
      </vt:variant>
      <vt:variant>
        <vt:i4>5</vt:i4>
      </vt:variant>
      <vt:variant>
        <vt:lpwstr>http://www.economy.gov.ru/god2000/glava2.html</vt:lpwstr>
      </vt:variant>
      <vt:variant>
        <vt:lpwstr/>
      </vt:variant>
      <vt:variant>
        <vt:i4>1966157</vt:i4>
      </vt:variant>
      <vt:variant>
        <vt:i4>15</vt:i4>
      </vt:variant>
      <vt:variant>
        <vt:i4>0</vt:i4>
      </vt:variant>
      <vt:variant>
        <vt:i4>5</vt:i4>
      </vt:variant>
      <vt:variant>
        <vt:lpwstr>http://www.cer.uz/Statistic/4-sept-r.htm</vt:lpwstr>
      </vt:variant>
      <vt:variant>
        <vt:lpwstr/>
      </vt:variant>
      <vt:variant>
        <vt:i4>393262</vt:i4>
      </vt:variant>
      <vt:variant>
        <vt:i4>12</vt:i4>
      </vt:variant>
      <vt:variant>
        <vt:i4>0</vt:i4>
      </vt:variant>
      <vt:variant>
        <vt:i4>5</vt:i4>
      </vt:variant>
      <vt:variant>
        <vt:lpwstr>http://www.rio.ru/rus/Economic/1998_RE/default.htm</vt:lpwstr>
      </vt:variant>
      <vt:variant>
        <vt:lpwstr/>
      </vt:variant>
      <vt:variant>
        <vt:i4>5898355</vt:i4>
      </vt:variant>
      <vt:variant>
        <vt:i4>9</vt:i4>
      </vt:variant>
      <vt:variant>
        <vt:i4>0</vt:i4>
      </vt:variant>
      <vt:variant>
        <vt:i4>5</vt:i4>
      </vt:variant>
      <vt:variant>
        <vt:lpwstr>http://www.akm.ru/rus/gosinfo/progr_gov/rez.stm</vt:lpwstr>
      </vt:variant>
      <vt:variant>
        <vt:lpwstr/>
      </vt:variant>
      <vt:variant>
        <vt:i4>2555992</vt:i4>
      </vt:variant>
      <vt:variant>
        <vt:i4>6</vt:i4>
      </vt:variant>
      <vt:variant>
        <vt:i4>0</vt:i4>
      </vt:variant>
      <vt:variant>
        <vt:i4>5</vt:i4>
      </vt:variant>
      <vt:variant>
        <vt:lpwstr>http://www.gokhran.ru/macrorus/mac_sit1.htm</vt:lpwstr>
      </vt:variant>
      <vt:variant>
        <vt:lpwstr/>
      </vt:variant>
      <vt:variant>
        <vt:i4>7340139</vt:i4>
      </vt:variant>
      <vt:variant>
        <vt:i4>3</vt:i4>
      </vt:variant>
      <vt:variant>
        <vt:i4>0</vt:i4>
      </vt:variant>
      <vt:variant>
        <vt:i4>5</vt:i4>
      </vt:variant>
      <vt:variant>
        <vt:lpwstr>http://www.rbc.ru/public/659/showb.cgi/130401659.html-</vt:lpwstr>
      </vt:variant>
      <vt:variant>
        <vt:lpwstr/>
      </vt:variant>
      <vt:variant>
        <vt:i4>5767285</vt:i4>
      </vt:variant>
      <vt:variant>
        <vt:i4>0</vt:i4>
      </vt:variant>
      <vt:variant>
        <vt:i4>0</vt:i4>
      </vt:variant>
      <vt:variant>
        <vt:i4>5</vt:i4>
      </vt:variant>
      <vt:variant>
        <vt:lpwstr>http://minfin.metric.ru/macrorus/mac_sit.htm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dc:creator>
  <cp:keywords/>
  <cp:lastModifiedBy>Irina</cp:lastModifiedBy>
  <cp:revision>2</cp:revision>
  <dcterms:created xsi:type="dcterms:W3CDTF">2014-08-15T09:33:00Z</dcterms:created>
  <dcterms:modified xsi:type="dcterms:W3CDTF">2014-08-15T09:33:00Z</dcterms:modified>
</cp:coreProperties>
</file>