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43" w:rsidRPr="00BD2B43" w:rsidRDefault="00BD2B43" w:rsidP="00BD2B43">
      <w:pPr>
        <w:spacing w:after="0" w:line="240" w:lineRule="auto"/>
        <w:ind w:firstLine="4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B43">
        <w:rPr>
          <w:rFonts w:ascii="Times New Roman" w:hAnsi="Times New Roman" w:cs="Times New Roman"/>
          <w:b/>
          <w:sz w:val="26"/>
          <w:szCs w:val="26"/>
        </w:rPr>
        <w:t>Утверждена</w:t>
      </w:r>
    </w:p>
    <w:p w:rsidR="00BD2B43" w:rsidRDefault="00BD2B43" w:rsidP="00BD2B43">
      <w:pPr>
        <w:spacing w:after="0" w:line="240" w:lineRule="auto"/>
        <w:ind w:firstLine="4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B43">
        <w:rPr>
          <w:rFonts w:ascii="Times New Roman" w:hAnsi="Times New Roman" w:cs="Times New Roman"/>
          <w:b/>
          <w:sz w:val="26"/>
          <w:szCs w:val="26"/>
        </w:rPr>
        <w:t>постановлением правительства</w:t>
      </w:r>
    </w:p>
    <w:p w:rsidR="00BD2B43" w:rsidRPr="00BD2B43" w:rsidRDefault="00BD2B43" w:rsidP="00BD2B43">
      <w:pPr>
        <w:spacing w:after="0" w:line="240" w:lineRule="auto"/>
        <w:ind w:firstLine="4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B43"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</w:p>
    <w:p w:rsidR="00BD2B43" w:rsidRPr="00BD2B43" w:rsidRDefault="00FD648F" w:rsidP="00BD2B43">
      <w:pPr>
        <w:spacing w:after="0" w:line="240" w:lineRule="auto"/>
        <w:ind w:firstLine="46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«24</w:t>
      </w:r>
      <w:r w:rsidR="00BD2B43" w:rsidRPr="00BD2B43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ноября </w:t>
      </w:r>
      <w:r w:rsidR="00BD2B43" w:rsidRPr="00BD2B43">
        <w:rPr>
          <w:rFonts w:ascii="Times New Roman" w:hAnsi="Times New Roman" w:cs="Times New Roman"/>
          <w:b/>
          <w:sz w:val="26"/>
          <w:szCs w:val="26"/>
        </w:rPr>
        <w:t>2011 года</w:t>
      </w:r>
    </w:p>
    <w:p w:rsidR="007F16D9" w:rsidRPr="00BD2B43" w:rsidRDefault="00BD2B43" w:rsidP="00BD2B43">
      <w:pPr>
        <w:autoSpaceDE w:val="0"/>
        <w:autoSpaceDN w:val="0"/>
        <w:adjustRightInd w:val="0"/>
        <w:spacing w:after="0" w:line="240" w:lineRule="auto"/>
        <w:ind w:firstLine="468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D2B43">
        <w:rPr>
          <w:rFonts w:ascii="Times New Roman" w:hAnsi="Times New Roman" w:cs="Times New Roman"/>
          <w:b/>
          <w:sz w:val="26"/>
          <w:szCs w:val="26"/>
        </w:rPr>
        <w:t>№</w:t>
      </w:r>
      <w:r w:rsidR="00FD648F">
        <w:rPr>
          <w:rFonts w:ascii="Times New Roman" w:hAnsi="Times New Roman" w:cs="Times New Roman"/>
          <w:b/>
          <w:sz w:val="26"/>
          <w:szCs w:val="26"/>
        </w:rPr>
        <w:t xml:space="preserve"> 435-пп</w:t>
      </w:r>
    </w:p>
    <w:p w:rsidR="007F16D9" w:rsidRPr="005E7CEE" w:rsidRDefault="007F16D9" w:rsidP="005A70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BD2B43" w:rsidRDefault="00BD2B43" w:rsidP="005A70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7F16D9" w:rsidRPr="005E7CEE" w:rsidRDefault="008F2E1C" w:rsidP="00FD74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Стратегия</w:t>
      </w:r>
    </w:p>
    <w:p w:rsidR="007F16D9" w:rsidRPr="005E7CEE" w:rsidRDefault="007F16D9" w:rsidP="00FD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Pr="005E7CEE">
        <w:rPr>
          <w:rFonts w:ascii="Times New Roman" w:hAnsi="Times New Roman" w:cs="Times New Roman"/>
          <w:b/>
          <w:bCs/>
          <w:sz w:val="26"/>
          <w:szCs w:val="26"/>
        </w:rPr>
        <w:t>«Формирование регионального солидарного общества»</w:t>
      </w:r>
    </w:p>
    <w:p w:rsidR="007F16D9" w:rsidRPr="005E7CEE" w:rsidRDefault="007F16D9" w:rsidP="00FD74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CEE">
        <w:rPr>
          <w:rFonts w:ascii="Times New Roman" w:hAnsi="Times New Roman" w:cs="Times New Roman"/>
          <w:b/>
          <w:sz w:val="26"/>
          <w:szCs w:val="26"/>
        </w:rPr>
        <w:t>на 2011 – 20</w:t>
      </w:r>
      <w:r w:rsidR="00DF2035">
        <w:rPr>
          <w:rFonts w:ascii="Times New Roman" w:hAnsi="Times New Roman" w:cs="Times New Roman"/>
          <w:b/>
          <w:sz w:val="26"/>
          <w:szCs w:val="26"/>
        </w:rPr>
        <w:t>2</w:t>
      </w:r>
      <w:r w:rsidRPr="005E7CEE">
        <w:rPr>
          <w:rFonts w:ascii="Times New Roman" w:hAnsi="Times New Roman" w:cs="Times New Roman"/>
          <w:b/>
          <w:sz w:val="26"/>
          <w:szCs w:val="26"/>
        </w:rPr>
        <w:t>5 годы</w:t>
      </w:r>
    </w:p>
    <w:p w:rsidR="007F16D9" w:rsidRPr="005E7CEE" w:rsidRDefault="007F16D9" w:rsidP="005A70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7F16D9" w:rsidRPr="005E7CEE" w:rsidRDefault="007F16D9" w:rsidP="005A70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16D9" w:rsidRPr="005E7CEE" w:rsidRDefault="0042186B" w:rsidP="005A7058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bCs/>
            <w:sz w:val="26"/>
            <w:szCs w:val="26"/>
            <w:lang w:val="en-US"/>
          </w:rPr>
          <w:t>I</w:t>
        </w:r>
        <w:r>
          <w:rPr>
            <w:rFonts w:ascii="Times New Roman" w:hAnsi="Times New Roman" w:cs="Times New Roman"/>
            <w:b/>
            <w:bCs/>
            <w:sz w:val="26"/>
            <w:szCs w:val="26"/>
          </w:rPr>
          <w:t>.</w:t>
        </w:r>
      </w:smartTag>
      <w:r>
        <w:rPr>
          <w:rFonts w:ascii="Times New Roman" w:hAnsi="Times New Roman" w:cs="Times New Roman"/>
          <w:b/>
          <w:bCs/>
          <w:sz w:val="26"/>
          <w:szCs w:val="26"/>
        </w:rPr>
        <w:t xml:space="preserve"> Введение </w:t>
      </w:r>
    </w:p>
    <w:p w:rsidR="007F16D9" w:rsidRPr="005E7CEE" w:rsidRDefault="007F16D9" w:rsidP="005A7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7CEE">
        <w:rPr>
          <w:rFonts w:ascii="Times New Roman" w:hAnsi="Times New Roman"/>
          <w:sz w:val="26"/>
          <w:szCs w:val="26"/>
        </w:rPr>
        <w:t>Основным вектором стратегического развития России в современных условиях является всесторонняя модернизация. Президент Российской Федерации Д.А. Медведев в Послании Федеральному Собранию (2009 год) подчеркнул, что «это будет первый в истории опыт модернизации, основанный на ценностях и институтах демократии. Вместо примитивного сырьевого хозяйства мы создадим умную экономику, производящую уникальные знания, новые вещи и технологии, вещи и технологии, полезные людям».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7CEE">
        <w:rPr>
          <w:rFonts w:ascii="Times New Roman" w:hAnsi="Times New Roman"/>
          <w:sz w:val="26"/>
          <w:szCs w:val="26"/>
        </w:rPr>
        <w:t>Модернизация, рассматриваемая как системное преобразование российского общества, обретение им нового качества, может быть успешной при условии мобилизации и эффективного использования имеющегося человеческого потенциала, улучшения качества человеческих отношений.</w:t>
      </w:r>
    </w:p>
    <w:p w:rsidR="007F16D9" w:rsidRPr="005E7CEE" w:rsidRDefault="007F16D9" w:rsidP="005A70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7CEE">
        <w:rPr>
          <w:rFonts w:ascii="Times New Roman" w:hAnsi="Times New Roman"/>
          <w:sz w:val="26"/>
          <w:szCs w:val="26"/>
        </w:rPr>
        <w:t>Это предполагает утверждение в повседневной жизни принципов взаимной лояльности, ответственности</w:t>
      </w:r>
      <w:r w:rsidR="0052355C">
        <w:rPr>
          <w:rFonts w:ascii="Times New Roman" w:hAnsi="Times New Roman"/>
          <w:sz w:val="26"/>
          <w:szCs w:val="26"/>
        </w:rPr>
        <w:t>,</w:t>
      </w:r>
      <w:r w:rsidRPr="005E7CEE">
        <w:rPr>
          <w:rFonts w:ascii="Times New Roman" w:hAnsi="Times New Roman"/>
          <w:sz w:val="26"/>
          <w:szCs w:val="26"/>
        </w:rPr>
        <w:t xml:space="preserve"> социальной поддержки, что составляет содержание идеи солидарного сообщества. Своеобразную формулу солидарного общества, основанную на христианских ценностях,  озвучил более 100 лет назад великий русский философ Николай Федорович Фёдоров, который сказал: «Жить не для себя, не для других, а со всеми и для всех».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7CEE">
        <w:rPr>
          <w:rFonts w:ascii="Times New Roman" w:hAnsi="Times New Roman"/>
          <w:sz w:val="26"/>
          <w:szCs w:val="26"/>
        </w:rPr>
        <w:t xml:space="preserve">Способность создать такое общество и сохранить его будет означать дальнейшее продвижение по пути улучшения качества жизни белгородцев.      </w:t>
      </w:r>
    </w:p>
    <w:p w:rsidR="007F16D9" w:rsidRPr="005E7CEE" w:rsidRDefault="007F16D9" w:rsidP="005A7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16D9" w:rsidRPr="005E7CEE" w:rsidRDefault="007F16D9" w:rsidP="0075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7CEE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42186B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. Содержание проблемы </w:t>
      </w:r>
    </w:p>
    <w:p w:rsidR="007F16D9" w:rsidRPr="005E7CEE" w:rsidRDefault="007F16D9" w:rsidP="005A7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16D9" w:rsidRPr="005E7CEE" w:rsidRDefault="007F16D9" w:rsidP="005A7058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В процессе </w:t>
      </w:r>
      <w:r w:rsidR="0052355C">
        <w:rPr>
          <w:rFonts w:ascii="Times New Roman" w:hAnsi="Times New Roman" w:cs="Times New Roman"/>
          <w:sz w:val="26"/>
          <w:szCs w:val="26"/>
        </w:rPr>
        <w:t>реализации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Программы улучшения качества жизни населения, принятой в 2003 году, Белгородская область существенно продвинулась в направлении социального развития. Заметно улучшились многие социальные характеристики населения региона. Увеличилась численность населения области - она достигла 1 млн. 532 тысяч 497 человек. По сравнению с годом, предшествующим </w:t>
      </w:r>
      <w:r w:rsidR="0052355C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5E7CEE">
        <w:rPr>
          <w:rFonts w:ascii="Times New Roman" w:hAnsi="Times New Roman" w:cs="Times New Roman"/>
          <w:sz w:val="26"/>
          <w:szCs w:val="26"/>
        </w:rPr>
        <w:t>утверждени</w:t>
      </w:r>
      <w:r w:rsidR="0052355C">
        <w:rPr>
          <w:rFonts w:ascii="Times New Roman" w:hAnsi="Times New Roman" w:cs="Times New Roman"/>
          <w:sz w:val="26"/>
          <w:szCs w:val="26"/>
        </w:rPr>
        <w:t>я</w:t>
      </w:r>
      <w:r w:rsidRPr="005E7CEE">
        <w:rPr>
          <w:rFonts w:ascii="Times New Roman" w:hAnsi="Times New Roman" w:cs="Times New Roman"/>
          <w:sz w:val="26"/>
          <w:szCs w:val="26"/>
        </w:rPr>
        <w:t xml:space="preserve"> Программы (2002), в 1,7 раза увеличилось число детей, рожденных вторыми, в 1,9 раза  - третьими и последующими. Продолжительность жизни на Белгородчине </w:t>
      </w:r>
      <w:r w:rsidR="00FE4CA2" w:rsidRPr="005E7CEE">
        <w:rPr>
          <w:rFonts w:ascii="Times New Roman" w:hAnsi="Times New Roman" w:cs="Times New Roman"/>
          <w:sz w:val="26"/>
          <w:szCs w:val="26"/>
        </w:rPr>
        <w:t>составляет</w:t>
      </w:r>
      <w:r w:rsidR="00D41F02"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Pr="005E7CEE">
        <w:rPr>
          <w:rFonts w:ascii="Times New Roman" w:hAnsi="Times New Roman" w:cs="Times New Roman"/>
          <w:sz w:val="26"/>
          <w:szCs w:val="26"/>
        </w:rPr>
        <w:t>71,07 года, что выше среднероссийского значения на 2,4 года (68,67 года), и показателя в Центральном федеральном округе на 1,72 года (69,35 года). В</w:t>
      </w:r>
      <w:r w:rsidRPr="005E7CE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53651">
        <w:rPr>
          <w:rFonts w:ascii="Times New Roman" w:hAnsi="Times New Roman" w:cs="Times New Roman"/>
          <w:spacing w:val="2"/>
          <w:sz w:val="26"/>
          <w:szCs w:val="26"/>
        </w:rPr>
        <w:t xml:space="preserve">        </w:t>
      </w:r>
      <w:r w:rsidRPr="005E7CEE">
        <w:rPr>
          <w:rFonts w:ascii="Times New Roman" w:hAnsi="Times New Roman" w:cs="Times New Roman"/>
          <w:spacing w:val="2"/>
          <w:sz w:val="26"/>
          <w:szCs w:val="26"/>
        </w:rPr>
        <w:t xml:space="preserve">2010 году в Белгородской области </w:t>
      </w:r>
      <w:r w:rsidRPr="005E7CEE">
        <w:rPr>
          <w:rFonts w:ascii="Times New Roman" w:hAnsi="Times New Roman" w:cs="Times New Roman"/>
          <w:sz w:val="26"/>
          <w:szCs w:val="26"/>
        </w:rPr>
        <w:t>коэффициент смертности  составил  14,4 на 1000 населения, что практически сопоставимо с данными по России (14,3) и значительно ниже аналогичного показателя в Центральном федеральном округе (15,8).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В результате принимаемых мер по увеличению денежных доходов населения, социальных гарантий жителям региона с 2005 года в области отмечается снижение численности лиц со среднедушевыми денежными доходами ниже прожиточного минимума. Если в 2005 году их доля составляла 18,1 процента, то в 2010 году она  составила 8,6 процента населения области.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Ускоренное развитие реального сектора способствовало увеличению в последние годы численности занятых в экономике. С 2007 года в области начата реализация мероприятий по созданию новых рабочих мест. В результате уровень регистрируемой безработицы в целом по области на конец 2010 года не превысил 1,4 процента экономически активного населения, что на 0,7 процента ниже общероссийского показателя (2,1 процента). </w:t>
      </w:r>
    </w:p>
    <w:p w:rsidR="002A1CD4" w:rsidRDefault="002A1CD4" w:rsidP="002A1C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В области в 1993-2010 годах продолжалась реализация областных целевых программ социальной направленности в здравоохранении, образовании, культуре, молодежной политике, физкультуре и спорте, социальной защите населения. Особое внимание уделялось реализации приоритетных национальных проек</w:t>
      </w:r>
      <w:r>
        <w:rPr>
          <w:rFonts w:ascii="Times New Roman" w:hAnsi="Times New Roman" w:cs="Times New Roman"/>
          <w:sz w:val="26"/>
          <w:szCs w:val="26"/>
        </w:rPr>
        <w:t xml:space="preserve">тов «Образование» и «Здоровье». </w:t>
      </w:r>
    </w:p>
    <w:p w:rsidR="002A1CD4" w:rsidRDefault="002A1CD4" w:rsidP="002A1C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В 2010 году Белгородская область заняла первое место среди субъектов Российской Федерации по эффективности участия в заключительном этапе всероссийской олимпиады школьников, опередив такие субъекты РФ</w:t>
      </w:r>
      <w:r>
        <w:rPr>
          <w:rFonts w:ascii="Times New Roman" w:hAnsi="Times New Roman" w:cs="Times New Roman"/>
          <w:sz w:val="26"/>
          <w:szCs w:val="26"/>
        </w:rPr>
        <w:t xml:space="preserve">, как Москва и Санкт-Петербург, врачи </w:t>
      </w:r>
      <w:r w:rsidRPr="005E7CEE">
        <w:rPr>
          <w:rFonts w:ascii="Times New Roman" w:hAnsi="Times New Roman" w:cs="Times New Roman"/>
          <w:sz w:val="26"/>
          <w:szCs w:val="26"/>
        </w:rPr>
        <w:t>областной клинической больницы Святителя Иоасафа</w:t>
      </w:r>
      <w:r>
        <w:rPr>
          <w:rFonts w:ascii="Times New Roman" w:hAnsi="Times New Roman" w:cs="Times New Roman"/>
          <w:sz w:val="26"/>
          <w:szCs w:val="26"/>
        </w:rPr>
        <w:t xml:space="preserve"> признаны победителями Всероссийского конкурс</w:t>
      </w:r>
      <w:r w:rsidRPr="007D3AB7">
        <w:rPr>
          <w:rFonts w:ascii="Times New Roman" w:hAnsi="Times New Roman" w:cs="Times New Roman"/>
          <w:sz w:val="26"/>
          <w:szCs w:val="26"/>
        </w:rPr>
        <w:t>а</w:t>
      </w:r>
      <w:r w:rsidRPr="007D3AB7">
        <w:rPr>
          <w:rFonts w:ascii="Times New Roman" w:hAnsi="Times New Roman" w:cs="Times New Roman"/>
          <w:iCs/>
          <w:sz w:val="26"/>
          <w:szCs w:val="26"/>
        </w:rPr>
        <w:t xml:space="preserve"> на звание «Лучший врач года».</w:t>
      </w:r>
    </w:p>
    <w:p w:rsidR="002A1CD4" w:rsidRPr="001A0912" w:rsidRDefault="002A1CD4" w:rsidP="002A1C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Повысился статус многих учебных заведений, продолжен курс на создание современных социальных учреждений, специализированных медицинских центров, ведется активная работа по </w:t>
      </w:r>
      <w:r>
        <w:rPr>
          <w:rFonts w:ascii="Times New Roman" w:hAnsi="Times New Roman" w:cs="Times New Roman"/>
          <w:sz w:val="26"/>
          <w:szCs w:val="26"/>
        </w:rPr>
        <w:t xml:space="preserve">дальнейшему </w:t>
      </w:r>
      <w:r w:rsidRPr="005E7CEE">
        <w:rPr>
          <w:rFonts w:ascii="Times New Roman" w:hAnsi="Times New Roman" w:cs="Times New Roman"/>
          <w:sz w:val="26"/>
          <w:szCs w:val="26"/>
        </w:rPr>
        <w:t xml:space="preserve">совершенствованию </w:t>
      </w:r>
      <w:r>
        <w:rPr>
          <w:rFonts w:ascii="Times New Roman" w:hAnsi="Times New Roman" w:cs="Times New Roman"/>
          <w:sz w:val="26"/>
          <w:szCs w:val="26"/>
        </w:rPr>
        <w:t xml:space="preserve">качества и доступности оказания медицинской помощи населению. </w:t>
      </w:r>
      <w:r w:rsidRPr="005E7CEE">
        <w:rPr>
          <w:rFonts w:ascii="Times New Roman" w:hAnsi="Times New Roman" w:cs="Times New Roman"/>
          <w:sz w:val="26"/>
          <w:szCs w:val="26"/>
        </w:rPr>
        <w:t xml:space="preserve">В 2010 году завершено строительство областного кардиологического центра,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1A0912">
        <w:rPr>
          <w:rFonts w:ascii="Times New Roman" w:hAnsi="Times New Roman" w:cs="Times New Roman"/>
          <w:sz w:val="26"/>
          <w:szCs w:val="28"/>
        </w:rPr>
        <w:t>обеспечивает возможность более масштабного оказания высокотехнологичной медицинской помощи жителям не только области, но и других регионов</w:t>
      </w:r>
      <w:r>
        <w:rPr>
          <w:rFonts w:ascii="Times New Roman" w:hAnsi="Times New Roman" w:cs="Times New Roman"/>
          <w:sz w:val="26"/>
          <w:szCs w:val="28"/>
        </w:rPr>
        <w:t xml:space="preserve"> России</w:t>
      </w:r>
      <w:r w:rsidRPr="001A0912">
        <w:rPr>
          <w:rFonts w:ascii="Times New Roman" w:hAnsi="Times New Roman" w:cs="Times New Roman"/>
          <w:sz w:val="26"/>
          <w:szCs w:val="28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Сформирована  программа модернизации здравоохранения области на 2011-2012г.г. </w:t>
      </w:r>
      <w:r>
        <w:rPr>
          <w:rFonts w:ascii="Times New Roman" w:hAnsi="Times New Roman" w:cs="Times New Roman"/>
          <w:sz w:val="26"/>
          <w:szCs w:val="28"/>
        </w:rPr>
        <w:t>Д</w:t>
      </w:r>
      <w:r w:rsidRPr="005A2103">
        <w:rPr>
          <w:rFonts w:ascii="Times New Roman" w:hAnsi="Times New Roman" w:cs="Times New Roman"/>
          <w:sz w:val="26"/>
          <w:szCs w:val="28"/>
        </w:rPr>
        <w:t xml:space="preserve">еятельность по инновационному развитию </w:t>
      </w:r>
      <w:r>
        <w:rPr>
          <w:rFonts w:ascii="Times New Roman" w:hAnsi="Times New Roman" w:cs="Times New Roman"/>
          <w:sz w:val="26"/>
          <w:szCs w:val="28"/>
        </w:rPr>
        <w:t>отрасли переведена в формат</w:t>
      </w:r>
      <w:r w:rsidRPr="005A2103">
        <w:rPr>
          <w:rFonts w:ascii="Times New Roman" w:hAnsi="Times New Roman" w:cs="Times New Roman"/>
          <w:sz w:val="26"/>
          <w:szCs w:val="28"/>
        </w:rPr>
        <w:t xml:space="preserve"> проектно ориентированного управления. В </w:t>
      </w:r>
      <w:r>
        <w:rPr>
          <w:rFonts w:ascii="Times New Roman" w:hAnsi="Times New Roman" w:cs="Times New Roman"/>
          <w:sz w:val="26"/>
          <w:szCs w:val="28"/>
        </w:rPr>
        <w:t xml:space="preserve">области начата реализация </w:t>
      </w:r>
      <w:r w:rsidRPr="005A2103">
        <w:rPr>
          <w:rFonts w:ascii="Times New Roman" w:hAnsi="Times New Roman" w:cs="Times New Roman"/>
          <w:sz w:val="26"/>
          <w:szCs w:val="28"/>
        </w:rPr>
        <w:t>17 масштабных проектов</w:t>
      </w:r>
      <w:r>
        <w:rPr>
          <w:rFonts w:ascii="Times New Roman" w:hAnsi="Times New Roman" w:cs="Times New Roman"/>
          <w:sz w:val="26"/>
          <w:szCs w:val="28"/>
        </w:rPr>
        <w:t xml:space="preserve"> в сфере здравоохранения</w:t>
      </w:r>
      <w:r w:rsidRPr="005A2103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7F16D9" w:rsidRPr="005E7CEE" w:rsidRDefault="007F16D9" w:rsidP="005A705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В Белгородской области большое внимание уделяется исполнению обязательств по обеспечению жильем детей-сирот. Впервые для этих целей в 2010 году построено более 330 квартир или индивидуальных домов.</w:t>
      </w:r>
    </w:p>
    <w:p w:rsidR="007F16D9" w:rsidRPr="005E7CEE" w:rsidRDefault="007F16D9" w:rsidP="005A7058">
      <w:pPr>
        <w:spacing w:after="0" w:line="240" w:lineRule="auto"/>
        <w:ind w:right="-108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Заметное положительное влияние на социально-политические процессы в регионе оказывают мероприятия по обеспечению духовной безопасности, а  также духовно-нравственному воспитанию и просвещению молодёжи на территории  Белгородской области.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В то же время в процессе социально-экономического развития остается недостаточно задействованным ресурс позитивных человеческих отношений.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В частности, в ходе мониторинга эффективности деятельности органов власти и управления Белгородской области в 2009 году выяснилось, что 22 процента белгородцев убеждены в том, что в обществе стало меньше доверия; 33 процента - меньше справедливости; 31 процент - больше жестокости; 45 процентов - больше безразличия. При этом 39 процентов постоянно сталкиваются с безразличием по отношению к себе, 33 процента - с проявлениями лжи.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Мониторинг, проведенный в 2010 году, фактически подтвердил это. Согласно полученным данным, 37 процентов белгородцев заявили, что постоянно сталкиваются с проявлениями безразличия по отношению к себе. Результаты мониторинга дают основание утверждать: в последние годы в обществе резко обострилась проблема социальной справедливости. С проявлениями несправедливости в настоящее время постоянно сталкиваются 40 процентов белгородцев.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Существенно дискредитированными оказались в настоящее время коллективистские ценности (дружба, солидарность, взаимная поддержка), они все чаще рассматриваются как устаревшие понятия. В течение последних десятилетий ослабла консолидирующая роль семьи и снизилось значение семейных ценностей, что негативно влияет на демографические показатели.  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Низкий уровень взаимного доверия и ответственности в отношениях между гражданами не только разрушительно воздействует на духовно-нравственную атмосферу в обществе,  на отношения между гражданами и властью, но и создает существенные препятствия для реализации социально-экономических проектов и программ. Они, в свою очередь, не могут быть успешно осуществлены в разобщенной среде, в которой каждая социальная группа преследует свои корпоративные интересы, а каждый отдельный человек остается наедине со своими проблемами.      </w:t>
      </w:r>
    </w:p>
    <w:p w:rsidR="007F16D9" w:rsidRPr="005E7CEE" w:rsidRDefault="0052355C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F16D9" w:rsidRPr="005E7CEE">
        <w:rPr>
          <w:rFonts w:ascii="Times New Roman" w:hAnsi="Times New Roman" w:cs="Times New Roman"/>
          <w:sz w:val="26"/>
          <w:szCs w:val="26"/>
        </w:rPr>
        <w:t xml:space="preserve">ызовом времени становится восстановление региональной солидарности как следствия осознания людьми общности своих интересов с интересами региона, страны, сограждан, коллег, близких людей, готовность их к коллективным действиям, систематической взаимопомощи и взаимной поддержке. Региональная солидарность опирается на  духовно-нравственное здоровье личности и коллективов, взаимное доверие (лояльность) сограждан и их взаимную ответственность и должна стать одним из основных принципов организации общественной жизни. Она является важнейшей предпосылкой патриотизма, представляющего собой идеалы, идеологию, внутреннее состояние любого здорового общества.   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Таким образом, в сложившихся ныне экономических условиях главной задачей улучшения качества человеческих отношений становится формирование регионального солидарного общества.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Несмотря на то, что в области за последнее время многое делается</w:t>
      </w:r>
      <w:r w:rsidR="0052355C">
        <w:rPr>
          <w:rFonts w:ascii="Times New Roman" w:hAnsi="Times New Roman" w:cs="Times New Roman"/>
          <w:sz w:val="26"/>
          <w:szCs w:val="26"/>
        </w:rPr>
        <w:t>,</w:t>
      </w:r>
      <w:r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Pr="005E7CEE">
        <w:rPr>
          <w:rFonts w:ascii="Times New Roman" w:hAnsi="Times New Roman" w:cs="Times New Roman"/>
          <w:iCs/>
          <w:sz w:val="26"/>
          <w:szCs w:val="26"/>
        </w:rPr>
        <w:t>в данной сфере</w:t>
      </w:r>
      <w:r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="00633179" w:rsidRPr="005E7CEE">
        <w:rPr>
          <w:rFonts w:ascii="Times New Roman" w:hAnsi="Times New Roman" w:cs="Times New Roman"/>
          <w:sz w:val="26"/>
          <w:szCs w:val="26"/>
        </w:rPr>
        <w:t xml:space="preserve">остаются нерешенными </w:t>
      </w:r>
      <w:r w:rsidRPr="005E7CEE">
        <w:rPr>
          <w:rFonts w:ascii="Times New Roman" w:hAnsi="Times New Roman" w:cs="Times New Roman"/>
          <w:sz w:val="26"/>
          <w:szCs w:val="26"/>
        </w:rPr>
        <w:t>следующие проблемы: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высок</w:t>
      </w:r>
      <w:r w:rsidR="00085BEF" w:rsidRPr="005E7CEE">
        <w:rPr>
          <w:rFonts w:ascii="Times New Roman" w:hAnsi="Times New Roman" w:cs="Times New Roman"/>
          <w:sz w:val="26"/>
          <w:szCs w:val="26"/>
        </w:rPr>
        <w:t>ий</w:t>
      </w:r>
      <w:r w:rsidRPr="005E7CEE">
        <w:rPr>
          <w:rFonts w:ascii="Times New Roman" w:hAnsi="Times New Roman" w:cs="Times New Roman"/>
          <w:sz w:val="26"/>
          <w:szCs w:val="26"/>
        </w:rPr>
        <w:t xml:space="preserve"> уров</w:t>
      </w:r>
      <w:r w:rsidR="00085BEF" w:rsidRPr="005E7CEE">
        <w:rPr>
          <w:rFonts w:ascii="Times New Roman" w:hAnsi="Times New Roman" w:cs="Times New Roman"/>
          <w:sz w:val="26"/>
          <w:szCs w:val="26"/>
        </w:rPr>
        <w:t>е</w:t>
      </w:r>
      <w:r w:rsidRPr="005E7CEE">
        <w:rPr>
          <w:rFonts w:ascii="Times New Roman" w:hAnsi="Times New Roman" w:cs="Times New Roman"/>
          <w:sz w:val="26"/>
          <w:szCs w:val="26"/>
        </w:rPr>
        <w:t>н</w:t>
      </w:r>
      <w:r w:rsidR="00085BEF" w:rsidRPr="005E7CEE">
        <w:rPr>
          <w:rFonts w:ascii="Times New Roman" w:hAnsi="Times New Roman" w:cs="Times New Roman"/>
          <w:sz w:val="26"/>
          <w:szCs w:val="26"/>
        </w:rPr>
        <w:t>ь</w:t>
      </w:r>
      <w:r w:rsidRPr="005E7CEE">
        <w:rPr>
          <w:rFonts w:ascii="Times New Roman" w:hAnsi="Times New Roman" w:cs="Times New Roman"/>
          <w:sz w:val="26"/>
          <w:szCs w:val="26"/>
        </w:rPr>
        <w:t xml:space="preserve"> отчужденности между людьми;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</w:t>
      </w:r>
      <w:r w:rsidR="00400F37" w:rsidRPr="005E7CEE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5E7CEE">
        <w:rPr>
          <w:rFonts w:ascii="Times New Roman" w:hAnsi="Times New Roman" w:cs="Times New Roman"/>
          <w:sz w:val="26"/>
          <w:szCs w:val="26"/>
        </w:rPr>
        <w:t>значительно</w:t>
      </w:r>
      <w:r w:rsidR="00400F37" w:rsidRPr="005E7CEE">
        <w:rPr>
          <w:rFonts w:ascii="Times New Roman" w:hAnsi="Times New Roman" w:cs="Times New Roman"/>
          <w:sz w:val="26"/>
          <w:szCs w:val="26"/>
        </w:rPr>
        <w:t>го</w:t>
      </w:r>
      <w:r w:rsidRPr="005E7CEE">
        <w:rPr>
          <w:rFonts w:ascii="Times New Roman" w:hAnsi="Times New Roman" w:cs="Times New Roman"/>
          <w:sz w:val="26"/>
          <w:szCs w:val="26"/>
        </w:rPr>
        <w:t xml:space="preserve"> числ</w:t>
      </w:r>
      <w:r w:rsidR="00400F37" w:rsidRPr="005E7CEE">
        <w:rPr>
          <w:rFonts w:ascii="Times New Roman" w:hAnsi="Times New Roman" w:cs="Times New Roman"/>
          <w:sz w:val="26"/>
          <w:szCs w:val="26"/>
        </w:rPr>
        <w:t>а</w:t>
      </w:r>
      <w:r w:rsidRPr="005E7CEE">
        <w:rPr>
          <w:rFonts w:ascii="Times New Roman" w:hAnsi="Times New Roman" w:cs="Times New Roman"/>
          <w:sz w:val="26"/>
          <w:szCs w:val="26"/>
        </w:rPr>
        <w:t xml:space="preserve"> граждан, испытывающих </w:t>
      </w:r>
      <w:r w:rsidR="00633179" w:rsidRPr="005E7CEE">
        <w:rPr>
          <w:rFonts w:ascii="Times New Roman" w:hAnsi="Times New Roman" w:cs="Times New Roman"/>
          <w:sz w:val="26"/>
          <w:szCs w:val="26"/>
        </w:rPr>
        <w:t>не</w:t>
      </w:r>
      <w:r w:rsidRPr="005E7CEE">
        <w:rPr>
          <w:rFonts w:ascii="Times New Roman" w:hAnsi="Times New Roman" w:cs="Times New Roman"/>
          <w:sz w:val="26"/>
          <w:szCs w:val="26"/>
        </w:rPr>
        <w:t>довери</w:t>
      </w:r>
      <w:r w:rsidR="00633179" w:rsidRPr="005E7CEE">
        <w:rPr>
          <w:rFonts w:ascii="Times New Roman" w:hAnsi="Times New Roman" w:cs="Times New Roman"/>
          <w:sz w:val="26"/>
          <w:szCs w:val="26"/>
        </w:rPr>
        <w:t>е</w:t>
      </w:r>
      <w:r w:rsidRPr="005E7CEE">
        <w:rPr>
          <w:rFonts w:ascii="Times New Roman" w:hAnsi="Times New Roman" w:cs="Times New Roman"/>
          <w:sz w:val="26"/>
          <w:szCs w:val="26"/>
        </w:rPr>
        <w:t xml:space="preserve"> к власти;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социальное дезертирство, выражающееся в отказе выполнять социальные обязанности;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нарастание нетерпимости и агрессии в отношениях между людьми;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высокий уровень социального безразличия и корпоративной незащищенности.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Для решения их </w:t>
      </w:r>
      <w:r w:rsidR="00400F37" w:rsidRPr="005E7CEE">
        <w:rPr>
          <w:rFonts w:ascii="Times New Roman" w:hAnsi="Times New Roman" w:cs="Times New Roman"/>
          <w:sz w:val="26"/>
          <w:szCs w:val="26"/>
        </w:rPr>
        <w:t>необходима</w:t>
      </w:r>
      <w:r w:rsidRPr="005E7CEE">
        <w:rPr>
          <w:rFonts w:ascii="Times New Roman" w:hAnsi="Times New Roman" w:cs="Times New Roman"/>
          <w:sz w:val="26"/>
          <w:szCs w:val="26"/>
        </w:rPr>
        <w:t xml:space="preserve"> разработка комплекса межведомственных мероприятий, объединенных в рамках </w:t>
      </w:r>
      <w:r w:rsidR="008F2E1C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>.</w:t>
      </w:r>
    </w:p>
    <w:p w:rsidR="007F16D9" w:rsidRPr="005E7CEE" w:rsidRDefault="007F16D9" w:rsidP="005A705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8F2E1C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обеспечит повышение показателей удовлетворенности населения: 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межличностными отношениями в месте проживания; 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отношениями в семье;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реализацией принципа социальной справедливости;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открытостью органов государственной и муниципальной власти; 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открытостью органов местного самоуправления;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безопасностью жизни; </w:t>
      </w: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действиями власти в целом.</w:t>
      </w:r>
    </w:p>
    <w:p w:rsidR="007F16D9" w:rsidRPr="005E7CEE" w:rsidRDefault="007F16D9" w:rsidP="00404D97">
      <w:pPr>
        <w:tabs>
          <w:tab w:val="num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Осуществление мероприятий </w:t>
      </w:r>
      <w:r w:rsidR="00404D97">
        <w:rPr>
          <w:rFonts w:ascii="Times New Roman" w:hAnsi="Times New Roman" w:cs="Times New Roman"/>
          <w:sz w:val="26"/>
          <w:szCs w:val="26"/>
        </w:rPr>
        <w:t xml:space="preserve">Стратегии </w:t>
      </w:r>
      <w:r w:rsidRPr="005E7CEE">
        <w:rPr>
          <w:rFonts w:ascii="Times New Roman" w:hAnsi="Times New Roman" w:cs="Times New Roman"/>
          <w:sz w:val="26"/>
          <w:szCs w:val="26"/>
        </w:rPr>
        <w:t xml:space="preserve">должно повысить уровень взаимного доверия власти и населения. </w:t>
      </w:r>
    </w:p>
    <w:p w:rsidR="007F16D9" w:rsidRPr="005E7CEE" w:rsidRDefault="007F16D9" w:rsidP="00404D97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F16D9" w:rsidRPr="005E7CEE" w:rsidRDefault="0042186B" w:rsidP="005A7058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7F16D9" w:rsidRPr="005E7CEE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="007F16D9"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. Цель, задачи и этапы реализации </w:t>
      </w:r>
      <w:r w:rsidR="00404D97">
        <w:rPr>
          <w:rFonts w:ascii="Times New Roman" w:hAnsi="Times New Roman" w:cs="Times New Roman"/>
          <w:b/>
          <w:bCs/>
          <w:sz w:val="26"/>
          <w:szCs w:val="26"/>
        </w:rPr>
        <w:t>Стратегии</w:t>
      </w:r>
      <w:r w:rsidR="007F16D9"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Цель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: </w:t>
      </w:r>
      <w:r w:rsidR="0052355C">
        <w:rPr>
          <w:rFonts w:ascii="Times New Roman" w:hAnsi="Times New Roman" w:cs="Times New Roman"/>
          <w:sz w:val="26"/>
          <w:szCs w:val="26"/>
        </w:rPr>
        <w:t>у</w:t>
      </w:r>
      <w:r w:rsidRPr="005E7CEE">
        <w:rPr>
          <w:rFonts w:ascii="Times New Roman" w:hAnsi="Times New Roman" w:cs="Times New Roman"/>
          <w:sz w:val="26"/>
          <w:szCs w:val="26"/>
        </w:rPr>
        <w:t>лучшение качества человеческих отношений.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>: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5E7CEE">
        <w:rPr>
          <w:rFonts w:ascii="Times New Roman" w:hAnsi="Times New Roman" w:cs="Times New Roman"/>
          <w:sz w:val="26"/>
          <w:szCs w:val="26"/>
        </w:rPr>
        <w:t>консолидация общества на основе идеи и идеалов, созидающих  духовно-нравственное, морально-политическое и культурное пространство</w:t>
      </w:r>
      <w:r w:rsidR="00FE4CA2" w:rsidRPr="005E7CEE">
        <w:rPr>
          <w:rFonts w:ascii="Times New Roman" w:hAnsi="Times New Roman" w:cs="Times New Roman"/>
          <w:sz w:val="26"/>
          <w:szCs w:val="26"/>
        </w:rPr>
        <w:t xml:space="preserve"> региона</w:t>
      </w:r>
      <w:r w:rsidRPr="005E7CEE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52355C">
        <w:rPr>
          <w:rFonts w:ascii="Times New Roman" w:hAnsi="Times New Roman" w:cs="Times New Roman"/>
          <w:sz w:val="26"/>
          <w:szCs w:val="26"/>
        </w:rPr>
        <w:t xml:space="preserve">формирующих </w:t>
      </w:r>
      <w:r w:rsidRPr="005E7CEE">
        <w:rPr>
          <w:rFonts w:ascii="Times New Roman" w:hAnsi="Times New Roman" w:cs="Times New Roman"/>
          <w:sz w:val="26"/>
          <w:szCs w:val="26"/>
        </w:rPr>
        <w:t>патриоти</w:t>
      </w:r>
      <w:r w:rsidR="0052355C">
        <w:rPr>
          <w:rFonts w:ascii="Times New Roman" w:hAnsi="Times New Roman" w:cs="Times New Roman"/>
          <w:sz w:val="26"/>
          <w:szCs w:val="26"/>
        </w:rPr>
        <w:t>зм</w:t>
      </w:r>
      <w:r w:rsidRPr="005E7CEE">
        <w:rPr>
          <w:rFonts w:ascii="Times New Roman" w:hAnsi="Times New Roman" w:cs="Times New Roman"/>
          <w:sz w:val="26"/>
          <w:szCs w:val="26"/>
        </w:rPr>
        <w:t xml:space="preserve"> граждан;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создание благоприятных социальных условий для инновационного экономического развития области, разработки и внедрения современных технологий;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обеспечение участия населения в оценке эффективности и безопасности регионального управления;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развитие интеллектуального потенциала региона на основе модернизации системы образования, интенсификации информационного и межличностного взаимодействия;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формирование позитивно ориентированных социальных сетей, интегрированных в процесс социально-экономического развития;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использование сетевых форм самоорганизации для выстраивания конкурентоспособных экономических структур (банковских систем, кредитных союзов, страховых обществ); 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укрепление атмосферы социального оптимизма, взаимного доверия между людьми;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развитие благотворительности и социальной поддержки групп населения, находящихся в сложных жизненных условиях;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укрепление семьи и улучшение демографической ситуации главным образом за счет повышения уровня рождаемости, снижения смертности и бракоразводных процессов;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возрождение и развитие традиций духовности, культуры, повседневного межличностного общения, массового участия в позитивных социально-значимых процессах;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обеспечение духовной безопасности населения и организация массовой просветительской работы.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Этапы реализации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>: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 этап - 2011 – 2015 годы;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2 этап - 2015 – 2020 годы;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3 этап - 2020 – 2025 годы.</w:t>
      </w:r>
    </w:p>
    <w:p w:rsidR="0042186B" w:rsidRDefault="0042186B" w:rsidP="005A705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7F16D9" w:rsidRPr="005E7CEE" w:rsidRDefault="0042186B" w:rsidP="005A70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="007F16D9" w:rsidRPr="005E7CEE">
        <w:rPr>
          <w:rFonts w:ascii="Times New Roman" w:hAnsi="Times New Roman" w:cs="Times New Roman"/>
          <w:b/>
          <w:bCs/>
          <w:sz w:val="26"/>
          <w:szCs w:val="26"/>
        </w:rPr>
        <w:t>. Система мероприятий</w:t>
      </w:r>
      <w:r w:rsidR="00404D97">
        <w:rPr>
          <w:rFonts w:ascii="Times New Roman" w:hAnsi="Times New Roman" w:cs="Times New Roman"/>
          <w:b/>
          <w:bCs/>
          <w:sz w:val="26"/>
          <w:szCs w:val="26"/>
        </w:rPr>
        <w:t xml:space="preserve"> Стратегии</w:t>
      </w:r>
    </w:p>
    <w:p w:rsidR="007F16D9" w:rsidRPr="005E7CEE" w:rsidRDefault="007F16D9" w:rsidP="005A70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Меры по улучшению качества человеческих отношений и формированию солидарного общества предполагают реализацию Плана мероприятий на каждые последующие пять лет с обеспечением приоритетных направлений: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1. Формирование духовных и культурных основ регионального солидарного общества.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1.1. Утверждение основанных на традициях ценностей и норм, стабилизирующих общественные процессы и укрепляющих межнациональный и межконфессиональный мир.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1.2. Патриотическое и гражданское воспитание и просвещение населения области, формирующее представление о наличии общих интересов жителей Белгородчины.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1.3. Укрепление взаимного доверия между гражданами на основе обеспечения безопасности, противодействия экстремизму и ксенофобии.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1.4. Организация конструктивного политического диалога на основе общих для региона целей между политическими партиями, общественными и иными некоммерческими организациями.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1.5. Возрождение и развитие системы просветительства, духовно-нравственного и морально-политического воспитания, формирующей уважительное отношение к согражданам.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2. Укрепление института семьи и семейных отношений как основы формирования солидарного общества.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E7CEE">
        <w:rPr>
          <w:rFonts w:ascii="Times New Roman" w:hAnsi="Times New Roman" w:cs="Times New Roman"/>
          <w:sz w:val="26"/>
          <w:szCs w:val="26"/>
        </w:rPr>
        <w:t>Утверждение семейных ценностей в массовом сознании, повышение авторитета материнства, отцовства и детства.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Pr="005E7CEE">
        <w:rPr>
          <w:rFonts w:ascii="Times New Roman" w:hAnsi="Times New Roman" w:cs="Times New Roman"/>
          <w:sz w:val="26"/>
          <w:szCs w:val="26"/>
        </w:rPr>
        <w:t>Создание благоприятных социально-экономических условий для формирования и жизнедеятельности здоровой многодетной семьи.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3. Формирование у молодежи установок на коллективизм, сотрудничество, развитие социальных сетей в молодежной среде.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3.1. Создание условий для функционирования детских и молодежных объединений.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3.2.</w:t>
      </w:r>
      <w:r w:rsidRPr="005E7CEE">
        <w:rPr>
          <w:rFonts w:ascii="Times New Roman" w:eastAsia="Calibri" w:hAnsi="Times New Roman" w:cs="Times New Roman"/>
          <w:sz w:val="26"/>
          <w:szCs w:val="26"/>
        </w:rPr>
        <w:t xml:space="preserve"> Противодействие деструктивному влиянию социальных отклонений на межличностные отношения в среде молодежи.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3.3. </w:t>
      </w:r>
      <w:r w:rsidRPr="005E7CEE">
        <w:rPr>
          <w:rFonts w:ascii="Times New Roman" w:eastAsia="Calibri" w:hAnsi="Times New Roman" w:cs="Times New Roman"/>
          <w:sz w:val="26"/>
          <w:szCs w:val="26"/>
        </w:rPr>
        <w:t>Создание системы поддержки талантливой молодежи, обеспечивающей ее готовность использовать свой творческий потенциал для развития региона и России.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3.4. Вовлечение молодежи в массовый спорт как условие формирования в ее среде здорового соперничества и командного духа.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3.5. Формирование атмосферы сотрудничества и коллективизма в образовательных учреждениях на основе развития общественного участия в управлении ими.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4. Развитие и консолидация институтов гражданского общества и обеспечение гражданского участия.</w:t>
      </w:r>
    </w:p>
    <w:p w:rsidR="00FE6C10" w:rsidRPr="005E7CEE" w:rsidRDefault="00400F37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4.1.</w:t>
      </w:r>
      <w:r w:rsidRPr="005E7CEE">
        <w:rPr>
          <w:b/>
          <w:sz w:val="26"/>
          <w:szCs w:val="26"/>
        </w:rPr>
        <w:t xml:space="preserve"> </w:t>
      </w:r>
      <w:r w:rsidRPr="005E7CEE">
        <w:rPr>
          <w:rFonts w:ascii="Times New Roman" w:hAnsi="Times New Roman" w:cs="Times New Roman"/>
          <w:sz w:val="26"/>
          <w:szCs w:val="26"/>
        </w:rPr>
        <w:t>Стимулирование развития некоммерческих организаций.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4.2. Создание условий для общественного контроля населения эффективности государственного и муниципального управления.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5. Укрепление взаимного доверия между властью и населением.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5.1. Развитие конструктивных коммуникаций на основе формирования единого информационно-коммуникационного пространства и обеспечения равного доступа к нему.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5.2. Обеспечение открытости, доступности и прозрачности деятельности органов управления, обеспечивающих конструктивность и доверительность их взаимоотношений с населением.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5.3. Формирование институциональной и этической основы ответственности власти и честности в отношении взятых обязательств.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5.4. Увеличение возможностей участия населения в управлении путем повышения правовой и избирательной культуры граждан.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5.5. Реализация антикоррупционных мер в системе государственного и муниципального управления, повышающих доверие к </w:t>
      </w:r>
      <w:r w:rsidR="0052355C">
        <w:rPr>
          <w:rFonts w:ascii="Times New Roman" w:hAnsi="Times New Roman" w:cs="Times New Roman"/>
          <w:sz w:val="26"/>
          <w:szCs w:val="26"/>
        </w:rPr>
        <w:t>органам власти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со стороны населения.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6. Формирование и развитие социального капитала муниципальных образований и межмуниципального сотрудничества.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6.1. Укрепление добрососедских отношений между жителями на основе совершенствования территориального общественного самоуправления.</w:t>
      </w:r>
    </w:p>
    <w:p w:rsidR="00BE78DD" w:rsidRPr="005E7CEE" w:rsidRDefault="00FE6C10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6.2.</w:t>
      </w:r>
      <w:r w:rsidR="00400F37"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="00BE78DD" w:rsidRPr="005E7CEE">
        <w:rPr>
          <w:rFonts w:ascii="Times New Roman" w:hAnsi="Times New Roman" w:cs="Times New Roman"/>
          <w:sz w:val="26"/>
          <w:szCs w:val="26"/>
        </w:rPr>
        <w:t>Развитие межмуниципального сотрудничества.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7. Развитие партнерства государства и гражданского общества на основе совершенствования системы оказания государственных и муниципальных услуг населению.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7.1. Разработка и закрепление этических правил оказания государственных и муниципальных услуг.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8. Утверждение принципов социальной защищенности, поддержки и ответственности как оснований достижения общественного согласия.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8.1. Формирование социальной ответственности бизнеса, развитие и пропаганда меценатства.</w:t>
      </w:r>
    </w:p>
    <w:p w:rsidR="00BE78DD" w:rsidRPr="005E7CEE" w:rsidRDefault="00BE78DD" w:rsidP="005A70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8.2. Интеграция лиц с ограниченными возможностями в общество.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8.3. Снижение социальной напряженности посредством стимулирования занятости и самозанятости населения.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9. Развитие корпоративных отношений в трудовых коллективах.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9.1. Развитие социального партнерства и предупреждение трудовых конфликтов.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9.2. Формирование стандартов корпоративной этики, способствующих улучшению отношений на предприятиях и в организациях.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9.3. Развитие кооперативного движения, создание кредитных союзов, обществ взаимопомощи и страхования.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10. Совершенствование экономической основы регионального солидарного сообщества.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10.1. Стимулирование и развитие инновационного и интеллектуального потенциала региона.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10.2. Развитие предпринимательской активности населения как экономической основы граждан</w:t>
      </w:r>
      <w:r w:rsidRPr="005E7CE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E7CEE">
        <w:rPr>
          <w:rFonts w:ascii="Times New Roman" w:hAnsi="Times New Roman" w:cs="Times New Roman"/>
          <w:sz w:val="26"/>
          <w:szCs w:val="26"/>
        </w:rPr>
        <w:t>кого участия.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11. Формирование имиджа и распространение символики регионального солидарного общества.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11.1. Разработка и внедрение регионального бренда и брендов территорий. </w:t>
      </w:r>
    </w:p>
    <w:p w:rsidR="00BE78DD" w:rsidRPr="005E7CEE" w:rsidRDefault="00BE78DD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11.2. Формирование и развитие системы наглядной агитации и социальной рекламы.</w:t>
      </w:r>
    </w:p>
    <w:p w:rsidR="007F16D9" w:rsidRPr="005E7CEE" w:rsidRDefault="00FD7448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  <w:r w:rsidR="00FE7A5A" w:rsidRPr="005E7CEE">
        <w:rPr>
          <w:rFonts w:ascii="Times New Roman" w:hAnsi="Times New Roman" w:cs="Times New Roman"/>
          <w:sz w:val="26"/>
          <w:szCs w:val="26"/>
        </w:rPr>
        <w:t xml:space="preserve"> мероприятий на 2011-2015 годы представлен в приложении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FE7A5A"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="00957AF3">
        <w:rPr>
          <w:rFonts w:ascii="Times New Roman" w:hAnsi="Times New Roman" w:cs="Times New Roman"/>
          <w:sz w:val="26"/>
          <w:szCs w:val="26"/>
        </w:rPr>
        <w:t xml:space="preserve">В ходе реализации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="00957AF3">
        <w:rPr>
          <w:rFonts w:ascii="Times New Roman" w:hAnsi="Times New Roman" w:cs="Times New Roman"/>
          <w:sz w:val="26"/>
          <w:szCs w:val="26"/>
        </w:rPr>
        <w:t xml:space="preserve"> отдельные мероприятия подлежат уточнению.</w:t>
      </w:r>
    </w:p>
    <w:p w:rsidR="007F16D9" w:rsidRPr="005E7CEE" w:rsidRDefault="007F16D9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2186B" w:rsidRDefault="0042186B" w:rsidP="005A705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7F16D9" w:rsidRPr="005E7CEE" w:rsidRDefault="007F16D9" w:rsidP="005A70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7CEE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. Ресурсное обеспечение </w:t>
      </w:r>
      <w:r w:rsidR="00404D97">
        <w:rPr>
          <w:rFonts w:ascii="Times New Roman" w:hAnsi="Times New Roman" w:cs="Times New Roman"/>
          <w:b/>
          <w:bCs/>
          <w:sz w:val="26"/>
          <w:szCs w:val="26"/>
        </w:rPr>
        <w:t>Стратегии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Основными источниками ресурсного обеспечения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являются средства областного бюджета, предусматриваемые ежегодно законом Белгородской области об областном бюджете на соответствующий финансовый год в рамках реализации мероприятий целевых программ и проектов, а также  средства бюджетов муниципальных образований.</w:t>
      </w:r>
    </w:p>
    <w:p w:rsidR="002A1CD4" w:rsidRDefault="002A1CD4" w:rsidP="007536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42186B" w:rsidRDefault="0042186B" w:rsidP="007536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7F16D9" w:rsidRPr="005E7CEE" w:rsidRDefault="007F16D9" w:rsidP="007536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E7CEE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42186B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. Механизм реализации </w:t>
      </w:r>
      <w:r w:rsidR="00404D97">
        <w:rPr>
          <w:rFonts w:ascii="Times New Roman" w:hAnsi="Times New Roman" w:cs="Times New Roman"/>
          <w:b/>
          <w:bCs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:rsidR="007F16D9" w:rsidRPr="005E7CEE" w:rsidRDefault="007F16D9" w:rsidP="007536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E7CEE">
        <w:rPr>
          <w:rFonts w:ascii="Times New Roman" w:hAnsi="Times New Roman" w:cs="Times New Roman"/>
          <w:b/>
          <w:bCs/>
          <w:sz w:val="26"/>
          <w:szCs w:val="26"/>
        </w:rPr>
        <w:t>контроль за ходом ее реализации</w:t>
      </w:r>
    </w:p>
    <w:p w:rsidR="007F16D9" w:rsidRPr="005E7CEE" w:rsidRDefault="007F16D9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F16D9" w:rsidRPr="005E7CEE" w:rsidRDefault="00404D97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Стратегия</w:t>
      </w:r>
      <w:r w:rsidR="007F16D9" w:rsidRPr="005E7CEE">
        <w:rPr>
          <w:rFonts w:ascii="Times New Roman" w:hAnsi="Times New Roman" w:cs="Times New Roman"/>
          <w:sz w:val="26"/>
          <w:szCs w:val="26"/>
        </w:rPr>
        <w:t xml:space="preserve"> предполагает корректировку с учетом результатов ежегодного социологического мониторинга «Роза качества», который регулярно проводится в Белгородской области с 2006 года в соответствии с постановлением правительства Белгородской области от </w:t>
      </w:r>
      <w:r w:rsidR="0092012E" w:rsidRPr="005E7CEE">
        <w:rPr>
          <w:rFonts w:ascii="Times New Roman" w:hAnsi="Times New Roman" w:cs="Times New Roman"/>
          <w:sz w:val="26"/>
          <w:szCs w:val="26"/>
        </w:rPr>
        <w:t>7</w:t>
      </w:r>
      <w:r w:rsidR="007F16D9" w:rsidRPr="005E7CEE">
        <w:rPr>
          <w:rFonts w:ascii="Times New Roman" w:hAnsi="Times New Roman" w:cs="Times New Roman"/>
          <w:sz w:val="26"/>
          <w:szCs w:val="26"/>
        </w:rPr>
        <w:t xml:space="preserve"> февраля 2007 года №28-пп «О системе мониторинга результативности деятельности органов государственного управления области».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Общее руководство и управление </w:t>
      </w:r>
      <w:r w:rsidR="00404D97">
        <w:rPr>
          <w:rFonts w:ascii="Times New Roman" w:hAnsi="Times New Roman" w:cs="Times New Roman"/>
          <w:sz w:val="26"/>
          <w:szCs w:val="26"/>
        </w:rPr>
        <w:t>Стратегией</w:t>
      </w:r>
      <w:r w:rsidRPr="005E7CEE">
        <w:rPr>
          <w:rFonts w:ascii="Times New Roman" w:hAnsi="Times New Roman" w:cs="Times New Roman"/>
          <w:sz w:val="26"/>
          <w:szCs w:val="26"/>
        </w:rPr>
        <w:t xml:space="preserve"> осуществляет Администрация Губернатора Белгородской области.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Контроль за реализацией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</w:t>
      </w:r>
      <w:r w:rsidR="0052355C">
        <w:rPr>
          <w:rFonts w:ascii="Times New Roman" w:hAnsi="Times New Roman" w:cs="Times New Roman"/>
          <w:sz w:val="26"/>
          <w:szCs w:val="26"/>
        </w:rPr>
        <w:t>возложен на</w:t>
      </w:r>
      <w:r w:rsidRPr="005E7CEE">
        <w:rPr>
          <w:rFonts w:ascii="Times New Roman" w:hAnsi="Times New Roman" w:cs="Times New Roman"/>
          <w:sz w:val="26"/>
          <w:szCs w:val="26"/>
        </w:rPr>
        <w:t xml:space="preserve"> перв</w:t>
      </w:r>
      <w:r w:rsidR="0052355C">
        <w:rPr>
          <w:rFonts w:ascii="Times New Roman" w:hAnsi="Times New Roman" w:cs="Times New Roman"/>
          <w:sz w:val="26"/>
          <w:szCs w:val="26"/>
        </w:rPr>
        <w:t>ого</w:t>
      </w:r>
      <w:r w:rsidRPr="005E7CEE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52355C">
        <w:rPr>
          <w:rFonts w:ascii="Times New Roman" w:hAnsi="Times New Roman" w:cs="Times New Roman"/>
          <w:sz w:val="26"/>
          <w:szCs w:val="26"/>
        </w:rPr>
        <w:t>я</w:t>
      </w:r>
      <w:r w:rsidRPr="005E7CEE">
        <w:rPr>
          <w:rFonts w:ascii="Times New Roman" w:hAnsi="Times New Roman" w:cs="Times New Roman"/>
          <w:sz w:val="26"/>
          <w:szCs w:val="26"/>
        </w:rPr>
        <w:t xml:space="preserve"> Губернатора Белгородской области – руководител</w:t>
      </w:r>
      <w:r w:rsidR="0052355C">
        <w:rPr>
          <w:rFonts w:ascii="Times New Roman" w:hAnsi="Times New Roman" w:cs="Times New Roman"/>
          <w:sz w:val="26"/>
          <w:szCs w:val="26"/>
        </w:rPr>
        <w:t>я</w:t>
      </w:r>
      <w:r w:rsidRPr="005E7CEE">
        <w:rPr>
          <w:rFonts w:ascii="Times New Roman" w:hAnsi="Times New Roman" w:cs="Times New Roman"/>
          <w:sz w:val="26"/>
          <w:szCs w:val="26"/>
        </w:rPr>
        <w:t xml:space="preserve">  Администрации Губернатора Белгородской области.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Отчет о реализации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представляется органами исполнительной власти</w:t>
      </w:r>
      <w:r w:rsidR="0052355C">
        <w:rPr>
          <w:rFonts w:ascii="Times New Roman" w:hAnsi="Times New Roman" w:cs="Times New Roman"/>
          <w:sz w:val="26"/>
          <w:szCs w:val="26"/>
        </w:rPr>
        <w:t>, государственными органами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Белгородской области и муниципальными образованиями не позднее 1 февраля года, следующего за годом реализации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Отчет должен содержать: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перечень выполненных мероприятий;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- перечень незавершенных мероприятий;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- предложения по корректировке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>.</w:t>
      </w:r>
    </w:p>
    <w:p w:rsidR="007F16D9" w:rsidRPr="005E7CEE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>По завершени</w:t>
      </w:r>
      <w:r w:rsidR="00404D97">
        <w:rPr>
          <w:rFonts w:ascii="Times New Roman" w:hAnsi="Times New Roman" w:cs="Times New Roman"/>
          <w:sz w:val="26"/>
          <w:szCs w:val="26"/>
        </w:rPr>
        <w:t>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каждого этапа Администрация Губернатора Белгородской области представляет общественности доклад о реализации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. Доклад обсуждается на совместном заседании Белгородской областной Думы и Общественной </w:t>
      </w:r>
      <w:r w:rsidR="0052355C">
        <w:rPr>
          <w:rFonts w:ascii="Times New Roman" w:hAnsi="Times New Roman" w:cs="Times New Roman"/>
          <w:sz w:val="26"/>
          <w:szCs w:val="26"/>
        </w:rPr>
        <w:t>п</w:t>
      </w:r>
      <w:r w:rsidRPr="005E7CEE">
        <w:rPr>
          <w:rFonts w:ascii="Times New Roman" w:hAnsi="Times New Roman" w:cs="Times New Roman"/>
          <w:sz w:val="26"/>
          <w:szCs w:val="26"/>
        </w:rPr>
        <w:t>алаты Белгородской области</w:t>
      </w:r>
      <w:r w:rsidR="008433C3" w:rsidRPr="005E7CEE">
        <w:rPr>
          <w:rFonts w:ascii="Times New Roman" w:hAnsi="Times New Roman" w:cs="Times New Roman"/>
          <w:sz w:val="26"/>
          <w:szCs w:val="26"/>
        </w:rPr>
        <w:t>, Белгородского областного объединения организаций профсоюзов</w:t>
      </w:r>
      <w:r w:rsidRPr="005E7CEE">
        <w:rPr>
          <w:rFonts w:ascii="Times New Roman" w:hAnsi="Times New Roman" w:cs="Times New Roman"/>
          <w:sz w:val="26"/>
          <w:szCs w:val="26"/>
        </w:rPr>
        <w:t>.</w:t>
      </w:r>
    </w:p>
    <w:p w:rsidR="007F16D9" w:rsidRDefault="007F16D9" w:rsidP="005A7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1CD4" w:rsidRDefault="002A1CD4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186B" w:rsidRDefault="0042186B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2186B" w:rsidRDefault="0042186B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2186B" w:rsidRDefault="0042186B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7F16D9" w:rsidRPr="005E7CEE" w:rsidRDefault="007F16D9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="0042186B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5E7CEE">
        <w:rPr>
          <w:rFonts w:ascii="Times New Roman" w:hAnsi="Times New Roman" w:cs="Times New Roman"/>
          <w:b/>
          <w:bCs/>
          <w:sz w:val="26"/>
          <w:szCs w:val="26"/>
        </w:rPr>
        <w:t xml:space="preserve">. Оценка эффективности реализации </w:t>
      </w:r>
      <w:r w:rsidR="00404D97">
        <w:rPr>
          <w:rFonts w:ascii="Times New Roman" w:hAnsi="Times New Roman" w:cs="Times New Roman"/>
          <w:b/>
          <w:bCs/>
          <w:sz w:val="26"/>
          <w:szCs w:val="26"/>
        </w:rPr>
        <w:t>Стратегии</w:t>
      </w:r>
    </w:p>
    <w:p w:rsidR="007F16D9" w:rsidRDefault="007F16D9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A1CD4" w:rsidRPr="005E7CEE" w:rsidRDefault="002A1CD4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1080"/>
        <w:gridCol w:w="759"/>
        <w:gridCol w:w="805"/>
        <w:gridCol w:w="736"/>
        <w:gridCol w:w="736"/>
        <w:gridCol w:w="744"/>
      </w:tblGrid>
      <w:tr w:rsidR="00FE4CA2" w:rsidRPr="00753651">
        <w:trPr>
          <w:tblHeader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2" w:rsidRPr="00753651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z w:val="26"/>
                <w:szCs w:val="26"/>
              </w:rPr>
              <w:t>№п/п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целевого показателя </w:t>
            </w:r>
          </w:p>
          <w:p w:rsidR="00FE4CA2" w:rsidRPr="00753651" w:rsidRDefault="00404D97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Стратегии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z w:val="26"/>
                <w:szCs w:val="26"/>
              </w:rPr>
              <w:t>Ед</w:t>
            </w:r>
            <w:r w:rsidR="0075365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75365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изм</w:t>
            </w:r>
            <w:r w:rsidR="0075365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2011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2012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2013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2014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753651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753651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2015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sz w:val="26"/>
                <w:szCs w:val="26"/>
              </w:rPr>
              <w:t xml:space="preserve">Удовлетворенность населения межличностными отношениями в месте проживания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55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65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Удовлетворенность населения семейными отношениями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61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65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80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реализацией принципа социальной справедливости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22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информационной открытостью органов государственной власти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55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55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безопасностью жизни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действиями власти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доверия органам государственной власти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52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56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60</w:t>
            </w:r>
          </w:p>
        </w:tc>
      </w:tr>
      <w:tr w:rsidR="00FE4CA2" w:rsidRPr="005E7C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доверия органам местного самоуправления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48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52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CA2" w:rsidRPr="005E7CEE" w:rsidRDefault="00FE4CA2" w:rsidP="005A7058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CEE">
              <w:rPr>
                <w:rFonts w:ascii="Times New Roman" w:hAnsi="Times New Roman" w:cs="Times New Roman"/>
                <w:bCs/>
                <w:sz w:val="26"/>
                <w:szCs w:val="26"/>
              </w:rPr>
              <w:t>55</w:t>
            </w:r>
          </w:p>
        </w:tc>
      </w:tr>
    </w:tbl>
    <w:p w:rsidR="00FE4CA2" w:rsidRPr="005E7CEE" w:rsidRDefault="00FE4CA2" w:rsidP="005A70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F16D9" w:rsidRPr="005E7CEE" w:rsidRDefault="007F16D9" w:rsidP="005A7058">
      <w:pPr>
        <w:tabs>
          <w:tab w:val="num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404D97">
        <w:rPr>
          <w:rFonts w:ascii="Times New Roman" w:hAnsi="Times New Roman" w:cs="Times New Roman"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sz w:val="26"/>
          <w:szCs w:val="26"/>
        </w:rPr>
        <w:t xml:space="preserve"> в целом будет способствовать улучшению качества межличностных и межгрупповых отношений в области. Их качественными показателями будут взаимная лояльность, ответственность</w:t>
      </w:r>
      <w:r w:rsidR="00400F37" w:rsidRPr="005E7CEE">
        <w:rPr>
          <w:rFonts w:ascii="Times New Roman" w:hAnsi="Times New Roman" w:cs="Times New Roman"/>
          <w:sz w:val="26"/>
          <w:szCs w:val="26"/>
        </w:rPr>
        <w:t xml:space="preserve"> белгородцев</w:t>
      </w:r>
      <w:r w:rsidRPr="005E7CEE">
        <w:rPr>
          <w:rFonts w:ascii="Times New Roman" w:hAnsi="Times New Roman" w:cs="Times New Roman"/>
          <w:sz w:val="26"/>
          <w:szCs w:val="26"/>
        </w:rPr>
        <w:t xml:space="preserve">, их включенность в разноуровневые социальные сети, </w:t>
      </w:r>
      <w:r w:rsidR="00400F37" w:rsidRPr="005E7CEE">
        <w:rPr>
          <w:rFonts w:ascii="Times New Roman" w:hAnsi="Times New Roman" w:cs="Times New Roman"/>
          <w:sz w:val="26"/>
          <w:szCs w:val="26"/>
        </w:rPr>
        <w:t xml:space="preserve">обеспечивающая </w:t>
      </w:r>
      <w:r w:rsidRPr="005E7CEE">
        <w:rPr>
          <w:rFonts w:ascii="Times New Roman" w:hAnsi="Times New Roman" w:cs="Times New Roman"/>
          <w:sz w:val="26"/>
          <w:szCs w:val="26"/>
        </w:rPr>
        <w:t xml:space="preserve">активное участие в процессе социально-экономического развития, реализации Стратегии социально-экономического развития Белгородской области </w:t>
      </w:r>
      <w:r w:rsidR="0092012E" w:rsidRPr="005E7CEE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Pr="005E7CEE">
        <w:rPr>
          <w:rFonts w:ascii="Times New Roman" w:hAnsi="Times New Roman" w:cs="Times New Roman"/>
          <w:sz w:val="26"/>
          <w:szCs w:val="26"/>
        </w:rPr>
        <w:t xml:space="preserve">до 2025 года. </w:t>
      </w:r>
    </w:p>
    <w:p w:rsidR="00E513FF" w:rsidRPr="005E7CEE" w:rsidRDefault="00E513FF" w:rsidP="005A7058">
      <w:pPr>
        <w:tabs>
          <w:tab w:val="num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EE">
        <w:rPr>
          <w:rFonts w:ascii="Times New Roman" w:hAnsi="Times New Roman" w:cs="Times New Roman"/>
          <w:sz w:val="26"/>
          <w:szCs w:val="26"/>
        </w:rPr>
        <w:t xml:space="preserve">Значения показателей на 2016 – 2025 годы </w:t>
      </w:r>
      <w:r w:rsidRPr="005E7CEE">
        <w:rPr>
          <w:rFonts w:ascii="Times New Roman" w:hAnsi="Times New Roman" w:cs="Times New Roman"/>
          <w:bCs/>
          <w:sz w:val="26"/>
          <w:szCs w:val="26"/>
        </w:rPr>
        <w:t>(</w:t>
      </w:r>
      <w:r w:rsidRPr="005E7CE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5E7CEE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Pr="005E7CE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5E7CEE">
        <w:rPr>
          <w:rFonts w:ascii="Times New Roman" w:hAnsi="Times New Roman" w:cs="Times New Roman"/>
          <w:bCs/>
          <w:sz w:val="26"/>
          <w:szCs w:val="26"/>
        </w:rPr>
        <w:t xml:space="preserve"> этапы реализации </w:t>
      </w:r>
      <w:r w:rsidR="00404D97">
        <w:rPr>
          <w:rFonts w:ascii="Times New Roman" w:hAnsi="Times New Roman" w:cs="Times New Roman"/>
          <w:bCs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bCs/>
          <w:sz w:val="26"/>
          <w:szCs w:val="26"/>
        </w:rPr>
        <w:t>) будут определены с учетом реализации Плана мероприятий на 2011-2015 годы (</w:t>
      </w:r>
      <w:r w:rsidRPr="005E7CEE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5E7CEE">
        <w:rPr>
          <w:rFonts w:ascii="Times New Roman" w:hAnsi="Times New Roman" w:cs="Times New Roman"/>
          <w:bCs/>
          <w:sz w:val="26"/>
          <w:szCs w:val="26"/>
        </w:rPr>
        <w:t xml:space="preserve"> этап реализации </w:t>
      </w:r>
      <w:r w:rsidR="00404D97">
        <w:rPr>
          <w:rFonts w:ascii="Times New Roman" w:hAnsi="Times New Roman" w:cs="Times New Roman"/>
          <w:bCs/>
          <w:sz w:val="26"/>
          <w:szCs w:val="26"/>
        </w:rPr>
        <w:t>Стратегии</w:t>
      </w:r>
      <w:r w:rsidRPr="005E7CEE">
        <w:rPr>
          <w:rFonts w:ascii="Times New Roman" w:hAnsi="Times New Roman" w:cs="Times New Roman"/>
          <w:bCs/>
          <w:sz w:val="26"/>
          <w:szCs w:val="26"/>
        </w:rPr>
        <w:t xml:space="preserve">) при разработке планов мероприятий на последующие пятилетние периоды. </w:t>
      </w:r>
    </w:p>
    <w:p w:rsidR="00753651" w:rsidRDefault="00510666" w:rsidP="0075365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45pt;margin-top:2pt;width:129.95pt;height:137pt;z-index:251657728">
            <v:imagedata r:id="rId6" o:title="88EB4009"/>
          </v:shape>
        </w:pict>
      </w:r>
    </w:p>
    <w:p w:rsidR="007F16D9" w:rsidRPr="00753651" w:rsidRDefault="00753651" w:rsidP="00753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651">
        <w:rPr>
          <w:rFonts w:ascii="Times New Roman" w:hAnsi="Times New Roman" w:cs="Times New Roman"/>
          <w:b/>
          <w:sz w:val="26"/>
          <w:szCs w:val="26"/>
        </w:rPr>
        <w:tab/>
      </w:r>
      <w:r w:rsidRPr="00753651">
        <w:rPr>
          <w:rFonts w:ascii="Times New Roman" w:hAnsi="Times New Roman" w:cs="Times New Roman"/>
          <w:b/>
          <w:sz w:val="26"/>
          <w:szCs w:val="26"/>
        </w:rPr>
        <w:tab/>
      </w:r>
      <w:r w:rsidRPr="00753651">
        <w:rPr>
          <w:rFonts w:ascii="Times New Roman" w:hAnsi="Times New Roman" w:cs="Times New Roman"/>
          <w:b/>
          <w:sz w:val="26"/>
          <w:szCs w:val="26"/>
        </w:rPr>
        <w:tab/>
      </w:r>
    </w:p>
    <w:p w:rsidR="007F16D9" w:rsidRPr="00753651" w:rsidRDefault="007F16D9" w:rsidP="00753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F16D9" w:rsidRPr="00753651" w:rsidSect="00BD2B43">
      <w:headerReference w:type="even" r:id="rId7"/>
      <w:headerReference w:type="default" r:id="rId8"/>
      <w:pgSz w:w="11906" w:h="16838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AC" w:rsidRDefault="003A58AC">
      <w:r>
        <w:separator/>
      </w:r>
    </w:p>
  </w:endnote>
  <w:endnote w:type="continuationSeparator" w:id="0">
    <w:p w:rsidR="003A58AC" w:rsidRDefault="003A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AC" w:rsidRDefault="003A58AC">
      <w:r>
        <w:separator/>
      </w:r>
    </w:p>
  </w:footnote>
  <w:footnote w:type="continuationSeparator" w:id="0">
    <w:p w:rsidR="003A58AC" w:rsidRDefault="003A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B43" w:rsidRDefault="00BD2B43" w:rsidP="009C2D1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2B43" w:rsidRDefault="00BD2B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B43" w:rsidRPr="005D73EE" w:rsidRDefault="00BD2B43" w:rsidP="009C2D14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</w:rPr>
    </w:pPr>
    <w:r w:rsidRPr="005D73EE">
      <w:rPr>
        <w:rStyle w:val="a8"/>
        <w:rFonts w:ascii="Times New Roman" w:hAnsi="Times New Roman" w:cs="Times New Roman"/>
      </w:rPr>
      <w:fldChar w:fldCharType="begin"/>
    </w:r>
    <w:r w:rsidRPr="005D73EE">
      <w:rPr>
        <w:rStyle w:val="a8"/>
        <w:rFonts w:ascii="Times New Roman" w:hAnsi="Times New Roman" w:cs="Times New Roman"/>
      </w:rPr>
      <w:instrText xml:space="preserve">PAGE  </w:instrText>
    </w:r>
    <w:r w:rsidRPr="005D73EE">
      <w:rPr>
        <w:rStyle w:val="a8"/>
        <w:rFonts w:ascii="Times New Roman" w:hAnsi="Times New Roman" w:cs="Times New Roman"/>
      </w:rPr>
      <w:fldChar w:fldCharType="separate"/>
    </w:r>
    <w:r w:rsidR="00FD648F">
      <w:rPr>
        <w:rStyle w:val="a8"/>
        <w:rFonts w:ascii="Times New Roman" w:hAnsi="Times New Roman" w:cs="Times New Roman"/>
        <w:noProof/>
      </w:rPr>
      <w:t>9</w:t>
    </w:r>
    <w:r w:rsidRPr="005D73EE">
      <w:rPr>
        <w:rStyle w:val="a8"/>
        <w:rFonts w:ascii="Times New Roman" w:hAnsi="Times New Roman" w:cs="Times New Roman"/>
      </w:rPr>
      <w:fldChar w:fldCharType="end"/>
    </w:r>
  </w:p>
  <w:p w:rsidR="00BD2B43" w:rsidRDefault="00BD2B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6D9"/>
    <w:rsid w:val="000017D5"/>
    <w:rsid w:val="00082C42"/>
    <w:rsid w:val="00085BEF"/>
    <w:rsid w:val="0022184E"/>
    <w:rsid w:val="00225F41"/>
    <w:rsid w:val="002A1CD4"/>
    <w:rsid w:val="00301878"/>
    <w:rsid w:val="00304830"/>
    <w:rsid w:val="003A58AC"/>
    <w:rsid w:val="00400F37"/>
    <w:rsid w:val="00404D97"/>
    <w:rsid w:val="0042186B"/>
    <w:rsid w:val="00494C45"/>
    <w:rsid w:val="00510666"/>
    <w:rsid w:val="0052355C"/>
    <w:rsid w:val="0053246F"/>
    <w:rsid w:val="0059334E"/>
    <w:rsid w:val="005A7058"/>
    <w:rsid w:val="005C5D4A"/>
    <w:rsid w:val="005D73EE"/>
    <w:rsid w:val="005E7CEE"/>
    <w:rsid w:val="00633179"/>
    <w:rsid w:val="0065732B"/>
    <w:rsid w:val="006C222F"/>
    <w:rsid w:val="00753651"/>
    <w:rsid w:val="007F16D9"/>
    <w:rsid w:val="007F487E"/>
    <w:rsid w:val="00811AE2"/>
    <w:rsid w:val="008433C3"/>
    <w:rsid w:val="008F2E1C"/>
    <w:rsid w:val="0092012E"/>
    <w:rsid w:val="00955BF0"/>
    <w:rsid w:val="00957AF3"/>
    <w:rsid w:val="009C2D14"/>
    <w:rsid w:val="009C40CA"/>
    <w:rsid w:val="00AD146A"/>
    <w:rsid w:val="00B07C71"/>
    <w:rsid w:val="00B44F33"/>
    <w:rsid w:val="00B83F71"/>
    <w:rsid w:val="00BB3EB4"/>
    <w:rsid w:val="00BD026F"/>
    <w:rsid w:val="00BD2B43"/>
    <w:rsid w:val="00BE78DD"/>
    <w:rsid w:val="00C43890"/>
    <w:rsid w:val="00CA0A7E"/>
    <w:rsid w:val="00CB1F66"/>
    <w:rsid w:val="00CD1A6D"/>
    <w:rsid w:val="00D41F02"/>
    <w:rsid w:val="00DF2035"/>
    <w:rsid w:val="00E26858"/>
    <w:rsid w:val="00E513FF"/>
    <w:rsid w:val="00F21162"/>
    <w:rsid w:val="00F65E03"/>
    <w:rsid w:val="00FD648F"/>
    <w:rsid w:val="00FD7448"/>
    <w:rsid w:val="00FE4CA2"/>
    <w:rsid w:val="00FE6C10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701C18-D698-4377-9140-B6928877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D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16D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 Знак"/>
    <w:link w:val="a3"/>
    <w:locked/>
    <w:rsid w:val="007F16D9"/>
    <w:rPr>
      <w:rFonts w:ascii="Calibri" w:hAnsi="Calibri" w:cs="Calibri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F1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7F16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alloon Text"/>
    <w:basedOn w:val="a"/>
    <w:semiHidden/>
    <w:rsid w:val="00955BF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BD2B4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D2B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D2B43"/>
  </w:style>
  <w:style w:type="paragraph" w:styleId="a9">
    <w:name w:val="footer"/>
    <w:basedOn w:val="a"/>
    <w:rsid w:val="005D73E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постановлением</vt:lpstr>
    </vt:vector>
  </TitlesOfParts>
  <Company/>
  <LinksUpToDate>false</LinksUpToDate>
  <CharactersWithSpaces>18927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</dc:title>
  <dc:subject/>
  <dc:creator>кст</dc:creator>
  <cp:keywords/>
  <cp:lastModifiedBy>Irina</cp:lastModifiedBy>
  <cp:revision>2</cp:revision>
  <cp:lastPrinted>2011-11-02T06:25:00Z</cp:lastPrinted>
  <dcterms:created xsi:type="dcterms:W3CDTF">2014-08-02T16:14:00Z</dcterms:created>
  <dcterms:modified xsi:type="dcterms:W3CDTF">2014-08-02T16:14:00Z</dcterms:modified>
</cp:coreProperties>
</file>