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D7" w:rsidRDefault="00F149D7" w:rsidP="00F149D7">
      <w:pPr>
        <w:pStyle w:val="a3"/>
        <w:rPr>
          <w:rFonts w:ascii="Georgia" w:hAnsi="Georgia" w:cs="Helvetica"/>
          <w:color w:val="000000"/>
          <w:sz w:val="21"/>
          <w:szCs w:val="21"/>
        </w:rPr>
      </w:pPr>
      <w:r>
        <w:rPr>
          <w:rStyle w:val="a4"/>
          <w:rFonts w:ascii="Georgia" w:hAnsi="Georgia" w:cs="Helvetica"/>
          <w:color w:val="000000"/>
          <w:sz w:val="21"/>
          <w:szCs w:val="21"/>
        </w:rPr>
        <w:t xml:space="preserve">Конституция 1946 г. </w:t>
      </w:r>
      <w:r>
        <w:rPr>
          <w:rFonts w:ascii="Georgia" w:hAnsi="Georgia" w:cs="Helvetica"/>
          <w:color w:val="000000"/>
          <w:sz w:val="21"/>
          <w:szCs w:val="21"/>
        </w:rPr>
        <w:t>Конституция Франции не только отразила соотношение политических сил в стране в первый период после освобождения, но и закрепила на конституционном уровне ряд новых политических принципов, характерных для европейских конституций т</w:t>
      </w:r>
      <w:r w:rsidR="009B67D2">
        <w:rPr>
          <w:rFonts w:ascii="Georgia" w:hAnsi="Georgia" w:cs="Helvetica"/>
          <w:color w:val="000000"/>
          <w:sz w:val="21"/>
          <w:szCs w:val="21"/>
        </w:rPr>
        <w:t>ого времени.</w:t>
      </w:r>
      <w:r>
        <w:rPr>
          <w:rFonts w:ascii="Georgia" w:hAnsi="Georgia" w:cs="Helvetica"/>
          <w:color w:val="000000"/>
          <w:sz w:val="21"/>
          <w:szCs w:val="21"/>
        </w:rPr>
        <w:t xml:space="preserve">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Реакцией на авторитаризм времен войны была демократизация общественной жизни, предоставление широкого круга прав и свобод, гарантии конституционной законности. В Конституцию был включен новый блок экономических и социальных прав: равноправие мужчин и женщин, народов зависимых стран, социально-экономические права: право на труд, отдых и материальное обеспечение в случае нетрудоспособности, право рабочих на объединение в профсоюзы, на забастовки, коллективное определение условий труда и на участие в управлении предприятиями, право на всеобщее бесплатное светское образование и др. Расширялась сфера регулирования политической и особенно внешнеполитической деятельности государства (положения о мирной внешней политике, об отношениях с колониями и т. п.).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Вместе с тем новая Конституция значительно расширяла пределы вмешательства государства в экономическую и социальную сферу жизни общества, изменяла характер отношений между личностью и государством, возлагая на государство, помимо широких прав, и новые обязанности. Признанным конституционным принципом стало провозглашение “социального государства”, в котором права собственника сочетаются с “общим благом” и ограничиваются общественными интересами.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С точки зрения основного принципа организации государственного строя, в первой послевоенной конституции Франции продолжала господствовать идея абсолютного парламентаризма. По форме правления Франция являлась парламентарной республикой, причем нижняя палата парламента — Национальное собрание — провозглашалась единственным законодательным органом страны, который не мог никому делегировать свои законодательные полномочия. Кроме того, Национальное собрание имело исключительное право законодательной инициативы в финансовых вопросах, ратификации и денонсации важнейших международных договоров, объявления войны. Собрание, избираемое по системе пропорционального представительства на основе всеобщего избирательного права, абсолютным большинством голосов должно было утверждать состав нового правительства, которое несло перед ним всю полноту ответственности.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Конституция традиционно сохранила двухпалатную структуру парламента. Однако вторая йалата — Совет республики — была наделена лишь совещательными функциями, и ее рекомендации не были обязательными для Национального собрания. Совет республики избирался косвенными выборами в департаментах и коммунах, а часть его назначалась Национальным собранием. Состав палаты должен был периодически обновляться. Таким образом, полномочия верхней палаты парламента по сравнению с сенатом Третьей республики были сведены до минимума.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Главой государства являлся президент республики, который избирался на совместном заседании палат парламента сроком на 7 лет. По Конституции 1946 г., в отличие от предшествующей, президент был лишен ряда важных прерогатив (роспуск нижней палаты, назначение по своему выбору высших должностных лиц и др.). Любые акты президента, в том числе назначение на высшие должности, требовали контрасигнации председателя кабинета и одного из министров.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Исполнительная власть по Конституции вручалась Совету министров во главе с его председателем, главой правительства. Этот орган осуществлял непосредственное государственное управление страной и в этом своем качестве имел широкие полномочия. Однако деятельность кабинета была поставлена под эффективный контроль нижней палаты. Назначение председателя Совета министров и министров декретом президента могло производиться только после вынесения вотума доверия со стороны Национального собрания.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В случае принятия абсолютным большинством голосов депутатов резолюции порицания, а также в случае провала в палате важного правительственного законопроекта кабинет должен был уйти в отставку. Правительство могло распустить парламент только после двух правительственных кризисов подряд, последовавших за вотумами недоверия или порицания. В такой ситуации на период избрания нового состава собрания создавалось коалиционное правительство из всех партийных фракций во главе с председателем Национального собрания.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Конституция практически сохраняла в неприкосновенности старую судебную систему и местное управление, подчиненное строгому контролю со стороны правительства. Для руководства судами создавался Высший совет магистратуры, председателем которого являлся президент. Совет ведал вопросами назначения и продвижения судей, исполнял функции дисциплинарного суда в отношении членов судебного ведомства.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Реорганизация политического строя Франции в той форме, которая была предусмотрена Конституцией 1946 г., во многом не оправдала возложенных на нее задач и быстро утратила привлекательность в глазах французов. Страна практически вернулась к “режиму Собрания”, столь единодушно критикуемому на примере Третьей республики. За двенадцать лет сменилось сорок пять правительств, было несколько длительных министерских кризисов. Этому способствовали как недостаточная проработка самого механизма функционирования норм основного закона, так и периодические отступления от них на практике.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Сложные проблемы модернизации экономики и перестройки экономической структуры, обострение социальных противоречий, распад колониальной системы и колониальные войны требовали активного вмешательства государства и стимулировали поиски путей к установлению твердой власти. Политическая система, основанная на классическом парламентаризме, в условиях многопартийного соперничества и возросших требований к административно-управленческой деятельности оказалась неспособной адекватно реагировать на сложные социально-экономические проблемы и кризисные явления в обществе.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 xml:space="preserve">На протяжении 40-х — середины 50-х гг. стало нарастать недовольство государственным режимом Четвертой республики. Возникшая в 1947 г. голлистская партия Объединение французского народа (РПФ)' выступила с требованием отмены Конституции 1946 г. и создания сильной исполнительной власти, способной возвыситься над “партийной чехардой”. В этом же году произошел распад трехсторонней коалиции, а в 1948—1951 гг. была восстановлена мажоритарная избирательная система. Широкое распространение получила практика делегированного законодательства. По конституционной реформе 1954 г. премьер-министр был наделен дополнительными полномочиями по роспуску Национального собрания, упрощался порядок получения вотума доверия правительством (простым большинством голосов), отменялись положения Конституции о коалиционном правительстве. Были расширены также права Совета республики, который превратился в полноправного участника законодательного процесса. Одновременно, без прямого пересмотра соответствующих положений, путем конституционной практики произошло фактическое усиление роли и влияния президента. </w:t>
      </w:r>
    </w:p>
    <w:p w:rsidR="00F149D7" w:rsidRDefault="00F149D7" w:rsidP="00F149D7">
      <w:pPr>
        <w:pStyle w:val="a3"/>
        <w:rPr>
          <w:rFonts w:ascii="Georgia" w:hAnsi="Georgia" w:cs="Helvetica"/>
          <w:color w:val="000000"/>
          <w:sz w:val="21"/>
          <w:szCs w:val="21"/>
        </w:rPr>
      </w:pPr>
      <w:r>
        <w:rPr>
          <w:rFonts w:ascii="Georgia" w:hAnsi="Georgia" w:cs="Helvetica"/>
          <w:color w:val="000000"/>
          <w:sz w:val="21"/>
          <w:szCs w:val="21"/>
        </w:rPr>
        <w:t>Обострение политической обстановки и отход от основных принципов Конституции 1946 г. привели в конечном итоге к падению Четвертой республики и ее замене в 1958 г. Пятой республикой.</w:t>
      </w:r>
    </w:p>
    <w:p w:rsidR="00FC0400" w:rsidRDefault="00FC0400">
      <w:bookmarkStart w:id="0" w:name="_GoBack"/>
      <w:bookmarkEnd w:id="0"/>
    </w:p>
    <w:sectPr w:rsidR="00FC0400" w:rsidSect="00FC0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9D7"/>
    <w:rsid w:val="005B201F"/>
    <w:rsid w:val="009A54C3"/>
    <w:rsid w:val="009B67D2"/>
    <w:rsid w:val="00C70CEF"/>
    <w:rsid w:val="00F149D7"/>
    <w:rsid w:val="00FC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B916D-2116-4079-87C1-8F4CA35A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9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F14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admin</cp:lastModifiedBy>
  <cp:revision>2</cp:revision>
  <dcterms:created xsi:type="dcterms:W3CDTF">2014-07-10T03:16:00Z</dcterms:created>
  <dcterms:modified xsi:type="dcterms:W3CDTF">2014-07-10T03:16:00Z</dcterms:modified>
</cp:coreProperties>
</file>