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36" w:rsidRDefault="00314336" w:rsidP="000831CC">
      <w:pPr>
        <w:jc w:val="center"/>
        <w:rPr>
          <w:b/>
          <w:sz w:val="32"/>
        </w:rPr>
      </w:pPr>
    </w:p>
    <w:p w:rsidR="00155BB1" w:rsidRPr="000831CC" w:rsidRDefault="00155BB1" w:rsidP="000831CC">
      <w:pPr>
        <w:jc w:val="center"/>
        <w:rPr>
          <w:b/>
          <w:sz w:val="32"/>
        </w:rPr>
      </w:pPr>
      <w:r w:rsidRPr="000831CC">
        <w:rPr>
          <w:b/>
          <w:sz w:val="32"/>
        </w:rPr>
        <w:t>Штокмановский проект</w:t>
      </w:r>
    </w:p>
    <w:p w:rsidR="00155BB1" w:rsidRPr="000831CC" w:rsidRDefault="00155BB1" w:rsidP="000831CC">
      <w:pPr>
        <w:rPr>
          <w:b/>
          <w:i/>
          <w:sz w:val="28"/>
          <w:u w:val="single"/>
        </w:rPr>
      </w:pPr>
      <w:r w:rsidRPr="000831CC">
        <w:rPr>
          <w:b/>
          <w:i/>
          <w:sz w:val="28"/>
          <w:u w:val="single"/>
        </w:rPr>
        <w:t>Стратегия</w:t>
      </w:r>
    </w:p>
    <w:p w:rsidR="00155BB1" w:rsidRPr="000831CC" w:rsidRDefault="00155BB1" w:rsidP="000831CC">
      <w:r w:rsidRPr="000831CC">
        <w:t>Проект освоения Штокмановского газоконденсатного месторождения (ГКМ) имеет для «Газпрома» стратегическое значение. Реализация проекта будет отправной точкой для формирования на Арктическом шельфе России нового газодобывающего региона.</w:t>
      </w:r>
    </w:p>
    <w:p w:rsidR="00155BB1" w:rsidRDefault="00155BB1" w:rsidP="000831CC">
      <w:r w:rsidRPr="000831CC">
        <w:t>Штокмановское месторождение станет ресурсной базой для увеличения поставок российского газа, как трубопроводного, так и полученного с использованием СПГ-технологий (СПГ — сжиженный природный газ), на российский и международный рынки.</w:t>
      </w:r>
    </w:p>
    <w:p w:rsidR="00155BB1" w:rsidRPr="000831CC" w:rsidRDefault="00155BB1" w:rsidP="000831CC">
      <w:pPr>
        <w:pStyle w:val="2"/>
        <w:spacing w:before="240" w:beforeAutospacing="0" w:after="192" w:afterAutospacing="0"/>
        <w:ind w:right="4725"/>
        <w:rPr>
          <w:rFonts w:ascii="Calibri" w:hAnsi="Calibri" w:cs="Calibri"/>
          <w:bCs w:val="0"/>
          <w:i/>
          <w:color w:val="000000"/>
          <w:sz w:val="28"/>
          <w:szCs w:val="39"/>
          <w:u w:val="single"/>
        </w:rPr>
      </w:pPr>
      <w:r w:rsidRPr="000831CC">
        <w:rPr>
          <w:rFonts w:ascii="Calibri" w:hAnsi="Calibri" w:cs="Calibri"/>
          <w:bCs w:val="0"/>
          <w:i/>
          <w:color w:val="000000"/>
          <w:sz w:val="28"/>
          <w:szCs w:val="39"/>
          <w:u w:val="single"/>
        </w:rPr>
        <w:t>Месторождение</w:t>
      </w:r>
    </w:p>
    <w:p w:rsidR="00155BB1" w:rsidRDefault="00155BB1" w:rsidP="000831CC">
      <w:pPr>
        <w:rPr>
          <w:rStyle w:val="apple-style-span"/>
          <w:rFonts w:ascii="Verdana" w:hAnsi="Verdana"/>
          <w:color w:val="000000"/>
          <w:sz w:val="20"/>
          <w:szCs w:val="20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>Штокмановская структура (вероятность существования месторождения) была выявлена в 1981 году в результате комплексных морских геофизических исследований, проведенных специалистами треста «Севморнефтегеофизика» с научно-исследовательского судна «Профессор Штокман», в связи с чем и получила свое название. Тогда же было начато изучение ее геологического строения. В 1985 году структура была подготовлена к оценке бурением. В 1988 году было начато строительство первой поисковой скважины проектной глубиной 4500 метров, которое было завершено 27 июля 1988 г. на глубине 3153 метров. В результате ее испытания были открыты две залежи свободного газа с газовым конденсатом, и на Государственный баланс запасов по состоянию на 1 января 1989 г. впервые поставлены более 2,4 трлн м</w:t>
      </w:r>
      <w:r>
        <w:rPr>
          <w:rStyle w:val="apple-style-span"/>
          <w:rFonts w:ascii="Verdana" w:hAnsi="Verdana"/>
          <w:color w:val="000000"/>
          <w:sz w:val="15"/>
          <w:szCs w:val="15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pple-style-span"/>
          <w:rFonts w:ascii="Verdana" w:hAnsi="Verdana"/>
          <w:color w:val="000000"/>
          <w:sz w:val="20"/>
          <w:szCs w:val="20"/>
        </w:rPr>
        <w:t>свободного газа промышленных категорий. Месторождение расположено в центральной части шельфовой зоны российского сектора Баренцева моря.</w:t>
      </w:r>
    </w:p>
    <w:p w:rsidR="00155BB1" w:rsidRDefault="00155BB1" w:rsidP="000831CC">
      <w:pPr>
        <w:rPr>
          <w:rStyle w:val="apple-style-span"/>
          <w:rFonts w:ascii="Verdana" w:hAnsi="Verdana"/>
          <w:color w:val="000000"/>
          <w:sz w:val="20"/>
          <w:szCs w:val="20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>Программа разработки Штокмановского месторождения предусматривает полный цикл освоения месторождения, от исследований до переработки и транспортировки, и рассчитана на три фазы. Первая фаза освоения месторождения предусматривает добычу 23,7 млрд м</w:t>
      </w:r>
      <w:r>
        <w:rPr>
          <w:rStyle w:val="apple-style-span"/>
          <w:rFonts w:ascii="Verdana" w:hAnsi="Verdana"/>
          <w:color w:val="000000"/>
          <w:sz w:val="15"/>
          <w:szCs w:val="15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pple-style-span"/>
          <w:rFonts w:ascii="Verdana" w:hAnsi="Verdana"/>
          <w:color w:val="000000"/>
          <w:sz w:val="20"/>
          <w:szCs w:val="20"/>
        </w:rPr>
        <w:t>природного газа в год.</w:t>
      </w:r>
    </w:p>
    <w:p w:rsidR="00155BB1" w:rsidRDefault="00155BB1" w:rsidP="000831CC">
      <w:pPr>
        <w:rPr>
          <w:rStyle w:val="apple-style-span"/>
          <w:rFonts w:ascii="Verdana" w:hAnsi="Verdana"/>
          <w:color w:val="000000"/>
          <w:sz w:val="20"/>
          <w:szCs w:val="20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>По разведанным запасам природного газа Штокмановское месторождение на сегодняшний день является одним из крупнейших в мире. Геологические запасы месторождения составляют 3,9 трлн м</w:t>
      </w:r>
      <w:r>
        <w:rPr>
          <w:rStyle w:val="apple-style-span"/>
          <w:rFonts w:ascii="Verdana" w:hAnsi="Verdana"/>
          <w:color w:val="000000"/>
          <w:sz w:val="15"/>
          <w:szCs w:val="15"/>
          <w:vertAlign w:val="superscript"/>
        </w:rPr>
        <w:t>3</w:t>
      </w:r>
      <w:r>
        <w:rPr>
          <w:rStyle w:val="apple-style-span"/>
          <w:rFonts w:ascii="Verdana" w:hAnsi="Verdana"/>
          <w:color w:val="000000"/>
          <w:sz w:val="20"/>
          <w:szCs w:val="20"/>
        </w:rPr>
        <w:t>газа и около 56 млн т газового конденсата.</w:t>
      </w:r>
    </w:p>
    <w:p w:rsidR="00155BB1" w:rsidRDefault="00155BB1" w:rsidP="000831CC">
      <w:pPr>
        <w:pStyle w:val="3"/>
        <w:spacing w:before="0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Основные характеристики месторождения</w:t>
      </w:r>
    </w:p>
    <w:p w:rsidR="00155BB1" w:rsidRDefault="00155BB1" w:rsidP="000831CC">
      <w:pPr>
        <w:numPr>
          <w:ilvl w:val="0"/>
          <w:numId w:val="1"/>
        </w:num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Расположено в 550 км от берега</w:t>
      </w:r>
    </w:p>
    <w:p w:rsidR="00155BB1" w:rsidRDefault="00155BB1" w:rsidP="000831CC">
      <w:pPr>
        <w:numPr>
          <w:ilvl w:val="0"/>
          <w:numId w:val="1"/>
        </w:num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Начальные геологические запасы оцениваются в 3,9 трлн м</w:t>
      </w:r>
      <w:r>
        <w:rPr>
          <w:rFonts w:ascii="Verdana" w:hAnsi="Verdana"/>
          <w:color w:val="000000"/>
          <w:sz w:val="15"/>
          <w:szCs w:val="15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газа и 56 млн т газового конденсата</w:t>
      </w:r>
    </w:p>
    <w:p w:rsidR="00155BB1" w:rsidRDefault="00155BB1" w:rsidP="000831CC">
      <w:pPr>
        <w:numPr>
          <w:ilvl w:val="0"/>
          <w:numId w:val="1"/>
        </w:num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Глубина моря — 340 м</w:t>
      </w:r>
    </w:p>
    <w:p w:rsidR="00155BB1" w:rsidRDefault="00155BB1" w:rsidP="000831CC">
      <w:pPr>
        <w:numPr>
          <w:ilvl w:val="0"/>
          <w:numId w:val="1"/>
        </w:num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Высота волн — до 27 м</w:t>
      </w:r>
    </w:p>
    <w:p w:rsidR="00155BB1" w:rsidRDefault="00155BB1" w:rsidP="000831CC">
      <w:pPr>
        <w:numPr>
          <w:ilvl w:val="0"/>
          <w:numId w:val="1"/>
        </w:num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Годовой диапазон температур: от −50 до +33 °C</w:t>
      </w:r>
    </w:p>
    <w:p w:rsidR="00155BB1" w:rsidRPr="00033588" w:rsidRDefault="00155BB1" w:rsidP="00033588">
      <w:pPr>
        <w:numPr>
          <w:ilvl w:val="0"/>
          <w:numId w:val="1"/>
        </w:num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Наличие айсбергов весом до 4 млн т</w:t>
      </w:r>
    </w:p>
    <w:p w:rsidR="00155BB1" w:rsidRDefault="00155BB1" w:rsidP="00033588">
      <w:pPr>
        <w:rPr>
          <w:sz w:val="24"/>
        </w:rPr>
      </w:pPr>
    </w:p>
    <w:p w:rsidR="00155BB1" w:rsidRPr="00033588" w:rsidRDefault="00155BB1" w:rsidP="00033588">
      <w:pPr>
        <w:rPr>
          <w:sz w:val="24"/>
        </w:rPr>
      </w:pPr>
      <w:r w:rsidRPr="00033588">
        <w:rPr>
          <w:sz w:val="24"/>
        </w:rPr>
        <w:t>Одна из основных сложностей освоения Штокмановскго месторождения заключается в его высокой </w:t>
      </w:r>
      <w:r w:rsidRPr="005F3E73">
        <w:rPr>
          <w:sz w:val="24"/>
        </w:rPr>
        <w:t>капиталоемкости</w:t>
      </w:r>
      <w:r w:rsidRPr="00033588">
        <w:rPr>
          <w:sz w:val="24"/>
        </w:rPr>
        <w:t>. Поэтому главными задачами проекта разработки, наряду с достижением рентабельных показателей, является снижение инвестиционной нагрузки, гарантированное достижение проектных показателей, а также возможность внесения корректив в обустройство в процессе уже начатой эксплуатации месторождения.</w:t>
      </w:r>
    </w:p>
    <w:p w:rsidR="00155BB1" w:rsidRPr="00033588" w:rsidRDefault="00155BB1" w:rsidP="00033588">
      <w:pPr>
        <w:rPr>
          <w:sz w:val="24"/>
        </w:rPr>
      </w:pPr>
      <w:r w:rsidRPr="00033588">
        <w:rPr>
          <w:sz w:val="24"/>
        </w:rPr>
        <w:t>Для решения этих задач необходимо постепенное освоение месторождения. Поэтому в принятом проекте разработки месторождения предусматривается поэтапное наращивание эквивалентных мощностей по всем </w:t>
      </w:r>
      <w:r w:rsidRPr="005F3E73">
        <w:rPr>
          <w:sz w:val="24"/>
        </w:rPr>
        <w:t>трем составляющим</w:t>
      </w:r>
      <w:r>
        <w:rPr>
          <w:sz w:val="24"/>
        </w:rPr>
        <w:t xml:space="preserve"> </w:t>
      </w:r>
      <w:r w:rsidRPr="00033588">
        <w:rPr>
          <w:sz w:val="24"/>
        </w:rPr>
        <w:t>обустройства месторождения. В проекте выделяются </w:t>
      </w:r>
      <w:r w:rsidRPr="005F3E73">
        <w:rPr>
          <w:sz w:val="24"/>
        </w:rPr>
        <w:t>три стадии ввода мощностей</w:t>
      </w:r>
      <w:r w:rsidRPr="00033588">
        <w:rPr>
          <w:sz w:val="24"/>
        </w:rPr>
        <w:t>. Каждая стадия — это пуск новой связки 1 платформа - 1 нитка морского газопровода - 3 технологические линии завода СПГ (или сухопутный газопровод).</w:t>
      </w:r>
    </w:p>
    <w:p w:rsidR="00155BB1" w:rsidRPr="00033588" w:rsidRDefault="00155BB1" w:rsidP="00033588">
      <w:pPr>
        <w:rPr>
          <w:sz w:val="24"/>
        </w:rPr>
      </w:pPr>
      <w:r w:rsidRPr="00033588">
        <w:rPr>
          <w:sz w:val="24"/>
        </w:rPr>
        <w:t>С началом третей стадии происходит выход на проектные показатели. Выручка от реализации продукции по каждой стадии может реенвестироваться для последующего развития проекта.</w:t>
      </w:r>
    </w:p>
    <w:p w:rsidR="00155BB1" w:rsidRPr="000E41D2" w:rsidRDefault="00155BB1" w:rsidP="00033588">
      <w:pPr>
        <w:rPr>
          <w:b/>
          <w:i/>
          <w:sz w:val="36"/>
          <w:u w:val="single"/>
        </w:rPr>
      </w:pPr>
      <w:r w:rsidRPr="000E41D2">
        <w:rPr>
          <w:rStyle w:val="apple-style-span"/>
          <w:rFonts w:ascii="Arial" w:hAnsi="Arial" w:cs="Arial"/>
          <w:b/>
          <w:i/>
          <w:color w:val="000000"/>
          <w:sz w:val="24"/>
          <w:szCs w:val="21"/>
        </w:rPr>
        <w:t>Лицензией на поиск, геологическое изучение и добычу газа и газового конденсата на Штокмановском месторождении владеет</w:t>
      </w:r>
      <w:r w:rsidRPr="000E41D2">
        <w:rPr>
          <w:rStyle w:val="apple-converted-space"/>
          <w:rFonts w:ascii="Arial" w:hAnsi="Arial" w:cs="Arial"/>
          <w:b/>
          <w:i/>
          <w:color w:val="000000"/>
          <w:sz w:val="24"/>
          <w:szCs w:val="21"/>
        </w:rPr>
        <w:t> </w:t>
      </w:r>
      <w:r w:rsidRPr="005F3E73">
        <w:rPr>
          <w:rFonts w:ascii="Arial" w:hAnsi="Arial" w:cs="Arial"/>
          <w:b/>
          <w:i/>
          <w:sz w:val="24"/>
          <w:szCs w:val="21"/>
        </w:rPr>
        <w:t>ООО «Газпром нефть шельф»</w:t>
      </w:r>
      <w:r w:rsidRPr="000E41D2">
        <w:rPr>
          <w:rStyle w:val="apple-converted-space"/>
          <w:rFonts w:ascii="Arial" w:hAnsi="Arial" w:cs="Arial"/>
          <w:b/>
          <w:i/>
          <w:color w:val="000000"/>
          <w:sz w:val="24"/>
          <w:szCs w:val="21"/>
        </w:rPr>
        <w:t> </w:t>
      </w:r>
      <w:r w:rsidRPr="000E41D2">
        <w:rPr>
          <w:rStyle w:val="apple-style-span"/>
          <w:rFonts w:ascii="Arial" w:hAnsi="Arial" w:cs="Arial"/>
          <w:b/>
          <w:i/>
          <w:color w:val="000000"/>
          <w:sz w:val="24"/>
          <w:szCs w:val="21"/>
        </w:rPr>
        <w:t>(прежнее название — «Севморнефтегаз»), 100-процентное дочернее общество ОАО «Газпром».</w:t>
      </w:r>
    </w:p>
    <w:p w:rsidR="00155BB1" w:rsidRPr="00033588" w:rsidRDefault="00155BB1" w:rsidP="00033588">
      <w:pPr>
        <w:rPr>
          <w:b/>
          <w:i/>
          <w:sz w:val="28"/>
          <w:u w:val="single"/>
        </w:rPr>
      </w:pPr>
      <w:r w:rsidRPr="00033588">
        <w:rPr>
          <w:b/>
          <w:i/>
          <w:sz w:val="28"/>
          <w:u w:val="single"/>
        </w:rPr>
        <w:t>Оценка перспективности проекта</w:t>
      </w:r>
    </w:p>
    <w:p w:rsidR="00155BB1" w:rsidRPr="00033588" w:rsidRDefault="00155BB1" w:rsidP="00033588">
      <w:r w:rsidRPr="00033588">
        <w:t>Наличие больших запасов газа, благоприятный состав сырья, позволяющий минимизировать затраты на очистку и подготовку газа, а также возможность расширения производства позволяют обеспечить стабильные долгосрочные поставки.</w:t>
      </w:r>
    </w:p>
    <w:p w:rsidR="00155BB1" w:rsidRPr="00033588" w:rsidRDefault="00155BB1" w:rsidP="00033588">
      <w:r w:rsidRPr="00033588">
        <w:t>Проект характеризуется возможностью диверсификации поставок — параллельное ведение поставок трубопроводного природного газа в Европу и сжиженного природного газа в Европу и Северную Америку с варьированием направлений в зависимости от рыночных условий.</w:t>
      </w:r>
    </w:p>
    <w:p w:rsidR="00155BB1" w:rsidRPr="00033588" w:rsidRDefault="00155BB1" w:rsidP="00033588">
      <w:r w:rsidRPr="00033588">
        <w:t>Отсутствие транзитных стран на пути трубопроводного газа от Штокмановского месторождения по морскому газопроводу «Северный поток» в Западную Европу, сравнительно небольшие расстояния от сырьевой базы до рынков сбыта СПГ и низкие температуры в регионе, позволяющие снизить энергозатраты на сжижение газа, обеспечивают высокую конкурентоспособность проекта.</w:t>
      </w:r>
    </w:p>
    <w:p w:rsidR="00155BB1" w:rsidRDefault="00155BB1" w:rsidP="00033588">
      <w:p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0"/>
      </w:tblGrid>
      <w:tr w:rsidR="00155BB1" w:rsidRPr="002B709B" w:rsidTr="00F06FE6">
        <w:trPr>
          <w:tblCellSpacing w:w="0" w:type="dxa"/>
        </w:trPr>
        <w:tc>
          <w:tcPr>
            <w:tcW w:w="7950" w:type="dxa"/>
            <w:tcBorders>
              <w:top w:val="single" w:sz="12" w:space="0" w:color="FFFFFF"/>
              <w:right w:val="single" w:sz="6" w:space="0" w:color="FFFFFF"/>
            </w:tcBorders>
            <w:shd w:val="clear" w:color="auto" w:fill="85ADD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5BB1" w:rsidRPr="00BF7A82" w:rsidRDefault="00155BB1" w:rsidP="00F06FE6">
            <w:pPr>
              <w:shd w:val="clear" w:color="auto" w:fill="85ADD6"/>
              <w:spacing w:after="0" w:line="240" w:lineRule="auto"/>
              <w:outlineLvl w:val="2"/>
              <w:rPr>
                <w:rFonts w:ascii="Georgia" w:hAnsi="Georgia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A82">
              <w:rPr>
                <w:rFonts w:ascii="Georgia" w:hAnsi="Georgia"/>
                <w:b/>
                <w:bCs/>
                <w:color w:val="FFFFFF"/>
                <w:sz w:val="24"/>
                <w:szCs w:val="24"/>
                <w:lang w:eastAsia="ru-RU"/>
              </w:rPr>
              <w:t>Проектные показатели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985"/>
              <w:gridCol w:w="1800"/>
            </w:tblGrid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коэффициент извлечения газа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86%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период рентабельной разработки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&gt; 50 лет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отбор газа за 50 лет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2,4 трлн. куб.м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годовая добыча газа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67,5 млрд. куб.м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годовая добыча конденсата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0,5 млн.т.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период выхода на проектный уровень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13 лет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период постоянной добычи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25 лет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55BB1" w:rsidRPr="00BF7A82" w:rsidRDefault="00155BB1" w:rsidP="00F06FE6">
            <w:pPr>
              <w:shd w:val="clear" w:color="auto" w:fill="85ADD6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BB1" w:rsidRPr="002B709B" w:rsidTr="00F06FE6">
        <w:trPr>
          <w:tblCellSpacing w:w="0" w:type="dxa"/>
        </w:trPr>
        <w:tc>
          <w:tcPr>
            <w:tcW w:w="7965" w:type="dxa"/>
            <w:tcBorders>
              <w:top w:val="single" w:sz="12" w:space="0" w:color="FFFFFF"/>
              <w:right w:val="single" w:sz="6" w:space="0" w:color="FFFFFF"/>
            </w:tcBorders>
            <w:shd w:val="clear" w:color="auto" w:fill="85ADD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5BB1" w:rsidRPr="00BF7A82" w:rsidRDefault="00155BB1" w:rsidP="00F06FE6">
            <w:pPr>
              <w:shd w:val="clear" w:color="auto" w:fill="85ADD6"/>
              <w:spacing w:after="0" w:line="240" w:lineRule="auto"/>
              <w:outlineLvl w:val="2"/>
              <w:rPr>
                <w:rFonts w:ascii="Georgia" w:hAnsi="Georgia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A82">
              <w:rPr>
                <w:rFonts w:ascii="Georgia" w:hAnsi="Georgia"/>
                <w:b/>
                <w:bCs/>
                <w:color w:val="FFFFFF"/>
                <w:sz w:val="24"/>
                <w:szCs w:val="24"/>
                <w:lang w:eastAsia="ru-RU"/>
              </w:rPr>
              <w:t>Капитальные вложения ($ млрд.)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00"/>
              <w:gridCol w:w="5835"/>
              <w:gridCol w:w="1350"/>
            </w:tblGrid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Морской промысел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платформы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бурение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Морские трубопроводы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магистральные газопроводы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конденсатопровод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Инфраструктура по реализации продукции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завод по сжижению природного газа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6,8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терминал по отгрузке СПГ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сухопутный газопровод Териберка-Волхов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BF7A82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21,9</w:t>
                  </w:r>
                </w:p>
              </w:tc>
            </w:tr>
            <w:tr w:rsidR="00155BB1" w:rsidRPr="002B709B" w:rsidTr="00F06FE6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FFFFFF"/>
                  </w:tcBorders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dotted" w:sz="6" w:space="0" w:color="FFFFFF"/>
                  </w:tcBorders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</w:tcPr>
                <w:p w:rsidR="00155BB1" w:rsidRPr="00BF7A82" w:rsidRDefault="00155BB1" w:rsidP="00F06FE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5BB1" w:rsidRPr="00BF7A82" w:rsidRDefault="00155BB1" w:rsidP="00F06FE6">
            <w:pPr>
              <w:shd w:val="clear" w:color="auto" w:fill="85ADD6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5BB1" w:rsidRPr="000831CC" w:rsidRDefault="00155BB1" w:rsidP="00033588">
      <w:pPr>
        <w:spacing w:before="120" w:after="120" w:line="285" w:lineRule="atLeast"/>
        <w:ind w:left="288"/>
        <w:rPr>
          <w:rFonts w:ascii="Verdana" w:hAnsi="Verdana"/>
          <w:color w:val="000000"/>
          <w:sz w:val="20"/>
          <w:szCs w:val="20"/>
        </w:rPr>
      </w:pPr>
    </w:p>
    <w:p w:rsidR="00155BB1" w:rsidRPr="000E41D2" w:rsidRDefault="00155BB1" w:rsidP="000E41D2">
      <w:r w:rsidRPr="000E41D2">
        <w:rPr>
          <w:rStyle w:val="gr-letter"/>
          <w:rFonts w:ascii="Trebuchet MS" w:hAnsi="Trebuchet MS"/>
          <w:sz w:val="52"/>
          <w:szCs w:val="68"/>
        </w:rPr>
        <w:t>Значение</w:t>
      </w:r>
      <w:r w:rsidRPr="000E41D2">
        <w:rPr>
          <w:rStyle w:val="apple-converted-space"/>
          <w:rFonts w:ascii="Trebuchet MS" w:hAnsi="Trebuchet MS"/>
          <w:sz w:val="52"/>
          <w:szCs w:val="68"/>
        </w:rPr>
        <w:t> </w:t>
      </w:r>
      <w:r w:rsidRPr="000E41D2">
        <w:rPr>
          <w:rStyle w:val="gr-letter"/>
          <w:rFonts w:ascii="Trebuchet MS" w:hAnsi="Trebuchet MS"/>
          <w:sz w:val="52"/>
          <w:szCs w:val="68"/>
        </w:rPr>
        <w:t>проекта</w:t>
      </w:r>
    </w:p>
    <w:p w:rsidR="00155BB1" w:rsidRDefault="00155BB1" w:rsidP="00033588">
      <w:pPr>
        <w:pStyle w:val="a3"/>
        <w:spacing w:before="180" w:beforeAutospacing="0" w:after="24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Важность Штокмановского проекта определяется несколькими факторами. Проект создаст основу для дальнейшей разработки арктического шельфа. Штокман на длительный срок укрепит энергетическую безопасность на региональном, европейском и глобальном рынках, поставляя газ, необходимый для удовлетворения растущего спроса на энергоресурсы. Диверсификация экспортных продуктов (трубный газ и СПГ), а также маршрутов их вывода на глобальный рынок сбыта сделает поставки газа более гибкими и потому — надежными.</w:t>
      </w:r>
    </w:p>
    <w:p w:rsidR="00155BB1" w:rsidRDefault="00155BB1" w:rsidP="00033588">
      <w:pPr>
        <w:pStyle w:val="a3"/>
        <w:spacing w:before="180" w:beforeAutospacing="0" w:after="24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Кроме того, Штокмановский проект создаст базу для переноса в Россию современных технологий управления, проектирования и производства промышленной продукции для освоения морских месторождений углеводородов и, что немаловажно, обеспечит загрузку производственных мощностей российских промышленных предприятий в условиях глобального экономического кризиса.</w:t>
      </w:r>
    </w:p>
    <w:p w:rsidR="00155BB1" w:rsidRPr="00033588" w:rsidRDefault="00155BB1" w:rsidP="00033588">
      <w:pPr>
        <w:pStyle w:val="2"/>
        <w:spacing w:before="0" w:beforeAutospacing="0" w:after="0" w:afterAutospacing="0"/>
        <w:rPr>
          <w:rFonts w:ascii="Trebuchet MS" w:hAnsi="Trebuchet MS"/>
          <w:color w:val="000000"/>
          <w:sz w:val="24"/>
          <w:szCs w:val="32"/>
        </w:rPr>
      </w:pPr>
      <w:r w:rsidRPr="00033588">
        <w:rPr>
          <w:rFonts w:ascii="Trebuchet MS" w:hAnsi="Trebuchet MS"/>
          <w:color w:val="000000"/>
          <w:sz w:val="24"/>
          <w:szCs w:val="32"/>
        </w:rPr>
        <w:t>Штокман — стратегический российский проект для дальнейшей разработки арктического шельфа</w:t>
      </w:r>
    </w:p>
    <w:p w:rsidR="00155BB1" w:rsidRDefault="00155BB1" w:rsidP="00033588">
      <w:pPr>
        <w:pStyle w:val="a3"/>
        <w:spacing w:before="312" w:beforeAutospacing="0" w:after="24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Запасы углеводородов в Арктическом бассейне, по некоторым оценкам, достигают 200 млрд баррелей в нефтяном эквиваленте. Это означает, что Арктика может содержать более четверти еще не разведанных мировых запасов углеводородного сырья. Штокмановский проект открывает собой эпоху промышленного освоения Арктики.</w:t>
      </w:r>
    </w:p>
    <w:p w:rsidR="00155BB1" w:rsidRPr="00033588" w:rsidRDefault="00155BB1" w:rsidP="00033588">
      <w:pPr>
        <w:pStyle w:val="2"/>
        <w:spacing w:before="0" w:beforeAutospacing="0" w:after="0" w:afterAutospacing="0"/>
        <w:rPr>
          <w:rFonts w:ascii="Trebuchet MS" w:hAnsi="Trebuchet MS"/>
          <w:color w:val="000000"/>
          <w:sz w:val="24"/>
          <w:szCs w:val="32"/>
        </w:rPr>
      </w:pPr>
      <w:r w:rsidRPr="00033588">
        <w:rPr>
          <w:rFonts w:ascii="Trebuchet MS" w:hAnsi="Trebuchet MS"/>
          <w:color w:val="000000"/>
          <w:sz w:val="24"/>
          <w:szCs w:val="32"/>
        </w:rPr>
        <w:t>Штокман на долгий срок укрепит энергетическую безопасность</w:t>
      </w:r>
    </w:p>
    <w:p w:rsidR="00155BB1" w:rsidRDefault="00155BB1" w:rsidP="00033588">
      <w:pPr>
        <w:pStyle w:val="a3"/>
        <w:spacing w:before="312" w:beforeAutospacing="0" w:after="24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 разведанным запасам природного газа Штокман сегодня входит в десятку крупнейших месторождений в мире. Этот объем сопоставим с мировым потреблением газа на протяжении 1,3 года и на долгое время обеспечит добычу газа для поставки на целевые рынки.</w:t>
      </w:r>
    </w:p>
    <w:p w:rsidR="00155BB1" w:rsidRPr="00033588" w:rsidRDefault="00155BB1" w:rsidP="00033588">
      <w:pPr>
        <w:pStyle w:val="2"/>
        <w:spacing w:before="0" w:beforeAutospacing="0" w:after="0" w:afterAutospacing="0"/>
        <w:rPr>
          <w:rFonts w:ascii="Trebuchet MS" w:hAnsi="Trebuchet MS"/>
          <w:color w:val="000000"/>
          <w:sz w:val="24"/>
          <w:szCs w:val="32"/>
        </w:rPr>
      </w:pPr>
      <w:r w:rsidRPr="00033588">
        <w:rPr>
          <w:rFonts w:ascii="Trebuchet MS" w:hAnsi="Trebuchet MS"/>
          <w:color w:val="000000"/>
          <w:sz w:val="24"/>
          <w:szCs w:val="32"/>
        </w:rPr>
        <w:t>Диверсификация экспортной продукции и экспортных маршрутов</w:t>
      </w:r>
    </w:p>
    <w:p w:rsidR="00155BB1" w:rsidRDefault="00155BB1" w:rsidP="00033588">
      <w:pPr>
        <w:pStyle w:val="a3"/>
        <w:spacing w:before="312" w:beforeAutospacing="0" w:after="24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Газ, добытый в рамках Штокмановского проекта, определен в качестве ресурсной базы для поставок газа по трубопроводу «Северный поток» в страны Западной Европы, а также для производства российского СПГ, который впоследствии будет реализован на международных рынках.</w:t>
      </w:r>
    </w:p>
    <w:p w:rsidR="00155BB1" w:rsidRPr="00033588" w:rsidRDefault="00155BB1" w:rsidP="00033588">
      <w:pPr>
        <w:pStyle w:val="2"/>
        <w:spacing w:before="0" w:beforeAutospacing="0" w:after="0" w:afterAutospacing="0"/>
        <w:rPr>
          <w:rFonts w:ascii="Trebuchet MS" w:hAnsi="Trebuchet MS"/>
          <w:color w:val="000000"/>
          <w:sz w:val="24"/>
          <w:szCs w:val="32"/>
        </w:rPr>
      </w:pPr>
      <w:r w:rsidRPr="00033588">
        <w:rPr>
          <w:rFonts w:ascii="Trebuchet MS" w:hAnsi="Trebuchet MS"/>
          <w:color w:val="000000"/>
          <w:sz w:val="24"/>
          <w:szCs w:val="32"/>
        </w:rPr>
        <w:t>Перенос опыта и знаний</w:t>
      </w:r>
    </w:p>
    <w:p w:rsidR="00155BB1" w:rsidRPr="00033588" w:rsidRDefault="00155BB1" w:rsidP="00033588">
      <w:pPr>
        <w:pStyle w:val="a3"/>
        <w:spacing w:before="312" w:beforeAutospacing="0" w:after="240" w:afterAutospacing="0" w:line="285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Одной из важнейших задач в рамках проекта является привлечение максимального числа российских предприятий. Российские промышленные предприятия, работая в консорциуме с ведущими мировыми нефтегазовыми компаниями, получат бесценный опыт проектирования и производства промышленной продукции для освоения морских месторождений углеводородов. Участие российских компаний в освоении Фазы 1 Штокмановского проекта станет стартовой площадкой для их участия в реализации последующих фаз.</w:t>
      </w:r>
      <w:bookmarkStart w:id="0" w:name="_GoBack"/>
      <w:bookmarkEnd w:id="0"/>
    </w:p>
    <w:sectPr w:rsidR="00155BB1" w:rsidRPr="00033588" w:rsidSect="00083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97B8F"/>
    <w:multiLevelType w:val="multilevel"/>
    <w:tmpl w:val="065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1CC"/>
    <w:rsid w:val="00033588"/>
    <w:rsid w:val="000831CC"/>
    <w:rsid w:val="000E41D2"/>
    <w:rsid w:val="00155BB1"/>
    <w:rsid w:val="002B709B"/>
    <w:rsid w:val="00314336"/>
    <w:rsid w:val="00352979"/>
    <w:rsid w:val="005F3E73"/>
    <w:rsid w:val="00B64409"/>
    <w:rsid w:val="00BC4009"/>
    <w:rsid w:val="00BF7A82"/>
    <w:rsid w:val="00DC38F2"/>
    <w:rsid w:val="00F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E8F4-E80B-4283-869D-739E6D82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31CC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0831C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831CC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831C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0831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0831C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0831CC"/>
    <w:rPr>
      <w:rFonts w:cs="Times New Roman"/>
    </w:rPr>
  </w:style>
  <w:style w:type="character" w:customStyle="1" w:styleId="apple-converted-space">
    <w:name w:val="apple-converted-space"/>
    <w:basedOn w:val="a0"/>
    <w:rsid w:val="000831CC"/>
    <w:rPr>
      <w:rFonts w:cs="Times New Roman"/>
    </w:rPr>
  </w:style>
  <w:style w:type="character" w:customStyle="1" w:styleId="30">
    <w:name w:val="Заголовок 3 Знак"/>
    <w:basedOn w:val="a0"/>
    <w:link w:val="3"/>
    <w:semiHidden/>
    <w:locked/>
    <w:rsid w:val="000831CC"/>
    <w:rPr>
      <w:rFonts w:ascii="Cambria" w:hAnsi="Cambria" w:cs="Times New Roman"/>
      <w:b/>
      <w:bCs/>
      <w:color w:val="4F81BD"/>
    </w:rPr>
  </w:style>
  <w:style w:type="character" w:styleId="a4">
    <w:name w:val="Hyperlink"/>
    <w:basedOn w:val="a0"/>
    <w:rsid w:val="00033588"/>
    <w:rPr>
      <w:rFonts w:cs="Times New Roman"/>
      <w:color w:val="0000FF"/>
      <w:u w:val="single"/>
    </w:rPr>
  </w:style>
  <w:style w:type="paragraph" w:customStyle="1" w:styleId="11">
    <w:name w:val="Абзац списку1"/>
    <w:basedOn w:val="a"/>
    <w:rsid w:val="00033588"/>
    <w:pPr>
      <w:ind w:left="720"/>
      <w:contextualSpacing/>
    </w:pPr>
  </w:style>
  <w:style w:type="character" w:customStyle="1" w:styleId="gr-letter">
    <w:name w:val="gr-letter"/>
    <w:basedOn w:val="a0"/>
    <w:rsid w:val="000335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Штокмановский проект</vt:lpstr>
    </vt:vector>
  </TitlesOfParts>
  <Company>*</Company>
  <LinksUpToDate>false</LinksUpToDate>
  <CharactersWithSpaces>7365</CharactersWithSpaces>
  <SharedDoc>false</SharedDoc>
  <HLinks>
    <vt:vector size="24" baseType="variant">
      <vt:variant>
        <vt:i4>5963805</vt:i4>
      </vt:variant>
      <vt:variant>
        <vt:i4>9</vt:i4>
      </vt:variant>
      <vt:variant>
        <vt:i4>0</vt:i4>
      </vt:variant>
      <vt:variant>
        <vt:i4>5</vt:i4>
      </vt:variant>
      <vt:variant>
        <vt:lpwstr>http://www.gazprom.ru/subsidiaries/list-items/gazprom-neft-shelf/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http://www.sevmorneftegaz.ru/projects/shgkm/economy/index.html</vt:lpwstr>
      </vt:variant>
      <vt:variant>
        <vt:lpwstr>Stages</vt:lpwstr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http://www.sevmorneftegaz.ru/projects/shgkm/concept/index.html</vt:lpwstr>
      </vt:variant>
      <vt:variant>
        <vt:lpwstr/>
      </vt:variant>
      <vt:variant>
        <vt:i4>1441802</vt:i4>
      </vt:variant>
      <vt:variant>
        <vt:i4>0</vt:i4>
      </vt:variant>
      <vt:variant>
        <vt:i4>0</vt:i4>
      </vt:variant>
      <vt:variant>
        <vt:i4>5</vt:i4>
      </vt:variant>
      <vt:variant>
        <vt:lpwstr>http://www.sevmorneftegaz.ru/projects/shgkm/economy/index.html</vt:lpwstr>
      </vt:variant>
      <vt:variant>
        <vt:lpwstr>Invest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Штокмановский проект</dc:title>
  <dc:subject/>
  <dc:creator>Алиночка</dc:creator>
  <cp:keywords/>
  <dc:description/>
  <cp:lastModifiedBy>Irina</cp:lastModifiedBy>
  <cp:revision>2</cp:revision>
  <cp:lastPrinted>2011-03-14T15:39:00Z</cp:lastPrinted>
  <dcterms:created xsi:type="dcterms:W3CDTF">2014-08-21T07:22:00Z</dcterms:created>
  <dcterms:modified xsi:type="dcterms:W3CDTF">2014-08-21T07:22:00Z</dcterms:modified>
</cp:coreProperties>
</file>