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0B1B5A" w:rsidRDefault="000B1B5A" w:rsidP="000B1B5A">
      <w:pPr>
        <w:pStyle w:val="af3"/>
        <w:spacing w:line="360" w:lineRule="auto"/>
        <w:jc w:val="center"/>
        <w:rPr>
          <w:b/>
          <w:sz w:val="28"/>
          <w:szCs w:val="28"/>
        </w:rPr>
      </w:pPr>
    </w:p>
    <w:p w:rsidR="00FE3E94" w:rsidRDefault="00FE3E94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BD6C82" w:rsidRDefault="008062BB" w:rsidP="00751E64">
      <w:pPr>
        <w:pStyle w:val="af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Реферат</w:t>
      </w:r>
    </w:p>
    <w:p w:rsidR="00751E64" w:rsidRDefault="00751E64" w:rsidP="00751E64">
      <w:pPr>
        <w:pStyle w:val="af3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751E64" w:rsidP="00751E64">
      <w:pPr>
        <w:pStyle w:val="af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Основные источники углеводородного сырья и требования,  предъявляемые к нему </w:t>
      </w: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0B1B5A">
      <w:pPr>
        <w:pStyle w:val="af3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9F683D" w:rsidRDefault="009F683D" w:rsidP="009F683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Содержание </w:t>
      </w:r>
    </w:p>
    <w:p w:rsidR="00F2194C" w:rsidRDefault="00F2194C" w:rsidP="00F2194C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стр.</w:t>
      </w:r>
    </w:p>
    <w:p w:rsidR="00922338" w:rsidRDefault="00F15C42" w:rsidP="00F15C4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                                                                                                              3</w:t>
      </w:r>
    </w:p>
    <w:p w:rsidR="00F15C42" w:rsidRDefault="00F15C42" w:rsidP="00F15C4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Основные источники сырья                                                                            4</w:t>
      </w:r>
    </w:p>
    <w:p w:rsidR="00F15C42" w:rsidRDefault="00F15C42" w:rsidP="00F15C4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Требования к углеводородному сырью                                                        10</w:t>
      </w:r>
    </w:p>
    <w:p w:rsidR="00F15C42" w:rsidRDefault="00F15C42" w:rsidP="00F15C42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Список литературы                                                                                            11  </w:t>
      </w:r>
    </w:p>
    <w:p w:rsidR="00F15C42" w:rsidRDefault="00F15C42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F15C42" w:rsidRDefault="00F15C42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922338" w:rsidP="00922338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922338" w:rsidRDefault="00CD200B" w:rsidP="00CD200B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Введение </w:t>
      </w:r>
    </w:p>
    <w:p w:rsidR="00CD200B" w:rsidRDefault="00CD200B" w:rsidP="00CD200B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381418" w:rsidRDefault="009437AC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нефтехимических процессах могут использоваться различные виды углеводородного сырья. Подбор исходного сырья имеет большое значение и нередко оказывает решающее влияние на технико-экономические показатели процесса. Это связано с тем, что в нефтехимических производствах основная доля затрат (65 – 70 %) приходится на сырье. Сырье должно быть доступным, дешевым и иметь стабильный состав, что очень важно для нормальной работы промышленного предприятия.</w:t>
      </w:r>
    </w:p>
    <w:p w:rsidR="009437AC" w:rsidRDefault="009437AC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будет показано ниже, одни и те же виды сырья могут быть получены из разных источников. Точно так же одни и те же продукты могут быть синтезированы из различных видов сырья.</w:t>
      </w:r>
    </w:p>
    <w:p w:rsidR="009437AC" w:rsidRDefault="009437AC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9437AC" w:rsidRDefault="009437AC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9437AC" w:rsidRDefault="009437AC" w:rsidP="009437A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Основные источники сырья</w:t>
      </w:r>
    </w:p>
    <w:p w:rsidR="009437AC" w:rsidRDefault="009437AC" w:rsidP="009437AC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E841EC" w:rsidRDefault="00E841EC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качестве сырья для нефтехимического синтеза применяются различные газообразные, жидкие и твердые углеводороды:           </w:t>
      </w:r>
    </w:p>
    <w:p w:rsidR="00E841EC" w:rsidRDefault="00E841EC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Насыщенные углеводороды (метан, этан, пропан, бутаны и др.);</w:t>
      </w:r>
    </w:p>
    <w:p w:rsidR="00E841EC" w:rsidRDefault="00E841EC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Ненасыщенные углеводороды: моноолефины (этилен, пропилен, бутены, пентены, высшие олефины), ацетилен и диеновые (</w:t>
      </w:r>
      <w:r w:rsidR="00F15C42">
        <w:rPr>
          <w:rFonts w:ascii="Arial" w:hAnsi="Arial" w:cs="Arial"/>
          <w:sz w:val="28"/>
          <w:szCs w:val="28"/>
        </w:rPr>
        <w:t>бутадиен</w:t>
      </w:r>
      <w:r>
        <w:rPr>
          <w:rFonts w:ascii="Arial" w:hAnsi="Arial" w:cs="Arial"/>
          <w:sz w:val="28"/>
          <w:szCs w:val="28"/>
        </w:rPr>
        <w:t xml:space="preserve"> – 1,3, изопрен) углеводороды; </w:t>
      </w:r>
    </w:p>
    <w:p w:rsidR="00E841EC" w:rsidRDefault="00E841EC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Ароматические углеводороды (бензол, толуол, алкилбензолы, нафталин);</w:t>
      </w:r>
    </w:p>
    <w:p w:rsidR="00E841EC" w:rsidRDefault="00E841EC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Алициклические углеводороды: нафтеновые (циклопентан, циклогексан), циклоолефины (циклогексен), циклодиены (циклопентадиен, циклогексадиен и др.).</w:t>
      </w:r>
    </w:p>
    <w:p w:rsidR="00E841EC" w:rsidRDefault="00E841EC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Сырье для нефтехимических производств поставляют нефтяная и газовая промышленность. Синтез ненасыщенных углеводородов осуществляют на специальных установках; они образуются также попутно в процессах нефтепереработки.</w:t>
      </w:r>
    </w:p>
    <w:p w:rsidR="00E841EC" w:rsidRDefault="00636E5F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Основными источниками сырья для нефтехимического синтеза являются:</w:t>
      </w:r>
    </w:p>
    <w:p w:rsidR="00636E5F" w:rsidRDefault="00636E5F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Попутный нефтяной газ;  </w:t>
      </w:r>
    </w:p>
    <w:p w:rsidR="00636E5F" w:rsidRDefault="00636E5F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Газовый бензин; </w:t>
      </w:r>
    </w:p>
    <w:p w:rsidR="00636E5F" w:rsidRDefault="00636E5F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Природный газ;</w:t>
      </w:r>
    </w:p>
    <w:p w:rsidR="00636E5F" w:rsidRDefault="00636E5F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Жидкие и газообразные углеводороды газоконденсатных месторождений; </w:t>
      </w:r>
    </w:p>
    <w:p w:rsidR="00636E5F" w:rsidRDefault="00636E5F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Газы нефтеперерабатывающих заводов; </w:t>
      </w:r>
    </w:p>
    <w:p w:rsidR="00636E5F" w:rsidRDefault="00636E5F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Жидкие нефтепродукты (дистилляты и остатки).</w:t>
      </w:r>
    </w:p>
    <w:p w:rsidR="00636E5F" w:rsidRDefault="00636E5F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Попутный нефтяной газ.</w:t>
      </w:r>
      <w:r w:rsidR="00FE08CB">
        <w:rPr>
          <w:rFonts w:ascii="Arial" w:hAnsi="Arial" w:cs="Arial"/>
          <w:sz w:val="28"/>
          <w:szCs w:val="28"/>
        </w:rPr>
        <w:t xml:space="preserve"> Так принято называть газообразные углеводороды, сопровождающие сырую нефть. В условиях пластового давления газ растворен в нефти и в процессе ее добычи выделяется вследствие снижения давления. При добыче нефти попутный газ отделяют от нефти в специальных сепараторах. Однако при этом в нефти все-таки остается часть растворенных газообразных углеводородов, а в попутный газ переходит некоторое количество легких бензиновых фракций. Для более полного извлечения газообразных</w:t>
      </w:r>
      <w:r w:rsidR="00B036B0">
        <w:rPr>
          <w:rFonts w:ascii="Arial" w:hAnsi="Arial" w:cs="Arial"/>
          <w:sz w:val="28"/>
          <w:szCs w:val="28"/>
        </w:rPr>
        <w:t xml:space="preserve"> углеводородов и снижения последующих </w:t>
      </w:r>
      <w:r w:rsidR="00F15C42">
        <w:rPr>
          <w:rFonts w:ascii="Arial" w:hAnsi="Arial" w:cs="Arial"/>
          <w:sz w:val="28"/>
          <w:szCs w:val="28"/>
        </w:rPr>
        <w:t>потерь,</w:t>
      </w:r>
      <w:r w:rsidR="00B036B0">
        <w:rPr>
          <w:rFonts w:ascii="Arial" w:hAnsi="Arial" w:cs="Arial"/>
          <w:sz w:val="28"/>
          <w:szCs w:val="28"/>
        </w:rPr>
        <w:t xml:space="preserve"> газообразных и жидких  углеводородов нефть подвергают физической стабилизации, а попутный газ вместе с газом стабилизации нефти направляют на газобензиновый завод для извлечения из него жидких углеводородов и разделения на фракции. </w:t>
      </w:r>
    </w:p>
    <w:p w:rsidR="00B036B0" w:rsidRDefault="003E0F6D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Попутный нефтяной газ состоит из ненасыщенных углеводородов от метана до пентанов и обычно содержит некоторое количество инертных газов; попутные газы некоторых месторождений содержат также свободный сероводород. Состав попутных нефтяных газов приведен в таблице 1. Для этих газов характерно высокое содержание метана и наличие значительных количеств ценных углеводородных компонентов – этана, пропана и бутанов. </w:t>
      </w:r>
    </w:p>
    <w:p w:rsidR="003E0F6D" w:rsidRDefault="003E0F6D" w:rsidP="003E0F6D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</w:p>
    <w:p w:rsidR="003E0F6D" w:rsidRDefault="003E0F6D" w:rsidP="003E0F6D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1</w:t>
      </w:r>
    </w:p>
    <w:p w:rsidR="003E0F6D" w:rsidRDefault="003E0F6D" w:rsidP="003E0F6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Состав попутных нефтяных газов некоторых месторождений </w:t>
      </w:r>
      <w:r w:rsidR="00A17D2D">
        <w:rPr>
          <w:rFonts w:ascii="Arial" w:hAnsi="Arial" w:cs="Arial"/>
          <w:sz w:val="28"/>
          <w:szCs w:val="28"/>
        </w:rPr>
        <w:t>России</w:t>
      </w:r>
      <w:r>
        <w:rPr>
          <w:rFonts w:ascii="Arial" w:hAnsi="Arial" w:cs="Arial"/>
          <w:sz w:val="28"/>
          <w:szCs w:val="28"/>
        </w:rPr>
        <w:t xml:space="preserve">            </w:t>
      </w:r>
    </w:p>
    <w:tbl>
      <w:tblPr>
        <w:tblStyle w:val="af4"/>
        <w:tblW w:w="10206" w:type="dxa"/>
        <w:jc w:val="center"/>
        <w:tblLook w:val="01E0" w:firstRow="1" w:lastRow="1" w:firstColumn="1" w:lastColumn="1" w:noHBand="0" w:noVBand="0"/>
      </w:tblPr>
      <w:tblGrid>
        <w:gridCol w:w="3402"/>
        <w:gridCol w:w="1134"/>
        <w:gridCol w:w="1134"/>
        <w:gridCol w:w="1134"/>
        <w:gridCol w:w="1134"/>
        <w:gridCol w:w="1134"/>
        <w:gridCol w:w="1134"/>
      </w:tblGrid>
      <w:tr w:rsidR="00C61DAA">
        <w:trPr>
          <w:jc w:val="center"/>
        </w:trPr>
        <w:tc>
          <w:tcPr>
            <w:tcW w:w="3402" w:type="dxa"/>
            <w:vMerge w:val="restart"/>
            <w:vAlign w:val="center"/>
          </w:tcPr>
          <w:p w:rsidR="003E0F6D" w:rsidRPr="003E0F6D" w:rsidRDefault="003E0F6D" w:rsidP="003E0F6D">
            <w:pPr>
              <w:pStyle w:val="11"/>
              <w:tabs>
                <w:tab w:val="left" w:pos="1125"/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Компоненты</w:t>
            </w:r>
          </w:p>
        </w:tc>
        <w:tc>
          <w:tcPr>
            <w:tcW w:w="1134" w:type="dxa"/>
            <w:gridSpan w:val="6"/>
            <w:vAlign w:val="center"/>
          </w:tcPr>
          <w:p w:rsidR="003E0F6D" w:rsidRPr="003E0F6D" w:rsidRDefault="00C91AAD" w:rsidP="003E0F6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Содержание, объемн. %</w:t>
            </w:r>
          </w:p>
        </w:tc>
      </w:tr>
      <w:tr w:rsidR="00C91AAD">
        <w:trPr>
          <w:jc w:val="center"/>
        </w:trPr>
        <w:tc>
          <w:tcPr>
            <w:tcW w:w="3402" w:type="dxa"/>
            <w:vMerge/>
            <w:vAlign w:val="center"/>
          </w:tcPr>
          <w:p w:rsidR="00C91AAD" w:rsidRPr="003E0F6D" w:rsidRDefault="00C91AAD" w:rsidP="003E0F6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1AAD" w:rsidRPr="003E0F6D" w:rsidRDefault="00C91AAD" w:rsidP="003E0F6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Туймазинское (Башкирская АССР)</w:t>
            </w:r>
          </w:p>
        </w:tc>
        <w:tc>
          <w:tcPr>
            <w:tcW w:w="1134" w:type="dxa"/>
            <w:vAlign w:val="center"/>
          </w:tcPr>
          <w:p w:rsidR="00C91AAD" w:rsidRPr="003E0F6D" w:rsidRDefault="00C91AAD" w:rsidP="003E0F6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Ромашкинское (Татарская АССР)</w:t>
            </w:r>
          </w:p>
        </w:tc>
        <w:tc>
          <w:tcPr>
            <w:tcW w:w="1134" w:type="dxa"/>
            <w:gridSpan w:val="2"/>
            <w:vAlign w:val="center"/>
          </w:tcPr>
          <w:p w:rsidR="00C91AAD" w:rsidRPr="003E0F6D" w:rsidRDefault="00C91AAD" w:rsidP="00C91AAD">
            <w:pPr>
              <w:pStyle w:val="11"/>
              <w:tabs>
                <w:tab w:val="left" w:pos="3285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Шаимское (Ханты-Мансийский нац. округ)</w:t>
            </w:r>
          </w:p>
        </w:tc>
        <w:tc>
          <w:tcPr>
            <w:tcW w:w="1134" w:type="dxa"/>
            <w:gridSpan w:val="2"/>
            <w:vAlign w:val="center"/>
          </w:tcPr>
          <w:p w:rsidR="00C91AAD" w:rsidRPr="003E0F6D" w:rsidRDefault="00C91AAD" w:rsidP="003E0F6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Усть-Балыкское (Тюмень)</w:t>
            </w:r>
          </w:p>
        </w:tc>
      </w:tr>
      <w:tr w:rsidR="00C61DAA">
        <w:trPr>
          <w:trHeight w:hRule="exact" w:val="284"/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A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A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AA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A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AA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AA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AA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Метан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87,7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61,7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Этан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Пропан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18,4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2-Метилпропан (изобутан)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Н-Бутан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2-Метилбутан (изо-пентан)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Н-Пентан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Углеводороды С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и выше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Сероводород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Двуокись углерода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61DAA">
        <w:trPr>
          <w:jc w:val="center"/>
        </w:trPr>
        <w:tc>
          <w:tcPr>
            <w:tcW w:w="3402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Азот</w:t>
            </w:r>
          </w:p>
        </w:tc>
        <w:tc>
          <w:tcPr>
            <w:tcW w:w="1134" w:type="dxa"/>
            <w:vAlign w:val="center"/>
          </w:tcPr>
          <w:p w:rsidR="003E0F6D" w:rsidRPr="00C91AAD" w:rsidRDefault="00C91AAD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5,1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center"/>
          </w:tcPr>
          <w:p w:rsidR="003E0F6D" w:rsidRPr="00C91AAD" w:rsidRDefault="00C61DAA" w:rsidP="00C91AAD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3E0F6D" w:rsidRDefault="003E0F6D" w:rsidP="003E0F6D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B036B0" w:rsidRDefault="00C03FAB" w:rsidP="00C03FAB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Газовый бензин. Это легкая бензиновая фракция, состоящая из насыщенных углеводородов и получаемая в результате отбензинивания попутного газа. Газовые бензины содержат ценные углеводородные компоненты, в частности 2-метилбутан (изопентан) и  н-пентан. Характеристика газовых бензинов приведена в таблице 2.</w:t>
      </w:r>
    </w:p>
    <w:p w:rsidR="00C03FAB" w:rsidRDefault="00C03FAB" w:rsidP="00C03FAB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Таблица 2  </w:t>
      </w:r>
    </w:p>
    <w:p w:rsidR="00C03FAB" w:rsidRDefault="00C03FAB" w:rsidP="00C03FAB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Характеристика газовых бензинов некоторых газобензиновых заводов (ГБЗ) </w:t>
      </w:r>
      <w:r w:rsidR="00A17D2D">
        <w:rPr>
          <w:rFonts w:ascii="Arial" w:hAnsi="Arial" w:cs="Arial"/>
          <w:sz w:val="28"/>
          <w:szCs w:val="28"/>
        </w:rPr>
        <w:t xml:space="preserve">России </w:t>
      </w:r>
    </w:p>
    <w:tbl>
      <w:tblPr>
        <w:tblStyle w:val="af4"/>
        <w:tblW w:w="10206" w:type="dxa"/>
        <w:jc w:val="center"/>
        <w:tblLook w:val="01E0" w:firstRow="1" w:lastRow="1" w:firstColumn="1" w:lastColumn="1" w:noHBand="0" w:noVBand="0"/>
      </w:tblPr>
      <w:tblGrid>
        <w:gridCol w:w="3403"/>
        <w:gridCol w:w="3401"/>
        <w:gridCol w:w="3402"/>
      </w:tblGrid>
      <w:tr w:rsidR="00C03FAB">
        <w:trPr>
          <w:jc w:val="center"/>
        </w:trPr>
        <w:tc>
          <w:tcPr>
            <w:tcW w:w="3403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3401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Туймазинский ГБЗ</w:t>
            </w:r>
          </w:p>
        </w:tc>
        <w:tc>
          <w:tcPr>
            <w:tcW w:w="3402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Минибаевский ГБЗ</w:t>
            </w:r>
          </w:p>
        </w:tc>
      </w:tr>
      <w:tr w:rsidR="00C03FAB">
        <w:trPr>
          <w:trHeight w:hRule="exact" w:val="284"/>
          <w:jc w:val="center"/>
        </w:trPr>
        <w:tc>
          <w:tcPr>
            <w:tcW w:w="3403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3FAB">
        <w:trPr>
          <w:jc w:val="center"/>
        </w:trPr>
        <w:tc>
          <w:tcPr>
            <w:tcW w:w="3403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Относительная плотность</w:t>
            </w:r>
          </w:p>
        </w:tc>
        <w:tc>
          <w:tcPr>
            <w:tcW w:w="3401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0,736</w:t>
            </w:r>
          </w:p>
        </w:tc>
        <w:tc>
          <w:tcPr>
            <w:tcW w:w="3402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C03FAB" w:rsidRDefault="00C03FAB" w:rsidP="00C03FAB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03FAB" w:rsidRDefault="00C03FAB" w:rsidP="00C03FAB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продолжение таблицы 2</w:t>
      </w:r>
    </w:p>
    <w:tbl>
      <w:tblPr>
        <w:tblStyle w:val="af4"/>
        <w:tblW w:w="10206" w:type="dxa"/>
        <w:jc w:val="center"/>
        <w:tblLook w:val="01E0" w:firstRow="1" w:lastRow="1" w:firstColumn="1" w:lastColumn="1" w:noHBand="0" w:noVBand="0"/>
      </w:tblPr>
      <w:tblGrid>
        <w:gridCol w:w="3415"/>
        <w:gridCol w:w="3392"/>
        <w:gridCol w:w="3399"/>
      </w:tblGrid>
      <w:tr w:rsidR="00C03FAB">
        <w:trPr>
          <w:trHeight w:hRule="exact" w:val="284"/>
          <w:jc w:val="center"/>
        </w:trPr>
        <w:tc>
          <w:tcPr>
            <w:tcW w:w="3415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92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03FAB">
        <w:trPr>
          <w:jc w:val="center"/>
        </w:trPr>
        <w:tc>
          <w:tcPr>
            <w:tcW w:w="3415" w:type="dxa"/>
            <w:vAlign w:val="center"/>
          </w:tcPr>
          <w:p w:rsidR="00C03FAB" w:rsidRPr="004C0588" w:rsidRDefault="004C0588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Фракционный состав (по ГОСТ 1576 – 42), 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3392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C03FAB" w:rsidRPr="00C03FAB" w:rsidRDefault="00C03FAB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к.  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– 30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 – 37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50 %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 – 46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90 %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 – 89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к. к.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110 - 114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Углеводородный состав, масс. %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2-метилпропан (изобутан)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12,9 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Следы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н-бутан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12,9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2-метилбутан (изопентан)   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25 - 30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н-пентан 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20 - 25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диметилбутаны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 – 4,5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Метилпентаны 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8,5 – 10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н-гексан 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 5,0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17,4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метилциклопентан 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Циклогексан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бензол 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изогептан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AF25B9">
        <w:trPr>
          <w:jc w:val="center"/>
        </w:trPr>
        <w:tc>
          <w:tcPr>
            <w:tcW w:w="3415" w:type="dxa"/>
            <w:vAlign w:val="center"/>
          </w:tcPr>
          <w:p w:rsidR="00AF25B9" w:rsidRPr="004C0588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Углеводороды С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и выше</w:t>
            </w:r>
          </w:p>
        </w:tc>
        <w:tc>
          <w:tcPr>
            <w:tcW w:w="3392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– 2,5</w:t>
            </w:r>
          </w:p>
        </w:tc>
        <w:tc>
          <w:tcPr>
            <w:tcW w:w="3399" w:type="dxa"/>
            <w:vAlign w:val="center"/>
          </w:tcPr>
          <w:p w:rsidR="00AF25B9" w:rsidRPr="00C03FAB" w:rsidRDefault="00AF25B9" w:rsidP="00C03FAB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C03FAB" w:rsidRDefault="00C03FAB" w:rsidP="00C03FAB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AF25B9" w:rsidRDefault="00AF25B9" w:rsidP="00AF25B9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Природный газ. Природным газом принято называть газ чисто газовых месторождений. По составу он значительно отличается о попутного газа. Содержание метана в природном газе больше, чем в попутном, и может достигать 98 %; содержание углеводородов С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и, особенно, С</w:t>
      </w:r>
      <w:r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 xml:space="preserve"> – С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в природном газе, как правило, невелико. Во многих природных газах содержится значительное количество инертных (</w:t>
      </w:r>
      <w:r>
        <w:rPr>
          <w:rFonts w:ascii="Arial" w:hAnsi="Arial" w:cs="Arial"/>
          <w:sz w:val="28"/>
          <w:szCs w:val="28"/>
          <w:lang w:val="en-US"/>
        </w:rPr>
        <w:t>N</w:t>
      </w:r>
      <w:r w:rsidRPr="00AF25B9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,</w:t>
      </w:r>
      <w:r w:rsidRPr="00AF25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CO</w:t>
      </w:r>
      <w:r w:rsidRPr="00AF25B9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) и редких газов (</w:t>
      </w:r>
      <w:r>
        <w:rPr>
          <w:rFonts w:ascii="Arial" w:hAnsi="Arial" w:cs="Arial"/>
          <w:sz w:val="28"/>
          <w:szCs w:val="28"/>
          <w:lang w:val="en-US"/>
        </w:rPr>
        <w:t>Ar</w:t>
      </w:r>
      <w:r w:rsidRPr="00AF25B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>He</w:t>
      </w:r>
      <w:r>
        <w:rPr>
          <w:rFonts w:ascii="Arial" w:hAnsi="Arial" w:cs="Arial"/>
          <w:sz w:val="28"/>
          <w:szCs w:val="28"/>
        </w:rPr>
        <w:t xml:space="preserve"> и др.). Состав некоторых природных газов приведен в таблице 3. В состав природного газа, так же как и попутного</w:t>
      </w:r>
      <w:r w:rsidR="0043492E">
        <w:rPr>
          <w:rFonts w:ascii="Arial" w:hAnsi="Arial" w:cs="Arial"/>
          <w:sz w:val="28"/>
          <w:szCs w:val="28"/>
        </w:rPr>
        <w:t>, входят только насыщенные углеводороды.</w:t>
      </w:r>
    </w:p>
    <w:p w:rsidR="0043492E" w:rsidRDefault="0043492E" w:rsidP="00AF25B9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43492E" w:rsidRDefault="0043492E" w:rsidP="0043492E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F15C42" w:rsidRDefault="00F15C42" w:rsidP="0043492E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</w:p>
    <w:p w:rsidR="00F15C42" w:rsidRDefault="00F15C42" w:rsidP="0043492E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</w:p>
    <w:p w:rsidR="0043492E" w:rsidRDefault="0043492E" w:rsidP="0043492E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3</w:t>
      </w:r>
    </w:p>
    <w:p w:rsidR="0043492E" w:rsidRDefault="0043492E" w:rsidP="0043492E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Состав природных газов некоторых месторождений </w:t>
      </w:r>
      <w:r w:rsidR="00A17D2D">
        <w:rPr>
          <w:rFonts w:ascii="Arial" w:hAnsi="Arial" w:cs="Arial"/>
          <w:sz w:val="28"/>
          <w:szCs w:val="28"/>
        </w:rPr>
        <w:t>России</w:t>
      </w:r>
    </w:p>
    <w:tbl>
      <w:tblPr>
        <w:tblStyle w:val="af4"/>
        <w:tblW w:w="10206" w:type="dxa"/>
        <w:jc w:val="center"/>
        <w:tblLook w:val="01E0" w:firstRow="1" w:lastRow="1" w:firstColumn="1" w:lastColumn="1" w:noHBand="0" w:noVBand="0"/>
      </w:tblPr>
      <w:tblGrid>
        <w:gridCol w:w="2290"/>
        <w:gridCol w:w="1411"/>
        <w:gridCol w:w="1365"/>
        <w:gridCol w:w="1636"/>
        <w:gridCol w:w="2048"/>
        <w:gridCol w:w="1456"/>
      </w:tblGrid>
      <w:tr w:rsidR="00C61737">
        <w:trPr>
          <w:trHeight w:hRule="exact" w:val="567"/>
          <w:jc w:val="center"/>
        </w:trPr>
        <w:tc>
          <w:tcPr>
            <w:tcW w:w="2290" w:type="dxa"/>
            <w:vMerge w:val="restart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1290"/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Компоненты</w:t>
            </w:r>
          </w:p>
        </w:tc>
        <w:tc>
          <w:tcPr>
            <w:tcW w:w="7916" w:type="dxa"/>
            <w:gridSpan w:val="5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Содержание, объемн. %</w:t>
            </w:r>
          </w:p>
        </w:tc>
      </w:tr>
      <w:tr w:rsidR="00C61737">
        <w:trPr>
          <w:trHeight w:hRule="exact" w:val="1418"/>
          <w:jc w:val="center"/>
        </w:trPr>
        <w:tc>
          <w:tcPr>
            <w:tcW w:w="2290" w:type="dxa"/>
            <w:vMerge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Нибельское (Коми АССР)</w:t>
            </w:r>
          </w:p>
        </w:tc>
        <w:tc>
          <w:tcPr>
            <w:tcW w:w="1365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Дашавское (УССР)</w:t>
            </w:r>
          </w:p>
        </w:tc>
        <w:tc>
          <w:tcPr>
            <w:tcW w:w="1636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Елмано-Курфомское (Саратовская обл.)</w:t>
            </w:r>
          </w:p>
        </w:tc>
        <w:tc>
          <w:tcPr>
            <w:tcW w:w="2048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Северо-Ставропольское</w:t>
            </w:r>
          </w:p>
        </w:tc>
        <w:tc>
          <w:tcPr>
            <w:tcW w:w="1456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Введеновское (Башкирсая АССР)</w:t>
            </w:r>
          </w:p>
        </w:tc>
      </w:tr>
      <w:tr w:rsidR="00C61737">
        <w:trPr>
          <w:trHeight w:hRule="exact" w:val="284"/>
          <w:jc w:val="center"/>
        </w:trPr>
        <w:tc>
          <w:tcPr>
            <w:tcW w:w="2290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5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6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8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56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61737">
        <w:trPr>
          <w:jc w:val="center"/>
        </w:trPr>
        <w:tc>
          <w:tcPr>
            <w:tcW w:w="2290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Метан</w:t>
            </w:r>
          </w:p>
        </w:tc>
        <w:tc>
          <w:tcPr>
            <w:tcW w:w="1411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87,9</w:t>
            </w:r>
          </w:p>
        </w:tc>
        <w:tc>
          <w:tcPr>
            <w:tcW w:w="1365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97,5</w:t>
            </w:r>
          </w:p>
        </w:tc>
        <w:tc>
          <w:tcPr>
            <w:tcW w:w="163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93,3</w:t>
            </w:r>
          </w:p>
        </w:tc>
        <w:tc>
          <w:tcPr>
            <w:tcW w:w="2048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96,86</w:t>
            </w:r>
          </w:p>
        </w:tc>
        <w:tc>
          <w:tcPr>
            <w:tcW w:w="145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70,87</w:t>
            </w:r>
          </w:p>
        </w:tc>
      </w:tr>
      <w:tr w:rsidR="00C61737">
        <w:trPr>
          <w:jc w:val="center"/>
        </w:trPr>
        <w:tc>
          <w:tcPr>
            <w:tcW w:w="2290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Этан</w:t>
            </w:r>
          </w:p>
        </w:tc>
        <w:tc>
          <w:tcPr>
            <w:tcW w:w="1411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365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63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2048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45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C61737">
        <w:trPr>
          <w:jc w:val="center"/>
        </w:trPr>
        <w:tc>
          <w:tcPr>
            <w:tcW w:w="2290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Пропан</w:t>
            </w:r>
          </w:p>
        </w:tc>
        <w:tc>
          <w:tcPr>
            <w:tcW w:w="1411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365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63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48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145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C61737">
        <w:trPr>
          <w:jc w:val="center"/>
        </w:trPr>
        <w:tc>
          <w:tcPr>
            <w:tcW w:w="2290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2-Метилпропан (изобутан)</w:t>
            </w:r>
          </w:p>
        </w:tc>
        <w:tc>
          <w:tcPr>
            <w:tcW w:w="1411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  <w:tc>
          <w:tcPr>
            <w:tcW w:w="1365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63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48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45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C61737">
        <w:trPr>
          <w:jc w:val="center"/>
        </w:trPr>
        <w:tc>
          <w:tcPr>
            <w:tcW w:w="2290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н-Бутан</w:t>
            </w:r>
          </w:p>
        </w:tc>
        <w:tc>
          <w:tcPr>
            <w:tcW w:w="1411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1365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63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048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45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C61737">
        <w:trPr>
          <w:jc w:val="center"/>
        </w:trPr>
        <w:tc>
          <w:tcPr>
            <w:tcW w:w="2290" w:type="dxa"/>
            <w:vAlign w:val="center"/>
          </w:tcPr>
          <w:p w:rsidR="00C61737" w:rsidRPr="0043492E" w:rsidRDefault="00C61737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2-Метилбутан (изопентан)</w:t>
            </w:r>
          </w:p>
        </w:tc>
        <w:tc>
          <w:tcPr>
            <w:tcW w:w="1411" w:type="dxa"/>
            <w:vAlign w:val="center"/>
          </w:tcPr>
          <w:p w:rsidR="00C61737" w:rsidRPr="0043492E" w:rsidRDefault="00C61737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1365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63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2048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56" w:type="dxa"/>
            <w:vAlign w:val="center"/>
          </w:tcPr>
          <w:p w:rsidR="00C61737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CF0E4E">
        <w:trPr>
          <w:jc w:val="center"/>
        </w:trPr>
        <w:tc>
          <w:tcPr>
            <w:tcW w:w="2290" w:type="dxa"/>
            <w:vAlign w:val="center"/>
          </w:tcPr>
          <w:p w:rsidR="00CF0E4E" w:rsidRPr="0043492E" w:rsidRDefault="00CF0E4E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н-Пентан</w:t>
            </w:r>
          </w:p>
        </w:tc>
        <w:tc>
          <w:tcPr>
            <w:tcW w:w="1411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1365" w:type="dxa"/>
            <w:vAlign w:val="center"/>
          </w:tcPr>
          <w:p w:rsidR="00CF0E4E" w:rsidRPr="0043492E" w:rsidRDefault="00CF0E4E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636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048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56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</w:tr>
      <w:tr w:rsidR="00CF0E4E">
        <w:trPr>
          <w:jc w:val="center"/>
        </w:trPr>
        <w:tc>
          <w:tcPr>
            <w:tcW w:w="2290" w:type="dxa"/>
            <w:vAlign w:val="center"/>
          </w:tcPr>
          <w:p w:rsidR="00CF0E4E" w:rsidRPr="00C61737" w:rsidRDefault="00CF0E4E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Углеводороды С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и выше</w:t>
            </w:r>
          </w:p>
        </w:tc>
        <w:tc>
          <w:tcPr>
            <w:tcW w:w="1411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Нет  </w:t>
            </w:r>
          </w:p>
        </w:tc>
        <w:tc>
          <w:tcPr>
            <w:tcW w:w="1365" w:type="dxa"/>
            <w:vAlign w:val="center"/>
          </w:tcPr>
          <w:p w:rsidR="00CF0E4E" w:rsidRPr="0043492E" w:rsidRDefault="00CF0E4E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Нет  </w:t>
            </w:r>
          </w:p>
        </w:tc>
        <w:tc>
          <w:tcPr>
            <w:tcW w:w="1636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Нет  </w:t>
            </w:r>
          </w:p>
        </w:tc>
        <w:tc>
          <w:tcPr>
            <w:tcW w:w="2048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Нет  </w:t>
            </w:r>
          </w:p>
        </w:tc>
        <w:tc>
          <w:tcPr>
            <w:tcW w:w="1456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0,01 </w:t>
            </w:r>
          </w:p>
        </w:tc>
      </w:tr>
      <w:tr w:rsidR="00CF0E4E">
        <w:trPr>
          <w:jc w:val="center"/>
        </w:trPr>
        <w:tc>
          <w:tcPr>
            <w:tcW w:w="2290" w:type="dxa"/>
            <w:vAlign w:val="center"/>
          </w:tcPr>
          <w:p w:rsidR="00CF0E4E" w:rsidRPr="0043492E" w:rsidRDefault="00CF0E4E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Двуокись углерода </w:t>
            </w:r>
          </w:p>
        </w:tc>
        <w:tc>
          <w:tcPr>
            <w:tcW w:w="1411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365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636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048" w:type="dxa"/>
            <w:vAlign w:val="center"/>
          </w:tcPr>
          <w:p w:rsidR="00CF0E4E" w:rsidRPr="0043492E" w:rsidRDefault="00CF0E4E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456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CF0E4E">
        <w:trPr>
          <w:jc w:val="center"/>
        </w:trPr>
        <w:tc>
          <w:tcPr>
            <w:tcW w:w="2290" w:type="dxa"/>
            <w:vAlign w:val="center"/>
          </w:tcPr>
          <w:p w:rsidR="00CF0E4E" w:rsidRPr="0043492E" w:rsidRDefault="00CF0E4E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Азот</w:t>
            </w:r>
          </w:p>
        </w:tc>
        <w:tc>
          <w:tcPr>
            <w:tcW w:w="1411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365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636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2048" w:type="dxa"/>
            <w:vAlign w:val="center"/>
          </w:tcPr>
          <w:p w:rsidR="00CF0E4E" w:rsidRPr="0043492E" w:rsidRDefault="00CF0E4E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56" w:type="dxa"/>
            <w:vAlign w:val="center"/>
          </w:tcPr>
          <w:p w:rsidR="00CF0E4E" w:rsidRPr="0043492E" w:rsidRDefault="00CF0E4E" w:rsidP="0043492E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15,1 </w:t>
            </w:r>
          </w:p>
        </w:tc>
      </w:tr>
    </w:tbl>
    <w:p w:rsidR="0043492E" w:rsidRPr="00AF25B9" w:rsidRDefault="0043492E" w:rsidP="0043492E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B036B0" w:rsidRDefault="00CF0E4E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Жидкие и газообразные углеводороды газоконденсатных месторождений. </w:t>
      </w:r>
      <w:r w:rsidR="00141B41">
        <w:rPr>
          <w:rFonts w:ascii="Arial" w:hAnsi="Arial" w:cs="Arial"/>
          <w:sz w:val="28"/>
          <w:szCs w:val="28"/>
        </w:rPr>
        <w:t>Некоторые газовые месторождения с высоким пластовым давлением отличаются тем, что в газе содержится значительное количество жидких углеводородов. В соответствии с условиями фазового равновесия в надкритической области, при снижении давления эти жидкие углеводороды конденсируются и могут быть отделены от газа (это явление получило название ретроградской конденсации). Жидкость, выделенную из газа, принято называть конденсатом, а месторождения – газоконденсатными.</w:t>
      </w:r>
      <w:r w:rsidR="00607811">
        <w:rPr>
          <w:rFonts w:ascii="Arial" w:hAnsi="Arial" w:cs="Arial"/>
          <w:sz w:val="28"/>
          <w:szCs w:val="28"/>
        </w:rPr>
        <w:t xml:space="preserve"> По составу газ газоконденсатных месторождений близок к природному газу, а конденсат содержит бензиновые и керосиновые фракции. </w:t>
      </w:r>
    </w:p>
    <w:p w:rsidR="00607811" w:rsidRDefault="00F15C42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Характеристика газа и конденсата важнейших газоконденсатных месторождений России приведена в таблице 4. </w:t>
      </w:r>
      <w:r w:rsidR="00607811">
        <w:rPr>
          <w:rFonts w:ascii="Arial" w:hAnsi="Arial" w:cs="Arial"/>
          <w:sz w:val="28"/>
          <w:szCs w:val="28"/>
        </w:rPr>
        <w:t xml:space="preserve">В конденсатах некоторых месторождений содержится до 40 % нафтеновых углеводородов, что делает эти конденсаты ценным сырьем для нефтехимии. </w:t>
      </w:r>
    </w:p>
    <w:p w:rsidR="00607811" w:rsidRDefault="00607811" w:rsidP="00607811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607811" w:rsidRDefault="00607811" w:rsidP="00607811">
      <w:pPr>
        <w:pStyle w:val="11"/>
        <w:tabs>
          <w:tab w:val="left" w:pos="3285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4</w:t>
      </w:r>
    </w:p>
    <w:p w:rsidR="00607811" w:rsidRDefault="00607811" w:rsidP="00607811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Характеристика газа и конденсата некоторых газоконденсатных месторождений </w:t>
      </w:r>
      <w:r w:rsidR="00A17D2D">
        <w:rPr>
          <w:rFonts w:ascii="Arial" w:hAnsi="Arial" w:cs="Arial"/>
          <w:sz w:val="28"/>
          <w:szCs w:val="28"/>
        </w:rPr>
        <w:t xml:space="preserve">России </w:t>
      </w:r>
    </w:p>
    <w:tbl>
      <w:tblPr>
        <w:tblStyle w:val="af4"/>
        <w:tblW w:w="10234" w:type="dxa"/>
        <w:jc w:val="center"/>
        <w:tblLook w:val="01E0" w:firstRow="1" w:lastRow="1" w:firstColumn="1" w:lastColumn="1" w:noHBand="0" w:noVBand="0"/>
      </w:tblPr>
      <w:tblGrid>
        <w:gridCol w:w="1937"/>
        <w:gridCol w:w="1908"/>
        <w:gridCol w:w="1745"/>
        <w:gridCol w:w="1639"/>
        <w:gridCol w:w="1516"/>
        <w:gridCol w:w="1489"/>
      </w:tblGrid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Компоненты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Краснодарское (Россия)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Щебелинское (УССР)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Березянское (Краснодар)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Вуктылское (Коми АССР)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Газлинское (Узбекская ССР)</w:t>
            </w:r>
          </w:p>
        </w:tc>
      </w:tr>
      <w:tr w:rsidR="00EF47A8">
        <w:trPr>
          <w:trHeight w:hRule="exact" w:val="284"/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F47A8">
        <w:trPr>
          <w:jc w:val="center"/>
        </w:trPr>
        <w:tc>
          <w:tcPr>
            <w:tcW w:w="1928" w:type="dxa"/>
            <w:gridSpan w:val="6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 газа, объемн. %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Метан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86,0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93,6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87,7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Этан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Пропан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Бутаны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Углеводороды С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и выше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Двуокись углерода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Азот 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EF47A8">
        <w:trPr>
          <w:jc w:val="center"/>
        </w:trPr>
        <w:tc>
          <w:tcPr>
            <w:tcW w:w="1928" w:type="dxa"/>
            <w:gridSpan w:val="6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Характеристика конденсата  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Фракционный состав:</w:t>
            </w:r>
          </w:p>
        </w:tc>
        <w:tc>
          <w:tcPr>
            <w:tcW w:w="1928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к., 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1928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45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3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16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48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8C02AC">
        <w:trPr>
          <w:trHeight w:val="1345"/>
          <w:jc w:val="center"/>
        </w:trPr>
        <w:tc>
          <w:tcPr>
            <w:tcW w:w="3402" w:type="dxa"/>
            <w:vAlign w:val="center"/>
          </w:tcPr>
          <w:p w:rsidR="008C02AC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Выкипает, объемн. %</w:t>
            </w:r>
          </w:p>
          <w:p w:rsidR="008C02AC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100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1928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45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639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16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89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EF47A8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150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1928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745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63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516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8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8C02AC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200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С </w:t>
            </w:r>
          </w:p>
        </w:tc>
        <w:tc>
          <w:tcPr>
            <w:tcW w:w="1928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745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3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516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48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8C02AC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к. к., 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1928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45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163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315</w:t>
            </w:r>
          </w:p>
        </w:tc>
        <w:tc>
          <w:tcPr>
            <w:tcW w:w="1516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48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8C02AC">
        <w:trPr>
          <w:trHeight w:val="1660"/>
          <w:jc w:val="center"/>
        </w:trPr>
        <w:tc>
          <w:tcPr>
            <w:tcW w:w="3402" w:type="dxa"/>
            <w:vAlign w:val="center"/>
          </w:tcPr>
          <w:p w:rsidR="008C02AC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Групповой состав, масс. %</w:t>
            </w:r>
          </w:p>
          <w:p w:rsidR="008C02AC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Ароматические углеводороды</w:t>
            </w:r>
          </w:p>
        </w:tc>
        <w:tc>
          <w:tcPr>
            <w:tcW w:w="1928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45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39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516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89" w:type="dxa"/>
            <w:vAlign w:val="bottom"/>
          </w:tcPr>
          <w:p w:rsidR="008C02AC" w:rsidRPr="00EF47A8" w:rsidRDefault="008C02AC" w:rsidP="008C02AC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Нафтены</w:t>
            </w:r>
          </w:p>
        </w:tc>
        <w:tc>
          <w:tcPr>
            <w:tcW w:w="1928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45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63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516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8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 </w:t>
            </w:r>
          </w:p>
        </w:tc>
      </w:tr>
      <w:tr w:rsidR="00EF47A8">
        <w:trPr>
          <w:jc w:val="center"/>
        </w:trPr>
        <w:tc>
          <w:tcPr>
            <w:tcW w:w="3402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Парафины </w:t>
            </w:r>
          </w:p>
        </w:tc>
        <w:tc>
          <w:tcPr>
            <w:tcW w:w="1928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45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63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16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89" w:type="dxa"/>
            <w:vAlign w:val="center"/>
          </w:tcPr>
          <w:p w:rsidR="00EF47A8" w:rsidRPr="00EF47A8" w:rsidRDefault="008C02AC" w:rsidP="00EF47A8">
            <w:pPr>
              <w:pStyle w:val="11"/>
              <w:tabs>
                <w:tab w:val="left" w:pos="32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45 </w:t>
            </w:r>
          </w:p>
        </w:tc>
      </w:tr>
    </w:tbl>
    <w:p w:rsidR="00EF47A8" w:rsidRDefault="008C02AC" w:rsidP="008C02A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Газы </w:t>
      </w:r>
      <w:r w:rsidR="00F15C42">
        <w:rPr>
          <w:rFonts w:ascii="Arial" w:hAnsi="Arial" w:cs="Arial"/>
          <w:sz w:val="28"/>
          <w:szCs w:val="28"/>
        </w:rPr>
        <w:t>нефтеперерабатывающих</w:t>
      </w:r>
      <w:r>
        <w:rPr>
          <w:rFonts w:ascii="Arial" w:hAnsi="Arial" w:cs="Arial"/>
          <w:sz w:val="28"/>
          <w:szCs w:val="28"/>
        </w:rPr>
        <w:t xml:space="preserve"> заводов. В нефтезаводских газах содержатся насыщенные и ненасыщенные углеводороды от С</w:t>
      </w:r>
      <w:r>
        <w:rPr>
          <w:rFonts w:ascii="Arial" w:hAnsi="Arial" w:cs="Arial"/>
          <w:sz w:val="28"/>
          <w:szCs w:val="28"/>
          <w:vertAlign w:val="subscript"/>
        </w:rPr>
        <w:t>1</w:t>
      </w:r>
      <w:r>
        <w:rPr>
          <w:rFonts w:ascii="Arial" w:hAnsi="Arial" w:cs="Arial"/>
          <w:sz w:val="28"/>
          <w:szCs w:val="28"/>
        </w:rPr>
        <w:t xml:space="preserve"> до С</w:t>
      </w:r>
      <w:r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>. Кроме того, в состав этих газов обычно входят водород, сероводород и небольшое количество органических сернистых соединений.</w:t>
      </w:r>
    </w:p>
    <w:p w:rsidR="008C02AC" w:rsidRDefault="006D04E0" w:rsidP="008C02A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Состав газа нефтеперерабатывающего завода зависит от того, какие процессы осуществляются на данном заводе. Основным источником газа являются процессы деструктивной переработки нефти (термический и каталитический крекинг, коксование, каталитический риформинг); на установках прямой перегонки нефти выделяется лишь небольшое количество газа (газ, растворенный в нефти). В газах крекинга и коксования наряду с насыщенными углеводородами содержится довольно много олефинов и некоторое количество водорода. Газ каталитического риформинга богат водородом (до 60 объемн. %) и содержит только предельные углеводороды. Такое различие состава газов, выделяющихся при разных процессах нефтепереработки, обуславливает неодинаковый состав газов разных заводов и колебания состава газа даже в пределах одного завода. Нестабильность состава нефтезаводских газов несколько усложняет их переработку.</w:t>
      </w:r>
    </w:p>
    <w:p w:rsidR="006D04E0" w:rsidRPr="008C02AC" w:rsidRDefault="003B50CE" w:rsidP="008C02A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Жидкие нефтепродукты (дистилляты и остатки). В них содержится ряд ценных компонентов, используемых в нефтехимии. Так, в бензинах прямой перегонки и крекинга содержатся пентаны, пентены, циклопентан, метилциклопентан, циклогексан и его гомологи. В керосиновых и газойлевых фракциях присутствуют твердые и жидкие насыщенные углеводороды (так называемый мягкий парафин), а в масляных фракциях – твердые насыщенные углеводороды (твердый парафин). </w:t>
      </w:r>
    </w:p>
    <w:p w:rsidR="00607811" w:rsidRDefault="00607811" w:rsidP="00607811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CF0E4E" w:rsidRDefault="00CF0E4E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CF0E4E" w:rsidRDefault="00CF0E4E" w:rsidP="00E841EC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9437AC" w:rsidRDefault="009437AC" w:rsidP="009437AC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751E64" w:rsidRDefault="00751E64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Требования к углеводородному сырью  </w:t>
      </w: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3B50C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углеводородному сырью для нефтехимических процессов обычно предъявляются значительно более жесткие требования, чем к сырью для переработки нефти. Реакции, используемые в нефтехимическом синтезе, большей частью каталитические или радикально-цепные,  причем для получения требуемых продуктов необходима высокая селективность катализатора, совершенно недопустимы побочные реакции и т. д. Поэтому требуется высокая степень чистоты сырья. Так, для производства этилового спирта</w:t>
      </w:r>
      <w:r w:rsidR="00E3124C">
        <w:rPr>
          <w:rFonts w:ascii="Arial" w:hAnsi="Arial" w:cs="Arial"/>
          <w:sz w:val="28"/>
          <w:szCs w:val="28"/>
        </w:rPr>
        <w:t xml:space="preserve"> прямой гидратацией этилена требуется 97 – 98 % этилен, практически свободный от сероводорода (до 0,002 объемн. %</w:t>
      </w:r>
      <w:r w:rsidR="00E3124C" w:rsidRPr="00E3124C">
        <w:rPr>
          <w:rFonts w:ascii="Arial" w:hAnsi="Arial" w:cs="Arial"/>
          <w:sz w:val="28"/>
          <w:szCs w:val="28"/>
        </w:rPr>
        <w:t xml:space="preserve"> </w:t>
      </w:r>
      <w:r w:rsidR="00E3124C">
        <w:rPr>
          <w:rFonts w:ascii="Arial" w:hAnsi="Arial" w:cs="Arial"/>
          <w:sz w:val="28"/>
          <w:szCs w:val="28"/>
          <w:lang w:val="en-US"/>
        </w:rPr>
        <w:t>H</w:t>
      </w:r>
      <w:r w:rsidR="00E3124C" w:rsidRPr="00E3124C">
        <w:rPr>
          <w:rFonts w:ascii="Arial" w:hAnsi="Arial" w:cs="Arial"/>
          <w:sz w:val="28"/>
          <w:szCs w:val="28"/>
          <w:vertAlign w:val="subscript"/>
        </w:rPr>
        <w:t>2</w:t>
      </w:r>
      <w:r w:rsidR="00E3124C">
        <w:rPr>
          <w:rFonts w:ascii="Arial" w:hAnsi="Arial" w:cs="Arial"/>
          <w:sz w:val="28"/>
          <w:szCs w:val="28"/>
          <w:lang w:val="en-US"/>
        </w:rPr>
        <w:t>S</w:t>
      </w:r>
      <w:r w:rsidR="00E3124C">
        <w:rPr>
          <w:rFonts w:ascii="Arial" w:hAnsi="Arial" w:cs="Arial"/>
          <w:sz w:val="28"/>
          <w:szCs w:val="28"/>
        </w:rPr>
        <w:t xml:space="preserve">). Для производства полиэтилена высокого давления требуется 99,99 % этилен, совершенно свободный от ацетилена, а при получении полиэтилена низкого давления на катализаторах Циглера – 99 % этилен и т. д. Для ряда процессов недопустимо наличие в газе паров воды и двуокиси углерода, а также окиси углерода, сероводорода, аммиака и других реакционноспособных примесей. </w:t>
      </w:r>
    </w:p>
    <w:p w:rsidR="00E3124C" w:rsidRPr="00E3124C" w:rsidRDefault="00E3124C" w:rsidP="003B50CE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Другой особенностью подготовки сырья для нефтехимического синтеза является необходимость разделять компоненты, близкие по температуре кипения или кипящие при очень низких температурах. В связи с указанными особенностями помимо общепринятых процессов ректификации и абсорбции для разделения компонентов используют адсорбцию, азеотропную и экстрактивную перегонку, экстракцию селективными растворителями, кристаллизацию и термодиффузию. В некоторых случаях приходится применять процессы хемосорбции (например,</w:t>
      </w:r>
      <w:r w:rsidR="008062BB">
        <w:rPr>
          <w:rFonts w:ascii="Arial" w:hAnsi="Arial" w:cs="Arial"/>
          <w:sz w:val="28"/>
          <w:szCs w:val="28"/>
        </w:rPr>
        <w:t xml:space="preserve"> выделение бутадиена из бутен-бутадиеновой фракции путем его хемосорбции аммиачным раствором ацетата закисной меди) или осуществлять специальные химические превращения (например, селективное гидрирование при очистке этилена от ацетилена).           </w:t>
      </w: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3B50CE" w:rsidRDefault="003B50CE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8062BB" w:rsidRDefault="008062BB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8062BB" w:rsidRDefault="008062BB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8062BB" w:rsidRDefault="008062BB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8062BB" w:rsidRDefault="008062BB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8062BB" w:rsidRDefault="008062BB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8062BB" w:rsidRDefault="008062BB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8062BB" w:rsidRDefault="008062BB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8062BB" w:rsidRDefault="008062BB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751E64" w:rsidRDefault="00751E64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Список литературы</w:t>
      </w:r>
    </w:p>
    <w:p w:rsidR="00751E64" w:rsidRDefault="00751E64" w:rsidP="00751E64">
      <w:pPr>
        <w:pStyle w:val="11"/>
        <w:tabs>
          <w:tab w:val="left" w:pos="3285"/>
        </w:tabs>
        <w:jc w:val="center"/>
        <w:rPr>
          <w:rFonts w:ascii="Arial" w:hAnsi="Arial" w:cs="Arial"/>
          <w:sz w:val="28"/>
          <w:szCs w:val="28"/>
        </w:rPr>
      </w:pPr>
    </w:p>
    <w:p w:rsidR="00751E64" w:rsidRDefault="00751E64" w:rsidP="00751E64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Лебедев Н. Н. Химия и технология основного органического и нефтехимического синтеза. М.</w:t>
      </w:r>
      <w:r w:rsidR="009437A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Химия. 1988. – 592 с.</w:t>
      </w:r>
    </w:p>
    <w:p w:rsidR="00751E64" w:rsidRDefault="00751E64" w:rsidP="00751E64">
      <w:pPr>
        <w:pStyle w:val="11"/>
        <w:tabs>
          <w:tab w:val="left" w:pos="32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9437AC">
        <w:rPr>
          <w:rFonts w:ascii="Arial" w:hAnsi="Arial" w:cs="Arial"/>
          <w:sz w:val="28"/>
          <w:szCs w:val="28"/>
        </w:rPr>
        <w:t xml:space="preserve"> Паушкин Я. М., Адельсон С. В., Вишнякова Т. П. Технология нефтехимического синтеза. М., 1973. – 448 с.    </w:t>
      </w: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</w:p>
    <w:p w:rsidR="00381418" w:rsidRDefault="00381418" w:rsidP="00EB0397">
      <w:pPr>
        <w:pStyle w:val="11"/>
        <w:tabs>
          <w:tab w:val="left" w:pos="3285"/>
        </w:tabs>
        <w:ind w:firstLine="54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81418" w:rsidSect="00933F62">
      <w:footerReference w:type="default" r:id="rId7"/>
      <w:pgSz w:w="11906" w:h="16838"/>
      <w:pgMar w:top="709" w:right="707" w:bottom="56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C7" w:rsidRDefault="00B60DC7" w:rsidP="009309E6">
      <w:pPr>
        <w:spacing w:after="0" w:line="240" w:lineRule="auto"/>
      </w:pPr>
      <w:r>
        <w:separator/>
      </w:r>
    </w:p>
  </w:endnote>
  <w:endnote w:type="continuationSeparator" w:id="0">
    <w:p w:rsidR="00B60DC7" w:rsidRDefault="00B60DC7" w:rsidP="0093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A8" w:rsidRDefault="00EF47A8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AE4C29">
      <w:rPr>
        <w:noProof/>
      </w:rPr>
      <w:t>1</w:t>
    </w:r>
    <w:r>
      <w:fldChar w:fldCharType="end"/>
    </w:r>
  </w:p>
  <w:p w:rsidR="00EF47A8" w:rsidRDefault="00EF47A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C7" w:rsidRDefault="00B60DC7" w:rsidP="009309E6">
      <w:pPr>
        <w:spacing w:after="0" w:line="240" w:lineRule="auto"/>
      </w:pPr>
      <w:r>
        <w:separator/>
      </w:r>
    </w:p>
  </w:footnote>
  <w:footnote w:type="continuationSeparator" w:id="0">
    <w:p w:rsidR="00B60DC7" w:rsidRDefault="00B60DC7" w:rsidP="0093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9345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50C5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9CB7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508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34CA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C85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929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36B0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76B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427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47F46"/>
    <w:multiLevelType w:val="hybridMultilevel"/>
    <w:tmpl w:val="54604D9C"/>
    <w:lvl w:ilvl="0" w:tplc="94A0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F501AEA"/>
    <w:multiLevelType w:val="hybridMultilevel"/>
    <w:tmpl w:val="1B18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30B9A"/>
    <w:multiLevelType w:val="hybridMultilevel"/>
    <w:tmpl w:val="BBD20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E63A1"/>
    <w:multiLevelType w:val="hybridMultilevel"/>
    <w:tmpl w:val="6A18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0631"/>
    <w:multiLevelType w:val="hybridMultilevel"/>
    <w:tmpl w:val="DEC49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8744B"/>
    <w:multiLevelType w:val="hybridMultilevel"/>
    <w:tmpl w:val="C1E26D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515F8"/>
    <w:multiLevelType w:val="hybridMultilevel"/>
    <w:tmpl w:val="40382886"/>
    <w:lvl w:ilvl="0" w:tplc="8E221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0F61F0"/>
    <w:multiLevelType w:val="hybridMultilevel"/>
    <w:tmpl w:val="1CB0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50AC1"/>
    <w:multiLevelType w:val="hybridMultilevel"/>
    <w:tmpl w:val="517E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2022E"/>
    <w:multiLevelType w:val="hybridMultilevel"/>
    <w:tmpl w:val="7144971C"/>
    <w:lvl w:ilvl="0" w:tplc="F0D2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6155C5"/>
    <w:multiLevelType w:val="hybridMultilevel"/>
    <w:tmpl w:val="041AD334"/>
    <w:lvl w:ilvl="0" w:tplc="0F7439E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193AF2"/>
    <w:multiLevelType w:val="hybridMultilevel"/>
    <w:tmpl w:val="4F7815DE"/>
    <w:lvl w:ilvl="0" w:tplc="C5225F58">
      <w:start w:val="18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790EF8"/>
    <w:multiLevelType w:val="hybridMultilevel"/>
    <w:tmpl w:val="6446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77FF0"/>
    <w:multiLevelType w:val="hybridMultilevel"/>
    <w:tmpl w:val="95B25ABC"/>
    <w:lvl w:ilvl="0" w:tplc="AC54C4A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8"/>
  </w:num>
  <w:num w:numId="5">
    <w:abstractNumId w:val="12"/>
  </w:num>
  <w:num w:numId="6">
    <w:abstractNumId w:val="17"/>
  </w:num>
  <w:num w:numId="7">
    <w:abstractNumId w:val="10"/>
  </w:num>
  <w:num w:numId="8">
    <w:abstractNumId w:val="22"/>
  </w:num>
  <w:num w:numId="9">
    <w:abstractNumId w:val="11"/>
  </w:num>
  <w:num w:numId="10">
    <w:abstractNumId w:val="19"/>
  </w:num>
  <w:num w:numId="11">
    <w:abstractNumId w:val="20"/>
  </w:num>
  <w:num w:numId="12">
    <w:abstractNumId w:val="23"/>
  </w:num>
  <w:num w:numId="13">
    <w:abstractNumId w:val="14"/>
  </w:num>
  <w:num w:numId="14">
    <w:abstractNumId w:val="1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63"/>
  <w:doNotHyphenateCaps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E52"/>
    <w:rsid w:val="0000387E"/>
    <w:rsid w:val="000040D0"/>
    <w:rsid w:val="00010D29"/>
    <w:rsid w:val="00021021"/>
    <w:rsid w:val="00030E4E"/>
    <w:rsid w:val="00031BD0"/>
    <w:rsid w:val="00034FAF"/>
    <w:rsid w:val="000351BE"/>
    <w:rsid w:val="0004745F"/>
    <w:rsid w:val="0005144F"/>
    <w:rsid w:val="0006154E"/>
    <w:rsid w:val="00066EF7"/>
    <w:rsid w:val="00067585"/>
    <w:rsid w:val="00074133"/>
    <w:rsid w:val="000A01E1"/>
    <w:rsid w:val="000A2A68"/>
    <w:rsid w:val="000A7BA6"/>
    <w:rsid w:val="000B0EB7"/>
    <w:rsid w:val="000B1B5A"/>
    <w:rsid w:val="000B31CF"/>
    <w:rsid w:val="000B6BC9"/>
    <w:rsid w:val="000D5767"/>
    <w:rsid w:val="000D71A1"/>
    <w:rsid w:val="000D761F"/>
    <w:rsid w:val="000E45DD"/>
    <w:rsid w:val="000E75DA"/>
    <w:rsid w:val="000E78EC"/>
    <w:rsid w:val="000F24F4"/>
    <w:rsid w:val="0012014F"/>
    <w:rsid w:val="0012276E"/>
    <w:rsid w:val="00127F1A"/>
    <w:rsid w:val="00133738"/>
    <w:rsid w:val="00137BAC"/>
    <w:rsid w:val="00141B41"/>
    <w:rsid w:val="001470D4"/>
    <w:rsid w:val="001471A5"/>
    <w:rsid w:val="00160B32"/>
    <w:rsid w:val="001669D7"/>
    <w:rsid w:val="00167C5F"/>
    <w:rsid w:val="001711F2"/>
    <w:rsid w:val="001846CE"/>
    <w:rsid w:val="001A1BE3"/>
    <w:rsid w:val="001A42B8"/>
    <w:rsid w:val="001A4CF2"/>
    <w:rsid w:val="001A55AE"/>
    <w:rsid w:val="001C5522"/>
    <w:rsid w:val="001D3508"/>
    <w:rsid w:val="001D3FB3"/>
    <w:rsid w:val="001D4959"/>
    <w:rsid w:val="001E4646"/>
    <w:rsid w:val="001F114B"/>
    <w:rsid w:val="001F23F1"/>
    <w:rsid w:val="002111B4"/>
    <w:rsid w:val="002125F3"/>
    <w:rsid w:val="00221B77"/>
    <w:rsid w:val="00221E98"/>
    <w:rsid w:val="0022260A"/>
    <w:rsid w:val="00230CC1"/>
    <w:rsid w:val="0024277E"/>
    <w:rsid w:val="00257398"/>
    <w:rsid w:val="00260CED"/>
    <w:rsid w:val="00265010"/>
    <w:rsid w:val="00266624"/>
    <w:rsid w:val="002829F1"/>
    <w:rsid w:val="00284118"/>
    <w:rsid w:val="002A5D38"/>
    <w:rsid w:val="002B024D"/>
    <w:rsid w:val="002B356B"/>
    <w:rsid w:val="002B486D"/>
    <w:rsid w:val="002C41CF"/>
    <w:rsid w:val="002E0AC2"/>
    <w:rsid w:val="002E11F4"/>
    <w:rsid w:val="002E3D6C"/>
    <w:rsid w:val="002E5265"/>
    <w:rsid w:val="002E6D5E"/>
    <w:rsid w:val="002F1B01"/>
    <w:rsid w:val="002F3783"/>
    <w:rsid w:val="003018E4"/>
    <w:rsid w:val="00316225"/>
    <w:rsid w:val="0031650D"/>
    <w:rsid w:val="00323B00"/>
    <w:rsid w:val="00332125"/>
    <w:rsid w:val="00334F0B"/>
    <w:rsid w:val="00342E36"/>
    <w:rsid w:val="00357D24"/>
    <w:rsid w:val="003626B0"/>
    <w:rsid w:val="00362ECB"/>
    <w:rsid w:val="00366675"/>
    <w:rsid w:val="003674F7"/>
    <w:rsid w:val="00380413"/>
    <w:rsid w:val="00381418"/>
    <w:rsid w:val="00383E0C"/>
    <w:rsid w:val="003918ED"/>
    <w:rsid w:val="003A29E0"/>
    <w:rsid w:val="003A48DA"/>
    <w:rsid w:val="003B3FC7"/>
    <w:rsid w:val="003B50CE"/>
    <w:rsid w:val="003C62D8"/>
    <w:rsid w:val="003D7991"/>
    <w:rsid w:val="003E0F6D"/>
    <w:rsid w:val="00404319"/>
    <w:rsid w:val="004077C9"/>
    <w:rsid w:val="00421AAB"/>
    <w:rsid w:val="00424512"/>
    <w:rsid w:val="0042706D"/>
    <w:rsid w:val="0043492E"/>
    <w:rsid w:val="0045104C"/>
    <w:rsid w:val="0045542B"/>
    <w:rsid w:val="004557B3"/>
    <w:rsid w:val="00463846"/>
    <w:rsid w:val="0047028D"/>
    <w:rsid w:val="004839F8"/>
    <w:rsid w:val="00485A75"/>
    <w:rsid w:val="004A4EE5"/>
    <w:rsid w:val="004B058E"/>
    <w:rsid w:val="004B064B"/>
    <w:rsid w:val="004C0588"/>
    <w:rsid w:val="004C6C5F"/>
    <w:rsid w:val="004C79AE"/>
    <w:rsid w:val="004D3447"/>
    <w:rsid w:val="004D531C"/>
    <w:rsid w:val="004F4859"/>
    <w:rsid w:val="004F4AEF"/>
    <w:rsid w:val="0050331D"/>
    <w:rsid w:val="00506AFC"/>
    <w:rsid w:val="00507920"/>
    <w:rsid w:val="00510144"/>
    <w:rsid w:val="00510427"/>
    <w:rsid w:val="00510DBD"/>
    <w:rsid w:val="00521BCA"/>
    <w:rsid w:val="005230B7"/>
    <w:rsid w:val="00531399"/>
    <w:rsid w:val="00536A12"/>
    <w:rsid w:val="005379A8"/>
    <w:rsid w:val="00542C0F"/>
    <w:rsid w:val="00544C49"/>
    <w:rsid w:val="00550E8C"/>
    <w:rsid w:val="00552933"/>
    <w:rsid w:val="0055309F"/>
    <w:rsid w:val="005835FF"/>
    <w:rsid w:val="00584D94"/>
    <w:rsid w:val="005868BE"/>
    <w:rsid w:val="00594784"/>
    <w:rsid w:val="00595E52"/>
    <w:rsid w:val="005A208D"/>
    <w:rsid w:val="005A3D70"/>
    <w:rsid w:val="005A4A50"/>
    <w:rsid w:val="005B3605"/>
    <w:rsid w:val="005B3CB3"/>
    <w:rsid w:val="005D0E73"/>
    <w:rsid w:val="005D4203"/>
    <w:rsid w:val="005D518A"/>
    <w:rsid w:val="005E6BAF"/>
    <w:rsid w:val="005F414F"/>
    <w:rsid w:val="005F7568"/>
    <w:rsid w:val="005F760F"/>
    <w:rsid w:val="00602FBF"/>
    <w:rsid w:val="00607811"/>
    <w:rsid w:val="006162AA"/>
    <w:rsid w:val="006166D8"/>
    <w:rsid w:val="00617672"/>
    <w:rsid w:val="00636E5F"/>
    <w:rsid w:val="00642F99"/>
    <w:rsid w:val="00644F09"/>
    <w:rsid w:val="00654395"/>
    <w:rsid w:val="00660DF2"/>
    <w:rsid w:val="00662236"/>
    <w:rsid w:val="0066408D"/>
    <w:rsid w:val="00682AAB"/>
    <w:rsid w:val="00682E35"/>
    <w:rsid w:val="0069028E"/>
    <w:rsid w:val="006904F1"/>
    <w:rsid w:val="006916D3"/>
    <w:rsid w:val="00693815"/>
    <w:rsid w:val="0069550D"/>
    <w:rsid w:val="00695E92"/>
    <w:rsid w:val="00697E61"/>
    <w:rsid w:val="006A60BF"/>
    <w:rsid w:val="006B50AD"/>
    <w:rsid w:val="006C4C7F"/>
    <w:rsid w:val="006D04E0"/>
    <w:rsid w:val="006D1C4D"/>
    <w:rsid w:val="006E0893"/>
    <w:rsid w:val="006E168D"/>
    <w:rsid w:val="006E2BFE"/>
    <w:rsid w:val="006E56D8"/>
    <w:rsid w:val="006E5BFC"/>
    <w:rsid w:val="006E5DE2"/>
    <w:rsid w:val="006F33FE"/>
    <w:rsid w:val="006F7615"/>
    <w:rsid w:val="00702BF5"/>
    <w:rsid w:val="007112A5"/>
    <w:rsid w:val="007119A3"/>
    <w:rsid w:val="00714828"/>
    <w:rsid w:val="007157AA"/>
    <w:rsid w:val="00742070"/>
    <w:rsid w:val="00747494"/>
    <w:rsid w:val="007479B5"/>
    <w:rsid w:val="00751E64"/>
    <w:rsid w:val="00751EDD"/>
    <w:rsid w:val="00765FF7"/>
    <w:rsid w:val="007708F5"/>
    <w:rsid w:val="00780063"/>
    <w:rsid w:val="007939F5"/>
    <w:rsid w:val="007A0F5A"/>
    <w:rsid w:val="007A4224"/>
    <w:rsid w:val="007A4F3E"/>
    <w:rsid w:val="007B5927"/>
    <w:rsid w:val="007C165E"/>
    <w:rsid w:val="007C2734"/>
    <w:rsid w:val="007C3BE3"/>
    <w:rsid w:val="007C47E3"/>
    <w:rsid w:val="007C7331"/>
    <w:rsid w:val="007D0FAD"/>
    <w:rsid w:val="007D5126"/>
    <w:rsid w:val="007D5E67"/>
    <w:rsid w:val="007F41C3"/>
    <w:rsid w:val="007F580F"/>
    <w:rsid w:val="008062BB"/>
    <w:rsid w:val="008201DD"/>
    <w:rsid w:val="00823A58"/>
    <w:rsid w:val="0082536B"/>
    <w:rsid w:val="00826972"/>
    <w:rsid w:val="00832F81"/>
    <w:rsid w:val="00835684"/>
    <w:rsid w:val="00835C28"/>
    <w:rsid w:val="00841317"/>
    <w:rsid w:val="00853384"/>
    <w:rsid w:val="0087753B"/>
    <w:rsid w:val="00881566"/>
    <w:rsid w:val="008868F8"/>
    <w:rsid w:val="008906CB"/>
    <w:rsid w:val="0089560D"/>
    <w:rsid w:val="00897021"/>
    <w:rsid w:val="008971AA"/>
    <w:rsid w:val="008A187D"/>
    <w:rsid w:val="008A40D7"/>
    <w:rsid w:val="008A424B"/>
    <w:rsid w:val="008A654D"/>
    <w:rsid w:val="008C02AC"/>
    <w:rsid w:val="008C6A28"/>
    <w:rsid w:val="008D60BA"/>
    <w:rsid w:val="008E329D"/>
    <w:rsid w:val="008E3DC1"/>
    <w:rsid w:val="00902301"/>
    <w:rsid w:val="0090332F"/>
    <w:rsid w:val="00905071"/>
    <w:rsid w:val="009069C4"/>
    <w:rsid w:val="00911E26"/>
    <w:rsid w:val="0091583E"/>
    <w:rsid w:val="009220B6"/>
    <w:rsid w:val="00922338"/>
    <w:rsid w:val="009309E6"/>
    <w:rsid w:val="00933F62"/>
    <w:rsid w:val="0093486A"/>
    <w:rsid w:val="009355D6"/>
    <w:rsid w:val="00935FD5"/>
    <w:rsid w:val="00941098"/>
    <w:rsid w:val="009437AC"/>
    <w:rsid w:val="00965930"/>
    <w:rsid w:val="00973A72"/>
    <w:rsid w:val="00976E79"/>
    <w:rsid w:val="00982B96"/>
    <w:rsid w:val="009835FE"/>
    <w:rsid w:val="0099017F"/>
    <w:rsid w:val="00991984"/>
    <w:rsid w:val="00993D13"/>
    <w:rsid w:val="009C645E"/>
    <w:rsid w:val="009D2152"/>
    <w:rsid w:val="009D6CA5"/>
    <w:rsid w:val="009F1A19"/>
    <w:rsid w:val="009F683D"/>
    <w:rsid w:val="009F6BE8"/>
    <w:rsid w:val="00A1615D"/>
    <w:rsid w:val="00A17D2D"/>
    <w:rsid w:val="00A27D8A"/>
    <w:rsid w:val="00A3398E"/>
    <w:rsid w:val="00A33EF1"/>
    <w:rsid w:val="00A40E85"/>
    <w:rsid w:val="00A44D07"/>
    <w:rsid w:val="00A466A9"/>
    <w:rsid w:val="00A47545"/>
    <w:rsid w:val="00A57BF8"/>
    <w:rsid w:val="00A71F5D"/>
    <w:rsid w:val="00A74220"/>
    <w:rsid w:val="00A74BE4"/>
    <w:rsid w:val="00A85822"/>
    <w:rsid w:val="00AA4337"/>
    <w:rsid w:val="00AB1339"/>
    <w:rsid w:val="00AB190D"/>
    <w:rsid w:val="00AB4D6C"/>
    <w:rsid w:val="00AB55CC"/>
    <w:rsid w:val="00AB5F82"/>
    <w:rsid w:val="00AD509B"/>
    <w:rsid w:val="00AE1E80"/>
    <w:rsid w:val="00AE4C29"/>
    <w:rsid w:val="00AE6076"/>
    <w:rsid w:val="00AF0EDD"/>
    <w:rsid w:val="00AF25B9"/>
    <w:rsid w:val="00AF5B98"/>
    <w:rsid w:val="00B01D98"/>
    <w:rsid w:val="00B031A0"/>
    <w:rsid w:val="00B036B0"/>
    <w:rsid w:val="00B17BDC"/>
    <w:rsid w:val="00B24F5F"/>
    <w:rsid w:val="00B35596"/>
    <w:rsid w:val="00B35F00"/>
    <w:rsid w:val="00B4459F"/>
    <w:rsid w:val="00B44788"/>
    <w:rsid w:val="00B501E0"/>
    <w:rsid w:val="00B514E8"/>
    <w:rsid w:val="00B52289"/>
    <w:rsid w:val="00B60DC7"/>
    <w:rsid w:val="00B640C8"/>
    <w:rsid w:val="00B65D8D"/>
    <w:rsid w:val="00B673E5"/>
    <w:rsid w:val="00B75E91"/>
    <w:rsid w:val="00B81FFE"/>
    <w:rsid w:val="00B85973"/>
    <w:rsid w:val="00B86FD9"/>
    <w:rsid w:val="00B875FE"/>
    <w:rsid w:val="00B949FB"/>
    <w:rsid w:val="00B95400"/>
    <w:rsid w:val="00BA3F51"/>
    <w:rsid w:val="00BA4D73"/>
    <w:rsid w:val="00BB0F38"/>
    <w:rsid w:val="00BB25F8"/>
    <w:rsid w:val="00BC224C"/>
    <w:rsid w:val="00BC6B94"/>
    <w:rsid w:val="00BD111E"/>
    <w:rsid w:val="00BD50C0"/>
    <w:rsid w:val="00BD6C82"/>
    <w:rsid w:val="00BD7A79"/>
    <w:rsid w:val="00BE0B68"/>
    <w:rsid w:val="00BE0E67"/>
    <w:rsid w:val="00BF4095"/>
    <w:rsid w:val="00BF553E"/>
    <w:rsid w:val="00C03FAB"/>
    <w:rsid w:val="00C10ADD"/>
    <w:rsid w:val="00C1216E"/>
    <w:rsid w:val="00C16CB0"/>
    <w:rsid w:val="00C17FAD"/>
    <w:rsid w:val="00C240F9"/>
    <w:rsid w:val="00C30B66"/>
    <w:rsid w:val="00C35333"/>
    <w:rsid w:val="00C355CC"/>
    <w:rsid w:val="00C360C5"/>
    <w:rsid w:val="00C41B22"/>
    <w:rsid w:val="00C61737"/>
    <w:rsid w:val="00C61DAA"/>
    <w:rsid w:val="00C62438"/>
    <w:rsid w:val="00C6724B"/>
    <w:rsid w:val="00C73129"/>
    <w:rsid w:val="00C81760"/>
    <w:rsid w:val="00C910A8"/>
    <w:rsid w:val="00C912C1"/>
    <w:rsid w:val="00C918ED"/>
    <w:rsid w:val="00C91AAD"/>
    <w:rsid w:val="00C91AEA"/>
    <w:rsid w:val="00CA5575"/>
    <w:rsid w:val="00CB5982"/>
    <w:rsid w:val="00CD1C50"/>
    <w:rsid w:val="00CD200B"/>
    <w:rsid w:val="00CE198E"/>
    <w:rsid w:val="00CF0E4E"/>
    <w:rsid w:val="00CF1DD4"/>
    <w:rsid w:val="00CF2904"/>
    <w:rsid w:val="00D12E52"/>
    <w:rsid w:val="00D25022"/>
    <w:rsid w:val="00D33A03"/>
    <w:rsid w:val="00D422B8"/>
    <w:rsid w:val="00D444B9"/>
    <w:rsid w:val="00D46F2C"/>
    <w:rsid w:val="00D570E4"/>
    <w:rsid w:val="00D61DED"/>
    <w:rsid w:val="00D63904"/>
    <w:rsid w:val="00D63D8E"/>
    <w:rsid w:val="00D82DC8"/>
    <w:rsid w:val="00D84330"/>
    <w:rsid w:val="00DA091C"/>
    <w:rsid w:val="00DA2E83"/>
    <w:rsid w:val="00DA70EA"/>
    <w:rsid w:val="00DB250E"/>
    <w:rsid w:val="00DC044D"/>
    <w:rsid w:val="00DC0C3F"/>
    <w:rsid w:val="00DC115B"/>
    <w:rsid w:val="00DD5B79"/>
    <w:rsid w:val="00DE063D"/>
    <w:rsid w:val="00DE1F7B"/>
    <w:rsid w:val="00DE7528"/>
    <w:rsid w:val="00DF7255"/>
    <w:rsid w:val="00DF7F58"/>
    <w:rsid w:val="00E03DC1"/>
    <w:rsid w:val="00E05FE4"/>
    <w:rsid w:val="00E13814"/>
    <w:rsid w:val="00E17261"/>
    <w:rsid w:val="00E243BC"/>
    <w:rsid w:val="00E3124C"/>
    <w:rsid w:val="00E36A94"/>
    <w:rsid w:val="00E402EF"/>
    <w:rsid w:val="00E52EFA"/>
    <w:rsid w:val="00E61185"/>
    <w:rsid w:val="00E674BA"/>
    <w:rsid w:val="00E77E93"/>
    <w:rsid w:val="00E80C04"/>
    <w:rsid w:val="00E817C1"/>
    <w:rsid w:val="00E81AD6"/>
    <w:rsid w:val="00E841EC"/>
    <w:rsid w:val="00E91B11"/>
    <w:rsid w:val="00EA33DD"/>
    <w:rsid w:val="00EB0397"/>
    <w:rsid w:val="00EB06D3"/>
    <w:rsid w:val="00EC61F7"/>
    <w:rsid w:val="00EC65E0"/>
    <w:rsid w:val="00ED1D15"/>
    <w:rsid w:val="00ED31D5"/>
    <w:rsid w:val="00ED67E8"/>
    <w:rsid w:val="00EE0637"/>
    <w:rsid w:val="00EE23BE"/>
    <w:rsid w:val="00EE63EC"/>
    <w:rsid w:val="00EF166B"/>
    <w:rsid w:val="00EF412E"/>
    <w:rsid w:val="00EF47A8"/>
    <w:rsid w:val="00EF4BA1"/>
    <w:rsid w:val="00F10536"/>
    <w:rsid w:val="00F139F1"/>
    <w:rsid w:val="00F15C42"/>
    <w:rsid w:val="00F2194C"/>
    <w:rsid w:val="00F25A9F"/>
    <w:rsid w:val="00F421EE"/>
    <w:rsid w:val="00F44FA4"/>
    <w:rsid w:val="00F55DF0"/>
    <w:rsid w:val="00F565FF"/>
    <w:rsid w:val="00F574A7"/>
    <w:rsid w:val="00F635F7"/>
    <w:rsid w:val="00F744C8"/>
    <w:rsid w:val="00F805E6"/>
    <w:rsid w:val="00F80CC9"/>
    <w:rsid w:val="00FA56A3"/>
    <w:rsid w:val="00FA571B"/>
    <w:rsid w:val="00FB790C"/>
    <w:rsid w:val="00FC4904"/>
    <w:rsid w:val="00FC6B30"/>
    <w:rsid w:val="00FD1E9B"/>
    <w:rsid w:val="00FD54E2"/>
    <w:rsid w:val="00FD6BCA"/>
    <w:rsid w:val="00FE08CB"/>
    <w:rsid w:val="00FE3E94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  <w15:docId w15:val="{BADD94A6-09CE-4A8F-BB26-2964A99E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12E5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309E6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309E6"/>
    <w:pPr>
      <w:keepNext/>
      <w:keepLines/>
      <w:spacing w:before="200" w:after="0"/>
      <w:outlineLvl w:val="2"/>
    </w:pPr>
    <w:rPr>
      <w:rFonts w:ascii="Arial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D12E52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E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12E52"/>
    <w:rPr>
      <w:rFonts w:ascii="Arial" w:eastAsia="Times New Roman" w:hAnsi="Arial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D12E5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2E52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12E52"/>
    <w:rPr>
      <w:i/>
      <w:iCs/>
    </w:rPr>
  </w:style>
  <w:style w:type="character" w:styleId="a7">
    <w:name w:val="Strong"/>
    <w:basedOn w:val="a0"/>
    <w:uiPriority w:val="22"/>
    <w:qFormat/>
    <w:rsid w:val="00D12E52"/>
    <w:rPr>
      <w:b/>
      <w:bCs/>
    </w:rPr>
  </w:style>
  <w:style w:type="character" w:styleId="a8">
    <w:name w:val="Hyperlink"/>
    <w:basedOn w:val="a0"/>
    <w:uiPriority w:val="99"/>
    <w:semiHidden/>
    <w:unhideWhenUsed/>
    <w:rsid w:val="00D12E5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9E6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09E6"/>
    <w:rPr>
      <w:rFonts w:ascii="Arial" w:eastAsia="Times New Roman" w:hAnsi="Arial" w:cs="Times New Roman"/>
      <w:b/>
      <w:bCs/>
      <w:color w:val="4F81BD"/>
    </w:rPr>
  </w:style>
  <w:style w:type="paragraph" w:styleId="a9">
    <w:name w:val="Body Text"/>
    <w:basedOn w:val="a"/>
    <w:link w:val="aa"/>
    <w:semiHidden/>
    <w:rsid w:val="009309E6"/>
    <w:pPr>
      <w:spacing w:after="0" w:line="240" w:lineRule="auto"/>
      <w:jc w:val="both"/>
    </w:pPr>
    <w:rPr>
      <w:sz w:val="24"/>
      <w:szCs w:val="24"/>
    </w:rPr>
  </w:style>
  <w:style w:type="character" w:customStyle="1" w:styleId="aa">
    <w:name w:val="Основний текст Знак"/>
    <w:basedOn w:val="a0"/>
    <w:link w:val="a9"/>
    <w:semiHidden/>
    <w:rsid w:val="009309E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rsid w:val="009309E6"/>
    <w:pPr>
      <w:spacing w:after="0" w:line="240" w:lineRule="auto"/>
      <w:jc w:val="both"/>
    </w:pPr>
    <w:rPr>
      <w:sz w:val="28"/>
      <w:szCs w:val="24"/>
    </w:rPr>
  </w:style>
  <w:style w:type="character" w:customStyle="1" w:styleId="22">
    <w:name w:val="Основний текст 2 Знак"/>
    <w:basedOn w:val="a0"/>
    <w:link w:val="21"/>
    <w:semiHidden/>
    <w:rsid w:val="009309E6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93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309E6"/>
  </w:style>
  <w:style w:type="paragraph" w:styleId="ad">
    <w:name w:val="footer"/>
    <w:basedOn w:val="a"/>
    <w:link w:val="ae"/>
    <w:uiPriority w:val="99"/>
    <w:unhideWhenUsed/>
    <w:rsid w:val="0093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309E6"/>
  </w:style>
  <w:style w:type="paragraph" w:styleId="af">
    <w:name w:val="Document Map"/>
    <w:basedOn w:val="a"/>
    <w:link w:val="af0"/>
    <w:uiPriority w:val="99"/>
    <w:semiHidden/>
    <w:unhideWhenUsed/>
    <w:rsid w:val="0093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309E6"/>
    <w:rPr>
      <w:rFonts w:ascii="Tahoma" w:hAnsi="Tahoma" w:cs="Tahoma"/>
      <w:sz w:val="16"/>
      <w:szCs w:val="16"/>
    </w:rPr>
  </w:style>
  <w:style w:type="paragraph" w:customStyle="1" w:styleId="af1">
    <w:name w:val="Рецензия"/>
    <w:hidden/>
    <w:uiPriority w:val="99"/>
    <w:semiHidden/>
    <w:rsid w:val="005835FF"/>
    <w:rPr>
      <w:sz w:val="22"/>
      <w:szCs w:val="22"/>
    </w:rPr>
  </w:style>
  <w:style w:type="paragraph" w:customStyle="1" w:styleId="af2">
    <w:name w:val="Абзац списка"/>
    <w:basedOn w:val="a"/>
    <w:uiPriority w:val="34"/>
    <w:qFormat/>
    <w:rsid w:val="000E45DD"/>
    <w:pPr>
      <w:ind w:left="720"/>
      <w:contextualSpacing/>
    </w:pPr>
  </w:style>
  <w:style w:type="paragraph" w:customStyle="1" w:styleId="af3">
    <w:name w:val="Без интервала"/>
    <w:uiPriority w:val="1"/>
    <w:qFormat/>
    <w:rsid w:val="000E45DD"/>
    <w:rPr>
      <w:sz w:val="22"/>
      <w:szCs w:val="22"/>
    </w:rPr>
  </w:style>
  <w:style w:type="character" w:customStyle="1" w:styleId="id11">
    <w:name w:val="id11"/>
    <w:basedOn w:val="a0"/>
    <w:rsid w:val="004F4859"/>
  </w:style>
  <w:style w:type="paragraph" w:styleId="HTML">
    <w:name w:val="HTML Preformatted"/>
    <w:basedOn w:val="a"/>
    <w:link w:val="HTML0"/>
    <w:rsid w:val="006E2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 w:right="150"/>
      <w:jc w:val="both"/>
    </w:pPr>
    <w:rPr>
      <w:rFonts w:ascii="Verdana" w:hAnsi="Verdana" w:cs="Courier New"/>
      <w:color w:val="442222"/>
      <w:sz w:val="24"/>
      <w:szCs w:val="24"/>
    </w:rPr>
  </w:style>
  <w:style w:type="character" w:customStyle="1" w:styleId="HTML0">
    <w:name w:val="Стандартний HTML Знак"/>
    <w:basedOn w:val="a0"/>
    <w:link w:val="HTML"/>
    <w:rsid w:val="006E2BFE"/>
    <w:rPr>
      <w:rFonts w:ascii="Verdana" w:eastAsia="Times New Roman" w:hAnsi="Verdana" w:cs="Courier New"/>
      <w:color w:val="442222"/>
      <w:sz w:val="24"/>
      <w:szCs w:val="24"/>
    </w:rPr>
  </w:style>
  <w:style w:type="character" w:customStyle="1" w:styleId="citation">
    <w:name w:val="citation"/>
    <w:basedOn w:val="a0"/>
    <w:rsid w:val="009F6BE8"/>
  </w:style>
  <w:style w:type="paragraph" w:customStyle="1" w:styleId="src">
    <w:name w:val="src"/>
    <w:basedOn w:val="a"/>
    <w:rsid w:val="00DB250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">
    <w:name w:val="Без інтервалів1"/>
    <w:rsid w:val="009F683D"/>
    <w:rPr>
      <w:rFonts w:ascii="Calibri" w:hAnsi="Calibri" w:cs="Calibri"/>
      <w:sz w:val="22"/>
      <w:szCs w:val="22"/>
    </w:rPr>
  </w:style>
  <w:style w:type="table" w:styleId="af4">
    <w:name w:val="Table Grid"/>
    <w:basedOn w:val="a1"/>
    <w:rsid w:val="00C30B6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1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6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Reanimator Extreme Edition</Company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LAN_OS</dc:creator>
  <cp:keywords/>
  <dc:description/>
  <cp:lastModifiedBy>Irina</cp:lastModifiedBy>
  <cp:revision>2</cp:revision>
  <dcterms:created xsi:type="dcterms:W3CDTF">2014-08-02T16:47:00Z</dcterms:created>
  <dcterms:modified xsi:type="dcterms:W3CDTF">2014-08-02T16:47:00Z</dcterms:modified>
</cp:coreProperties>
</file>