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DC7E62">
      <w:pPr>
        <w:pStyle w:val="af7"/>
        <w:spacing w:before="0" w:beforeAutospacing="0" w:after="0" w:afterAutospacing="0" w:line="360" w:lineRule="auto"/>
        <w:ind w:firstLine="567"/>
        <w:rPr>
          <w:sz w:val="48"/>
          <w:lang w:val="uk-UA"/>
        </w:rPr>
      </w:pPr>
      <w:r>
        <w:rPr>
          <w:sz w:val="48"/>
          <w:lang w:val="uk-UA"/>
        </w:rPr>
        <w:t xml:space="preserve">Контрольна робота </w:t>
      </w:r>
    </w:p>
    <w:p w:rsidR="00C1376C" w:rsidRDefault="00DC7E62">
      <w:pPr>
        <w:pStyle w:val="af7"/>
        <w:spacing w:before="0" w:beforeAutospacing="0" w:after="0" w:afterAutospacing="0" w:line="360" w:lineRule="auto"/>
        <w:ind w:firstLine="567"/>
        <w:rPr>
          <w:sz w:val="28"/>
          <w:lang w:val="uk-UA"/>
        </w:rPr>
      </w:pPr>
      <w:r>
        <w:rPr>
          <w:sz w:val="28"/>
          <w:lang w:val="uk-UA"/>
        </w:rPr>
        <w:t>на тему:</w:t>
      </w:r>
    </w:p>
    <w:p w:rsidR="00C1376C" w:rsidRDefault="00DC7E62">
      <w:pPr>
        <w:pStyle w:val="af7"/>
        <w:spacing w:before="0" w:beforeAutospacing="0" w:after="0" w:afterAutospacing="0" w:line="360" w:lineRule="auto"/>
        <w:rPr>
          <w:rFonts w:ascii="Arial" w:hAnsi="Arial" w:cs="Arial"/>
          <w:sz w:val="40"/>
          <w:lang w:val="uk-UA"/>
        </w:rPr>
      </w:pPr>
      <w:r>
        <w:rPr>
          <w:rFonts w:ascii="Arial" w:hAnsi="Arial" w:cs="Arial"/>
          <w:sz w:val="40"/>
          <w:lang w:val="uk-UA"/>
        </w:rPr>
        <w:t xml:space="preserve">ТЕРМІНИ ПОДАННЯ ДЕКЛАРАЦІЇ </w:t>
      </w:r>
    </w:p>
    <w:p w:rsidR="00C1376C" w:rsidRDefault="00DC7E62">
      <w:pPr>
        <w:pStyle w:val="af7"/>
        <w:spacing w:before="0" w:beforeAutospacing="0" w:after="0" w:afterAutospacing="0" w:line="360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  <w:lang w:val="uk-UA"/>
        </w:rPr>
        <w:t>НА ПРИБУТОК ПІДПРИЄМСТВА, ОСОБЛИВОСТІ ЗАПОВНЕННЯ</w:t>
      </w:r>
    </w:p>
    <w:p w:rsidR="00C1376C" w:rsidRDefault="00C1376C">
      <w:pPr>
        <w:pStyle w:val="a5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ind w:firstLine="567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jc w:val="left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jc w:val="left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jc w:val="left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jc w:val="left"/>
        <w:rPr>
          <w:sz w:val="28"/>
          <w:lang w:val="uk-UA"/>
        </w:rPr>
      </w:pPr>
    </w:p>
    <w:p w:rsidR="00C1376C" w:rsidRDefault="00C1376C">
      <w:pPr>
        <w:pStyle w:val="a5"/>
        <w:spacing w:before="0" w:beforeAutospacing="0" w:after="0" w:afterAutospacing="0" w:line="360" w:lineRule="auto"/>
        <w:rPr>
          <w:sz w:val="28"/>
          <w:lang w:val="uk-UA"/>
        </w:rPr>
      </w:pPr>
    </w:p>
    <w:p w:rsidR="00C1376C" w:rsidRDefault="00DC7E62">
      <w:pPr>
        <w:pStyle w:val="a5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  <w:lang w:val="uk-UA"/>
        </w:rPr>
        <w:br w:type="page"/>
        <w:t xml:space="preserve">Загальні положення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Декларація з податку на прибуток підприємства та додатки до неї подаються платником незалежно від того, чи виникло у звітному періоді в платника податкове зобов'язання чи ні.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Декларація заповнюється в тисячах гривень з одним десятковим знаком.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Податок на прибуток за квартал, півріччя, три квартали та рік розраховується за правилами, установленими п.11.1 ст.11 і п.16.4 ст.16 Закону N 334, наростаючим підсумком з початку звітного календарного року.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У декларації зазначаються усі передбачені в ній показники. Якщо будь-який рядок декларації не заповнюється через відсутність операції (суми), то такий рядок прокреслюється, крім випадків, прямо визначених у декларації.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Дані, наведені в декларації, повинні підтверджуватись первинними документами обліку та відповідати податковому обліку (звітності).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Достовірність даних підтверджується підписами керівника і головного бухгалтера та засвідчується печаткою підприємства.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  <w:lang w:val="uk-UA"/>
        </w:rPr>
      </w:pPr>
      <w:r>
        <w:rPr>
          <w:sz w:val="28"/>
          <w:lang w:val="uk-UA"/>
        </w:rPr>
        <w:t>Оригінал декларації з відповідними додатками подається платником до податкового органу за місцезнаходженням платника на одному двосторонньому аркуші форматом А-4 з відповідними додатками на односторонніх аркушах форматом А-4. Подання копій декларації та додатків не дозволяється. Декларація та додатки до неї не підлягають обов’язковому скріпленню між собою (прошнуровуванню).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Декларація заповнюється таким чином, що забезпечує вільне читання тексту (цифр) та збереження цих записів протягом установленого терміну зберігання звітності (друкованим способом, чорнильними або кульковими ручками у синьому або чорному кольорі). Заповнення олівцем не дозволяється.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У декларації не повинно бути підчисток, помарок, виправлень та дописок і закреслень (крім передбачених формою декларації). У декларації не повинні міститися текст або цифри, які неможливо прочитати внаслідок пошкодження аркушів, їх потертості, залиття чорнилом чи іншою рідиною.</w:t>
      </w:r>
    </w:p>
    <w:p w:rsidR="00C1376C" w:rsidRDefault="00DC7E62">
      <w:pPr>
        <w:pStyle w:val="a5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  <w:lang w:val="uk-UA"/>
        </w:rPr>
        <w:br w:type="page"/>
        <w:t>Порядок виправлення самостійно виявлених помилок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Якщо платником самостійно виявлено помилки, що містяться у раніше поданій ним декларації, то відповідно до п. 5.1 ст. 5 Закону N 2181 (з урахуванням строків давності) такий платник має право надати уточнюючий розрахунок.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Платник податку має право не подавати такий розрахунок, якщо такі уточнені показники зазначаються ним у складі податкової декларації за будь-який наступний податковий період, протягом якого такі помилки були виявлені.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Якщо після подачі декларації за звітний період платник податку подає нову декларацію з виправленими показниками до закінчення граничного строку подання декларації за такий самий звітний (податковий) період, то така звітна декларація не вважається уточнюючою, а штрафи, визначені в пункті 17.2 статті 17 Закону N 2181, не застосовуються.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Платник податку, який до початку його перевірки податковим органом самостійно виявляє факт заниження податкового зобов’язання минулих податкових періодів, зобов’язаний: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а) або надіслати уточнюючий розрахунок і сплатити суму такої недоплати та штраф, нарахований відповідно до пункту 17.2 статті 17 Закону N 2181. Уточнюючий розрахунок, який відображає виправлені показники, складається за формою, що додається до цього Порядку;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б) або відобразити суму такої недоплати у складі декларації, що подається за наступний податковий період, збільшену на суму штрафу, нарахованого відповідно до пункту 17.2 статті 17 Закону N 2181, з відповідним збільшенням загальної суми податкового зобов’язання з податку. При цьому виправлення помилок здійснюється шляхом відображення сум раніше занижених (завищених) показників декларацій (валових доходів, витрат та амортизаційних відрахувань) у складі валового доходу (рядок 02.2) та валових витрат (рядок 05.2) того податкового періоду, за який подається звітна декларація. </w:t>
      </w:r>
    </w:p>
    <w:p w:rsidR="00C1376C" w:rsidRDefault="00DC7E62">
      <w:pPr>
        <w:pStyle w:val="a5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  <w:lang w:val="uk-UA"/>
        </w:rPr>
        <w:br w:type="page"/>
        <w:t xml:space="preserve">Порядок заповнення декларації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Декларація складається із заголовної та двох основних частин і одинадцяти додатків, з яких сім (К1-К7) подаються щокварталу, у тому числі за рік, а чотири (Р1-Р4) подаються виключно за рік. Додаток К1 складається з двох частин – К1/1 та К1/2. Частина К1/2 заповнюється платниками податку, які нараховують амортизаційні відрахування на суму витрат, пов’язаних із видобутком корисних копалин. У разі, якщо окремі рядки декларації не заповнюються через відсутність відповідних операцій, платники податку не подають податковому органу передбачені відповідним рядком декларації додатки.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У заголовній частині декларації відображаються повна назва підприємства (відповідно до установчих документів), зареєстрованого в установленому порядку, ідентифікаційний код, код виду економічної діяльності, місцезнаходження та номер телефону платника (факс, електронна адреса - за бажанням). В основній частині та в додатках показники відображаються на підставі норм, установлених Законом N 334.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8142"/>
      </w:tblGrid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Код рядка декларації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Положення Закону N 334,</w:t>
            </w:r>
          </w:p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якими слід керуватися при заповненні рядків декларації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ст.4, п.5.9 ст.5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01.1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пп..4.1.1 п.4.1 ст.4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01.2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п.5.9 ст.5. У разі заповнення цього рядка складається таблиця 1 додатка К1/1. Показник із знаком «–» рядку А графи 6 зазначеної таблиці переноситься у рядок 01.2 декларації без знаку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01.3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 7.10 ст.7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01.4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п.7.6 ст.7. Витрати на придбання цінних паперів та деривативів, здійснені до набрання чинності Законом N 349, визначаються за правилами, установленими пп. 7.6.3 п. 7.6 статті 7 Закону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01.5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п.8.9 ст.8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01.6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пп.4.1.2 – 4.1.6, крім 4.1.5 п.4.1 ст.4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згідно з формулою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02.1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п.5.10 ст.5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02.2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пп.4.1.5 п.4.1 ст.4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02.3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 ст.12, з урахуванням пунктів 5 і 10 Перехідних положень Закону N 349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згідно з формулою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ст.5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п.5.1, пп.5.2.1 п. 5.2 ст.5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 5.9 ст.5. У разі заповнення цього рядка складається таблиця 1 додатка К1/1. Показник із знаком «+» рядка А графи 6 зазначеної таблиці переноситься у рядок 04.2 декларації без знака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п.5.6 ст.5, крім абз. 2-3 пп.5.6.2; пп. 7.8.7 п.7.8 ст.7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 5.7.1 п.5.7 ст.5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абз. 2-3 пп.5.6.2 п.5.6 ст.5, п.1.37 ст.1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пп. 5.2.5 п.5.2 ст.5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п.7.10 ст.7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пп.5.2.2-5.2.3, 5.2.11,5.2.13, 5.2.17 п.5.2 ст.5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п.6.1 ст.6 з урахуванням п.11 Перехідних положень Закону N 349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пп.5.2.10 п.5.2 ст.5, пп.8.7.1 п.8.7 ст.8, частина 2 п.9.5 ст.9. </w:t>
            </w:r>
          </w:p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У разі одночасного заповнення додатків К1/1 та К1/2 у цей рядок переноситься сума рядка 04.10 таблиці 3 додатка К1/1 та рядка 04.10 таблиці 2 додатка К1/2 за відповідний звітний період. При визначенні значень граф рядків 04.10 цих таблиць, які переносяться у рядок 04.10 декларації, обирається найменша: або сума ліміту витрат на поліпшення, що включається до валових витрат, або сума фактичних поліпшень, розрахованих наростаючим підсумком з початку року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п.18.3 ст.18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04.12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ст.5; ст.7; п.8.1.4 п.8.1, пп.8.3.7 п.8.3, п.8.4.3, 8.4.7, 8.4.8, 8.4.10 п.8.4, 8.9.4 п.8.9 ст.8; п.9.5, 9.6 ст.9, п.22.25 ст.22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згідно з формулою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05.1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п.5.10 ст.5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05.2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пп.5.2.7 п.5.2 ст.5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05.3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ст.12 з урахуванням пунктів 5 і 10 Перехідних положень Закону N 349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згідно з формулою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пп.7.9.4 п.7.9 ст.7, ст.8, ст.9. У разі заповнення цього рядка складається таблиця 2 додатка К1/1 та/або таблиця 1 додатку К1/2. У разі одночасного заповнення додатків К1/1 та К1/2 у цей рядок переноситься сума рядка 07 таблиці 2 додатка К1/1 та рядка 07 таблиці 1 додатка К1/2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п.3.1 ст.3 згідно з формулою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п.11 Перехідних положень Закону N 349. У рядку 09 вказується від’ємне значення об’єкта оподаткування, визначене за нормами п.11 Перехідних положень Закону N 349 на підставі результатів інвентаризації балансових збитків за станом на 1 січня 2003 року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п.7.12, п. 7.13, п.7.19, п.7.20 ст.7, п.18.1 ст.18, ст.19, п.22.5 ст.22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згідно з формулою (п.11 перехідних положень Закону N 349)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11.1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п.10.1 ст.10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11.2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 7.13, п. 7.14, ст.7, п.18.1 ст.18, п.22.5 ст.22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сума рядків 12.1 і 12.2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12.1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п.10.1 ст.10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12.2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 7.13, п. 7.14 ст.7, п.18.1 ст.18, п.22.5 ст.22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пп.7.8.3-7.8.4 п.7.8 ст.7, п.16.3 ст.16, пп. 2.1.3 п.2.1 ст.2, п.18.1 ст.18, ст.19, п.22.3 ст.22 (дія цього пункту призупинена на 2003 рік)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згідно з формулою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п.16.4 ст.16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п.16.16 ст.16, п.21.3 ст.21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згідно з формулою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п.16.16 ст.16, п.21.3 ст.21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п.10.2 ст.10, п.13.1-13.2,13.6 ст.13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19.1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п.10.2 ст.10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19.2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п.13.1-13.2,13.6 ст.13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19.3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п.13.5 ст.13 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пп.7.8.2 п.7.8, пп.7.9.4 п.7.9 ст.7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п.4 Прикінцевих положень Закону N 349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П.17.2 ст.17 Закону N 2181</w:t>
            </w:r>
          </w:p>
        </w:tc>
      </w:tr>
      <w:tr w:rsidR="00C1376C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76C" w:rsidRDefault="00DC7E62">
            <w:pPr>
              <w:pStyle w:val="ad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76C" w:rsidRDefault="00DC7E62">
            <w:pPr>
              <w:pStyle w:val="ad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  <w:lang w:val="uk-UA"/>
              </w:rPr>
              <w:t>пп. 12.1.2 п.12.1 ст.12</w:t>
            </w:r>
          </w:p>
        </w:tc>
      </w:tr>
    </w:tbl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Порядок заповнення додатків К2, К4, К5, К6, К7, Р1, Р2, Р3, Р4 визначаються формами цих додатків. Показники, відображені в декларації та у відповідних додатках з однаковим кодом рядків, повинні співпадати. Особливості використання показників додатка К1 визначено в рядках таблиці цього розділу з кодами 01.2, 04.2, 04.10, 07, а додатка К3 у рядку з кодом 01.4. </w:t>
      </w:r>
    </w:p>
    <w:p w:rsidR="00C1376C" w:rsidRDefault="00DC7E62">
      <w:pPr>
        <w:pStyle w:val="a5"/>
        <w:spacing w:before="0" w:beforeAutospacing="0" w:after="0" w:afterAutospacing="0" w:line="360" w:lineRule="auto"/>
        <w:ind w:firstLine="567"/>
        <w:rPr>
          <w:sz w:val="28"/>
        </w:rPr>
      </w:pPr>
      <w:r>
        <w:rPr>
          <w:sz w:val="28"/>
          <w:lang w:val="uk-UA"/>
        </w:rPr>
        <w:t>Строки подання декларації та сплати податку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 xml:space="preserve">Декларація подається платником податку до державного податкового органу для реєстрації протягом 40 календарних днів, наступних за останнім календарним днем звітного (податкового) періоду. 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Сплата податку здійснюється: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до дати подання уточнюючого розрахунку згідно з п.17.2 статті 17 Закону N 2181;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в інших випадках – у строки, визначені пунктом 5.3 статті 5 Закону N 2181.</w:t>
      </w:r>
    </w:p>
    <w:p w:rsidR="00C1376C" w:rsidRDefault="00DC7E62">
      <w:pPr>
        <w:pStyle w:val="a00"/>
        <w:spacing w:before="0" w:beforeAutospacing="0" w:after="0" w:afterAutospacing="0" w:line="360" w:lineRule="auto"/>
        <w:rPr>
          <w:sz w:val="28"/>
        </w:rPr>
      </w:pPr>
      <w:r>
        <w:rPr>
          <w:sz w:val="28"/>
          <w:lang w:val="uk-UA"/>
        </w:rPr>
        <w:t>Якщо останній день строку подання декларації (сплати податку) припадає на вихідний (святковий) день, останнім днем такого строку вважається наступний за вихідним (святковим) операційний (банківський) день.</w:t>
      </w:r>
    </w:p>
    <w:p w:rsidR="00C1376C" w:rsidRDefault="00DC7E62">
      <w:pPr>
        <w:pStyle w:val="a3"/>
        <w:ind w:firstLine="0"/>
        <w:jc w:val="center"/>
        <w:rPr>
          <w:b/>
          <w:bCs/>
          <w:lang w:val="uk-UA"/>
        </w:rPr>
      </w:pPr>
      <w:r>
        <w:br w:type="page"/>
      </w:r>
      <w:r>
        <w:rPr>
          <w:b/>
          <w:bCs/>
          <w:lang w:val="uk-UA"/>
        </w:rPr>
        <w:t>ОСНОВИ ФОРМУВАННЯ ДЕКЛАРАЦІЇ ПРО ДОХОДИ ФІЗИНЧИХ ОСІБ. ТЕРМІНИ ЇЇ ПОДАННЯ</w:t>
      </w:r>
    </w:p>
    <w:p w:rsidR="00C1376C" w:rsidRDefault="00DC7E62">
      <w:pPr>
        <w:pStyle w:val="a3"/>
        <w:rPr>
          <w:lang w:val="uk-UA"/>
        </w:rPr>
      </w:pPr>
      <w:r>
        <w:rPr>
          <w:lang w:val="uk-UA"/>
        </w:rPr>
        <w:t xml:space="preserve">До 1 квітня кожний сумлінний платник податків, що підробляв минулого року не за основним місцем роботи, просто зобов’язаний завітати до рідної податкової інспекції, отримати, заповнити і віддати податківцям декларацію про свої доходи.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Протягом січня-березня 2004 року органи державної податкової служби приймають декларації про сукупний річний дохід громадян, одержаний у 2003 році. І хоча порядок подання громадянами до органів державної податкової служби декларацій про сукупний річний дохід в Україні діє вже з 1993 року, питаннь не меншає.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Декларування доходів – є конституційним обов’язком кожного громадянина. Ст. 67 Конституції України передбачає подання громадянами до податкових інспекцій за місцем проживання декларації про свій майновий стан та доходи за минулий рік у законодавчо встановленому порядку. Порядок подання таких декларацій встановлено статтями 12 та 19 Декрету Кабінету Міністрів України від 26 грудня 1992 року № 13-92 “Про прибутковий податок з громадян” (зі змінами та доповненнями).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1 січня 2004 року набув чинності новий Закон України “Про податок з доходів фізичних осіб” від 22 травня 2003 року (№ 889-IV), який вносить суттєві зміни до порядку оподаткування та декларування доходів громадян. Цей Закон замінив Декрет Кабінету Міністрыв України “Про прибутковий податок з громадян” (далі – Декрет). Однак, враховуючи те, що минулого року ще діяв зазначений Декрет, громадяни повинні декларувати свої доходи згідно з його вимогами.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Декларацію про доходи подають: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Громадяни, які мали постійне проживання в Україні, тобто проживали на території України більше 183 днів протягом календарного року та які протягом 2003 року одержали доходи не за місцем основної роботи, служби, навчання.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Громадяни, які мали постійне проживання в Україні, і які, поряд з доходами із джерел в Україні за основним чи не основним місцем роботи або за основним місцем роботи разом з неосновним місцем роботи, одержували доходи за межами України.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Громадяни, які протягом календарного року не мали місця основної роботи, але одержували доходи з різних джерел як в Україні, так і за її межами: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одержували несистематичні доходи від здавання вторинної сировини;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матеріальну допомогу;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доходи від продажу лому дорогоцінних металів;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доходи у вигляді авторської винагороди (гонорари за публікацію статей у пресі);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доходи від операцій купівлі-продажу акцій та інших корпоративних прав незалежно від обсягів таких операцій та від того, здійснювались ці операції за основним чи не за основним місцем роботи;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отримували винагороду за кордоном, тощо.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 бажаннім подають декларацію громадяни, які протягом 2003 року одержували доходи не за основним місцем роботи у розмірі, що не перевищує 1 тис. 95 грн. на рік.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Відповідно до пп. “в” п. 1 ст. 5 Декрету Кабінету Міністрів України “Про прибутковий податок з громадян” до сукупного оподатковуваного доходу не включаються державні пенсії, а також додаткові пенсії, що виплачуються за умови добровільного страхування пенсій.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громадянин протягом календарного року одержував пенсію і доходи тільки за основним місцем роботи (де ведеться трудова книжка), то декларацію про доходи подавати до податкової інспекції не потрібно. </w:t>
      </w:r>
    </w:p>
    <w:p w:rsidR="00C1376C" w:rsidRDefault="00DC7E6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Декларація про доходи подається громадянами особисто або надсилається поштою до районної податкової інспекції за місцем проживання (реєстрації). </w:t>
      </w:r>
    </w:p>
    <w:p w:rsidR="00C1376C" w:rsidRDefault="00C1376C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C137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E62"/>
    <w:rsid w:val="00C1376C"/>
    <w:rsid w:val="00CE0B8A"/>
    <w:rsid w:val="00D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3BC7B-BB40-439F-9C12-54D8413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7">
    <w:name w:val="af7"/>
    <w:basedOn w:val="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a5">
    <w:name w:val="a5"/>
    <w:basedOn w:val="a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a00">
    <w:name w:val="a0"/>
    <w:basedOn w:val="a"/>
    <w:pPr>
      <w:spacing w:before="100" w:beforeAutospacing="1" w:after="100" w:afterAutospacing="1"/>
      <w:ind w:firstLine="567"/>
      <w:jc w:val="both"/>
    </w:pPr>
    <w:rPr>
      <w:color w:val="000000"/>
      <w:sz w:val="22"/>
      <w:szCs w:val="22"/>
    </w:rPr>
  </w:style>
  <w:style w:type="paragraph" w:customStyle="1" w:styleId="ad">
    <w:name w:val="ad"/>
    <w:basedOn w:val="a"/>
    <w:pPr>
      <w:spacing w:before="100" w:beforeAutospacing="1" w:after="100" w:afterAutospacing="1"/>
    </w:pPr>
    <w:rPr>
      <w:sz w:val="22"/>
      <w:szCs w:val="22"/>
    </w:rPr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СКЛАДАННЯ ДЕКЛАРАЦІЇ З ПОДАТКУ НА ПРИБУТОК ПІДПРИЄМСТВА</vt:lpstr>
    </vt:vector>
  </TitlesOfParts>
  <Manager>Право. Міжнародні відносини</Manager>
  <Company> Право. Міжнародні відносини</Company>
  <LinksUpToDate>false</LinksUpToDate>
  <CharactersWithSpaces>12815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СКЛАДАННЯ ДЕКЛАРАЦІЇ З ПОДАТКУ НА ПРИБУТОК ПІДПРИЄМСТВА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2014-04-25T16:38:00Z</dcterms:created>
  <dcterms:modified xsi:type="dcterms:W3CDTF">2014-04-25T16:38:00Z</dcterms:modified>
  <cp:category>Право. Міжнародні відносини</cp:category>
</cp:coreProperties>
</file>