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EF" w:rsidRDefault="00EF25EF" w:rsidP="00D21464">
      <w:pPr>
        <w:pStyle w:val="1"/>
      </w:pPr>
    </w:p>
    <w:p w:rsidR="00D21464" w:rsidRDefault="00D21464" w:rsidP="00D21464">
      <w:pPr>
        <w:pStyle w:val="1"/>
      </w:pPr>
      <w:r>
        <w:t>Толлинг</w:t>
      </w:r>
    </w:p>
    <w:p w:rsidR="00D21464" w:rsidRDefault="00D21464" w:rsidP="00D21464">
      <w:pPr>
        <w:spacing w:line="360" w:lineRule="auto"/>
        <w:ind w:firstLine="708"/>
        <w:jc w:val="both"/>
      </w:pPr>
    </w:p>
    <w:p w:rsidR="00D21464" w:rsidRDefault="00D21464" w:rsidP="00D21464">
      <w:pPr>
        <w:spacing w:line="360" w:lineRule="auto"/>
        <w:ind w:firstLine="708"/>
        <w:jc w:val="both"/>
      </w:pP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Толлинг (производство продукции на давальческом сырье) как один из существующих методов управления предприятием сочетает в себе элементы внутренней реорганизации и оптимизации управления (упрощение структуры управления) и элементы адаптации к усложнению внешнего окружения (кооперация с фирмой, проводящей более эффективную маркетинговую политику).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В соответствии с Гражданским кодексом РФ схема производства на давальческом сырье - это производственная деятельность, связанная с переработкой на условиях договора подряда сырья заказчика с передачей ему готовой продукции, принадлежащей заказч</w:t>
      </w:r>
      <w:r>
        <w:t>ику на правах собственности</w:t>
      </w:r>
      <w:r w:rsidRPr="0043198B">
        <w:t>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В экономической литературе встречается несколько определений толлинга. Например, толлинг – импорт сырья с обязательным последующим экспортом продуктов обработки за границу, или, толлинг – переработка давальческого сырья (импортного и российского происхождения) в таможенном режиме «переработка под та</w:t>
      </w:r>
      <w:r>
        <w:t>моженным контролем»</w:t>
      </w:r>
      <w:r w:rsidRPr="0043198B">
        <w:t>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 xml:space="preserve">Наиболее точное и полное определение дает «Экономический словарь» издательства Harper Collins. Толлинг в современной экономической терминологии - это производственная деятельность, связанная с переработкой ввозимого из-за рубежа сырья, принадлежащего на правах собственности иностранному партнеру по бизнесу, с последующим вывозом готовой продукции, также принадлежащей владельцу сырья. 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Ввиду принципиальной близости давальческую схему производства и толлинг в экономической литературе часто смешивают, так как существует определенный дрейф понятий в сторону взаимного сближения, так в толлинге, например, в настоящее время выделяют внутренний толлинг, а само производство на давальческом сырье часто называют толлингом.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Как следует из определений, понятие «схема производства на давальческом сырье» - несколько более широкое, чем понятие «толлинг», так как при толлинге заказчиком является не просто организация, а организация, имеющая иностранный статус, и при передаче сырья на переработку и вывозе готовой продукции товарно-материальные ценности не просто делают круг «собственник</w:t>
      </w:r>
      <w:r>
        <w:t xml:space="preserve"> – </w:t>
      </w:r>
      <w:r w:rsidRPr="0043198B">
        <w:t>подрядчик</w:t>
      </w:r>
      <w:r>
        <w:t xml:space="preserve"> </w:t>
      </w:r>
      <w:r w:rsidRPr="0043198B">
        <w:t>-</w:t>
      </w:r>
      <w:r>
        <w:t xml:space="preserve"> </w:t>
      </w:r>
      <w:r w:rsidRPr="0043198B">
        <w:t>собствен</w:t>
      </w:r>
      <w:r>
        <w:t>н</w:t>
      </w:r>
      <w:r w:rsidRPr="0043198B">
        <w:t>ик», а пересекают при этом таможенную границу.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Вышеприведенное определение толлинга относится к внешнему или классическому толлингу. Существует также понятие внутреннего (или условно-внутреннего) толлинга, единственное отличие которого от внешнего заключается в том, что иностранный партнер не ввозит сырье из-за рубежа, а закупает его внутри страны и здесь же перерабатывает его на условиях толлингового соглашения.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 xml:space="preserve">В реальной отечественной практике кроме указанных вариантов толлинга существует еще один. Он характеризуется тем, что все три экономических агента данной схемы производства (поставщик сырья – посредник – изготовитель продукции) являются российскими предприятиями, при этом давальческое сырье имеет внутреннее происхождение и поэтому не пересекает таможенную границу. Подобная схема производства на давальческом сырье имеет признаки и внутреннего толлинга, и производства в условиях договора подряда. Предлагаемое название этого варианта толлинга и его отличительные особенности приведены ниже. 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Так как в предлагаемой работе акцент будет делаться на моментах, которые никак не связаны нюансами подобных отличий между вариантами толлинга или деятельностью в условиях договора подряда, то в процессе сравнительного анализа в рамках настоящей работы к схеме производства на давальческом сырье применяются понятия «толлинг» и «толлинговое соглашение».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При классическом толлинге давальческое сырье является по составу сырьевых компонентов практически самодостаточным для производства продукции, например: шерсть или хлопок для производства пряжи; молоко, рыба или мясо для производства молочных, рыбных или мясных продуктов; зерно при производстве муки и т.д.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При классическом толлинге собственник сырья является и собственником конечной продукции. Он обеспечивает производство партнера основным сырьем и вспомогательными материалами, он же, как собственник, несет все риски сбытовой политики. Переработчик сырья имеет свой интерес, заключающийся в том, что, получая оплату за переработку исходного сырья в готовый продукт, он не озабочен ни материальным обеспечением производства, ни разработкой стратегии сбыта.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 xml:space="preserve">Так как при толлинге производственный процесс изготовления и реализации конечной продукции разделен между партнерами, то системы управления предприятием у каждого участника производственного процесса структурно упрощаются по сравнению с вариантом полного производственного цикла на одном предприятии. Подобная кооперация позволяет каждому партнеру повысить эффективность своей системы управления за счет специализации на более однородных функциях. </w:t>
      </w:r>
    </w:p>
    <w:p w:rsidR="00D21464" w:rsidRPr="0043198B" w:rsidRDefault="00D21464" w:rsidP="00D21464">
      <w:pPr>
        <w:spacing w:line="360" w:lineRule="auto"/>
        <w:ind w:firstLine="708"/>
        <w:jc w:val="both"/>
      </w:pPr>
      <w:r w:rsidRPr="0043198B">
        <w:t>Посредник (он же - собственник сырья и готовой продукции) может вступать в толлинговые отношения одновременно с несколькими изготовителями, распределяя, таким образом, материальные и финансовые потоки между своими контрагентами. Это распределение может быть обусловлено в каждый конкретный момент времени как состоянием рыночной конъюнктуры на отдельных географических рынках сырья и сбыта готовой продукции, так и техническим состоянием производства отдельного партнера. Как следствие, возможность выбора обеспечивает возможность оптимального планирования.</w:t>
      </w:r>
    </w:p>
    <w:p w:rsidR="00D21464" w:rsidRDefault="00D21464" w:rsidP="00D21464">
      <w:pPr>
        <w:spacing w:line="360" w:lineRule="auto"/>
        <w:ind w:firstLine="708"/>
        <w:jc w:val="both"/>
      </w:pPr>
      <w:r w:rsidRPr="0043198B">
        <w:t>Непосредственный изготовитель конечной продукции, вступая в толлинговые отношения с посредником, перекладывает ответственность за снабженческо-сбытовую деятельность на заказчика готового товара, концентрируя свое внимание на качестве продукции и обеспечении возможности быстрого наращивания при необходимости объемов производства. Как следствие, структура управления становится более однородной по функциям и, укомплектованная специалистами – производственниками, становится более близкой и понятной тем, кто непосредственно создает товар.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Толлинговые внешнеторговые операции широко распространены в мировой экономической практике (в пищевой, ликеро-водочной, текстильной, швейной, перерабатывающей промышленности, черной и цветной металлургии, металлообработке, химической и горнорудной отраслях). Толлинг возникает не только как экономический диктат в силу исторически сложившегося неравноправия партнеров, но и как взаимовыгодное партнерство между развитыми в экономическом отношен</w:t>
      </w:r>
      <w:r>
        <w:t>ии странами</w:t>
      </w:r>
      <w:r w:rsidRPr="00806A89">
        <w:t>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Использование толлинга экономически эффективно в следующих случаях: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 xml:space="preserve">при переработке сырья выгодно использовать дешевую рабочую силу развивающихся стран (в случае, если это не приводит к потере качества готового продукта); 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 xml:space="preserve">страна - поставщик сырья не имеет достаточных мощностей по его переработке; 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 xml:space="preserve">внутренняя переработка сырья нежелательна по экологическим соображениям; </w:t>
      </w:r>
    </w:p>
    <w:p w:rsidR="00D21464" w:rsidRPr="00030317" w:rsidRDefault="00D21464" w:rsidP="00D21464">
      <w:pPr>
        <w:spacing w:line="360" w:lineRule="auto"/>
        <w:jc w:val="both"/>
        <w:rPr>
          <w:color w:val="000000"/>
        </w:rPr>
      </w:pPr>
      <w:r w:rsidRPr="00806A89">
        <w:t xml:space="preserve">источники дешевого сырья и дешевой электроэнергии расположены в </w:t>
      </w:r>
      <w:r w:rsidRPr="00030317">
        <w:rPr>
          <w:color w:val="000000"/>
        </w:rPr>
        <w:t xml:space="preserve">противоположных точках земного шара. 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>Толлинг давно практикуется в алюминиевом бизнесе как форма международной кооперации, удешевляющая стоимость металла. К примеру, норвежская фирма “Hydro Aluminium”, используя дешевую электроэнергию, ежегодно производит сотни тысяч тонн металла по толлинговым соглашениям с американскими заводами. Дополнительно возникающие транспортные расходы оказываются меньше, чем экономия на электроэнергии, так как в структуре цены алюминия доля затрат на электр</w:t>
      </w:r>
      <w:r>
        <w:rPr>
          <w:color w:val="000000"/>
        </w:rPr>
        <w:t>оэнергию весьма значительна</w:t>
      </w:r>
      <w:r w:rsidRPr="00030317">
        <w:rPr>
          <w:color w:val="000000"/>
        </w:rPr>
        <w:t>.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 xml:space="preserve">В условиях современной России, как и везде в мире, традиционный толлинг развивается и экономически обоснован в специфических перерабатывающих отраслях. Но существуют и особые случаи возникновения подобной схемы организации производства, не свойственные для устойчиво работающей развитой экономики, которые обусловлены условиями переходного периода или стремлением к централизации управления в отрасли. 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>Примером могут служить толлинговые операции, применяемые с 1992 года в алюминиевой промышленности России. Причиной подобной схемы производства послужили недостаток оборотных средств в условиях кризиса неплатежей и одновременно высокие ставки банковского процента за кредиты, необходимые для закупки исходного сырья, в значительной мере импортного (Al2O3 - глинозем, после распада СССР, оказался на территории независимых государств Украины и Казахстана – Николаевский и П</w:t>
      </w:r>
      <w:r>
        <w:rPr>
          <w:color w:val="000000"/>
        </w:rPr>
        <w:t>авлодарский глиноземные заводы)</w:t>
      </w:r>
      <w:r w:rsidRPr="00030317">
        <w:rPr>
          <w:color w:val="000000"/>
        </w:rPr>
        <w:t>.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>Впервые схема была использована на Братском алюминиевом заводе. Его примеру последовали Саянский, Волгоградский и другие алюминиевые заводы России. Тогда в 1992 году платежеспособный спрос на рынке алюминия резко сократился, мощности простаивали, грозила полная остановка производства. Возродить производство на уровне, сравнимом с проектными мощностями, не позволяла нехватка оборотных средств. Выход был найден в заключении толлингового договора с инофирма</w:t>
      </w:r>
      <w:r>
        <w:rPr>
          <w:color w:val="000000"/>
        </w:rPr>
        <w:t>ми</w:t>
      </w:r>
      <w:r w:rsidRPr="00030317">
        <w:rPr>
          <w:color w:val="000000"/>
        </w:rPr>
        <w:t>.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 xml:space="preserve">Итак, в критический момент появились некие структуры, которые, имея необходимые финансовые средства, готовы были закупить и предоставить, как свою собственность, основные исходные компоненты для производства, но на условиях приобретения права собственности на конечный продукт. Правовой базой возникающих взаимоотношений являлся договор подряда (это закреплено в Гражданском кодексе РФ), согласно которому собственником продукции является собственник материалов. 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 xml:space="preserve">К середине 1994 года из общего объема российского производства экспортировалось около 70 % алюминия. Без использования толлинга экспорт существенно сократился бы. Для алюминиевых заводов выгодность была очевидна, тем более что на первоначальном этапе переработка давальческого сырья была отнесена к категории экспорта услуг и налогом на добавленную стоимость не облагалась (однако в конце ноября 1994 года эта льгота была отменена). </w:t>
      </w:r>
    </w:p>
    <w:p w:rsidR="00D21464" w:rsidRPr="00030317" w:rsidRDefault="00D21464" w:rsidP="00D21464">
      <w:pPr>
        <w:spacing w:line="360" w:lineRule="auto"/>
        <w:ind w:firstLine="708"/>
        <w:jc w:val="both"/>
        <w:rPr>
          <w:color w:val="000000"/>
        </w:rPr>
      </w:pPr>
      <w:r w:rsidRPr="00030317">
        <w:rPr>
          <w:color w:val="000000"/>
        </w:rPr>
        <w:t>Ситуация, сложившаяся в России в черной металлургии, по тем же причинам была аналогична. Здесь был применен модифицированный вариант толлинга - условно-внутренний толлинг. Иностранная фирма с использованием своего капитала выступала посредником между российскими предприятиями. В Лебединском и Михайловском ГОКах закупалась железная руда, на Алтайском и Кемеровском коксохимзаводах - кокс. Исходная руда и энергоносители передавались на давальческой основе с оплатой услуг изготовления на предприятия черной металлургии “Тулачермет”, Орско-Халиловский металлургический комбинат и Косогорский металлургический завод. Таким образом, благодаря толлингу несколько десятков тысяч работников на семи предприятиях</w:t>
      </w:r>
      <w:r>
        <w:rPr>
          <w:color w:val="000000"/>
        </w:rPr>
        <w:t xml:space="preserve"> сохранили рабочие места</w:t>
      </w:r>
      <w:r w:rsidRPr="00030317">
        <w:rPr>
          <w:color w:val="000000"/>
        </w:rPr>
        <w:t>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 xml:space="preserve">В данной схеме имеется преимущество по сравнению с толлингом в алюминиевой промышленности - здесь нет импортных таможенных пошлин, так как сырье отечественное. Если же цены на исходное сырье возрастают по инициативе предприятий-поставщиков руды и кокса до величины, превышающей цену на импортное сырье с учетом таможенных пошлин, то сырье начинает ввозиться из-за рубежа. Поэтому здесь толлинг создает нормальную конкуренцию среди поставщиков. Российские поставщики вследствие конкуренции вынуждены проводить мероприятия по снижению себестоимости. 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Развитие многоступенчатого бартера и реализация давальческих стратегий стали следствием системного кризиса хозяйственного механизма всей страны. Но данные схемы возникали не только в силу объективных обстоятельств. При внедрении этих стратегий предприятия проявляли немалую изобретательность, перехватывая каналы сбыта готовой продукции своих непосредственных поставщико</w:t>
      </w:r>
      <w:r>
        <w:t>в или своих потребителей</w:t>
      </w:r>
      <w:r w:rsidRPr="00806A89">
        <w:t>. Перевод поставщиков на давальческое сырье позволяет устанавливать цены на поставки значительно ниже рыночных, что дает возможность существенно снижать себестоимость собственной продукции.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>Суть процесса изменения экономических отношений схематично изображена на рис. 1</w:t>
      </w:r>
      <w:r>
        <w:t>.3 (начальное состояние) и рис. 1.4 и 1.5</w:t>
      </w:r>
      <w:r w:rsidRPr="00806A89">
        <w:t xml:space="preserve"> (конечное состояние).</w:t>
      </w:r>
    </w:p>
    <w:p w:rsidR="00D21464" w:rsidRPr="00A27DDC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4.25pt;height:71.25pt">
            <v:imagedata r:id="rId4" o:title=""/>
          </v:shape>
        </w:pict>
      </w:r>
    </w:p>
    <w:p w:rsidR="00D21464" w:rsidRPr="00A27DDC" w:rsidRDefault="00D21464" w:rsidP="00D21464">
      <w:pPr>
        <w:pStyle w:val="10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Рисунок</w:t>
      </w:r>
      <w:r w:rsidRPr="00A27DDC">
        <w:rPr>
          <w:rFonts w:ascii="Times New Roman" w:hAnsi="Times New Roman" w:cs="Times New Roman"/>
          <w:b w:val="0"/>
        </w:rPr>
        <w:t xml:space="preserve"> 1.</w:t>
      </w:r>
      <w:r>
        <w:rPr>
          <w:rFonts w:ascii="Times New Roman" w:hAnsi="Times New Roman" w:cs="Times New Roman"/>
          <w:b w:val="0"/>
        </w:rPr>
        <w:t>3.</w:t>
      </w:r>
      <w:r w:rsidRPr="00A27DDC">
        <w:rPr>
          <w:rFonts w:ascii="Times New Roman" w:hAnsi="Times New Roman" w:cs="Times New Roman"/>
          <w:b w:val="0"/>
        </w:rPr>
        <w:t xml:space="preserve"> Схема поставок сырья и полуфабрикатов в условиях «без толлинга»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 xml:space="preserve">Суть процесса заключается в следующем. Предприятие «С», используя свободные финансовые средства или кредитные ресурсы, скупает сырье у предприятия «А» и меняет товарообменные отношения, переводя предприятие «В» из поставщика товаров в поставщика услуг. Это возможно, если предприятие «В» не может купить требуемые ресурсы у другого поставщика. При этом предприятие «В» попадает в толлинговую зависимость, так как цены на услуги изготовления полуфабрикатов диктует его потребитель (см. рис. </w:t>
      </w:r>
      <w:r>
        <w:t>1.4</w:t>
      </w:r>
      <w:r w:rsidRPr="00806A89">
        <w:t>).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alt="" style="width:404.25pt;height:134.25pt">
            <v:imagedata r:id="rId5" o:title=""/>
          </v:shape>
        </w:pict>
      </w:r>
    </w:p>
    <w:p w:rsidR="00D21464" w:rsidRDefault="00D21464" w:rsidP="00D21464">
      <w:pPr>
        <w:pStyle w:val="10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Рисунок 1.4</w:t>
      </w:r>
      <w:r w:rsidRPr="00A27DDC">
        <w:rPr>
          <w:rFonts w:ascii="Times New Roman" w:hAnsi="Times New Roman" w:cs="Times New Roman"/>
          <w:b w:val="0"/>
        </w:rPr>
        <w:t>. Схема поставок сырья и полуфабрикатов в условиях толлинговой зависимости изготовителя полуфабрикатов</w:t>
      </w:r>
    </w:p>
    <w:p w:rsidR="00D21464" w:rsidRPr="00A27DDC" w:rsidRDefault="00D21464" w:rsidP="00D21464">
      <w:pPr>
        <w:pStyle w:val="10"/>
        <w:spacing w:line="360" w:lineRule="auto"/>
        <w:rPr>
          <w:rFonts w:ascii="Times New Roman" w:hAnsi="Times New Roman" w:cs="Times New Roman"/>
          <w:b w:val="0"/>
        </w:rPr>
      </w:pP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Другой случай. Предприятие «А» скупает полуфабрикаты у предприятия «В» и меняет товарообменные отношения, переводя предприятие «С» на давальческое сырье. При этом предприятие «С» попадает в толлинговую зависимость, так как готовая продукция теперь принадлежит предприятию «А», а цены на услуги изготовления готовой продукции из исходного сырья диктует п</w:t>
      </w:r>
      <w:r>
        <w:t>оставщик этого сырья (см. рис. 1.5</w:t>
      </w:r>
      <w:r w:rsidRPr="00806A89">
        <w:t>).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Описание различных вариантов схем производства на давальческом сырье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В зависимости от местонахождения партнеров по бизнесу и перемещения сырья в процессе переработки через таможенные границы в различных литературных источниках в настоящий момент выделяется четко внешний и внутренний толлинг. Однако в реальной практике российской экономики можно выделить еще один вид толлинга, характеризующийся отличными от первых двух параметрами толлингового взаимодействия. С учетом последнего, можно дать следующую классификацию вариантов толлинга:</w:t>
      </w:r>
    </w:p>
    <w:p w:rsidR="00D21464" w:rsidRPr="00806A89" w:rsidRDefault="00D21464" w:rsidP="00D21464">
      <w:pPr>
        <w:spacing w:line="360" w:lineRule="auto"/>
        <w:ind w:firstLine="720"/>
        <w:jc w:val="both"/>
      </w:pPr>
      <w:r w:rsidRPr="00806A89">
        <w:t xml:space="preserve">внешний ( или классический) толлинг; </w:t>
      </w:r>
    </w:p>
    <w:p w:rsidR="00D21464" w:rsidRPr="00806A89" w:rsidRDefault="00D21464" w:rsidP="00D21464">
      <w:pPr>
        <w:spacing w:line="360" w:lineRule="auto"/>
        <w:ind w:firstLine="720"/>
        <w:jc w:val="both"/>
      </w:pPr>
      <w:r w:rsidRPr="00806A89">
        <w:t xml:space="preserve">внутренний (или условно-внутренний) толлинг; </w:t>
      </w:r>
    </w:p>
    <w:p w:rsidR="00D21464" w:rsidRPr="00806A89" w:rsidRDefault="00D21464" w:rsidP="00D21464">
      <w:pPr>
        <w:spacing w:line="360" w:lineRule="auto"/>
        <w:ind w:firstLine="720"/>
        <w:jc w:val="both"/>
      </w:pPr>
      <w:r w:rsidRPr="00806A89">
        <w:t xml:space="preserve">псевдотоллинг (предлагаемое обозначение). 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>Внешний (классический) толлинг</w:t>
      </w:r>
    </w:p>
    <w:p w:rsidR="00D21464" w:rsidRPr="00806A89" w:rsidRDefault="00D21464" w:rsidP="00D21464">
      <w:pPr>
        <w:spacing w:line="360" w:lineRule="auto"/>
        <w:jc w:val="both"/>
      </w:pPr>
      <w:r w:rsidRPr="00806A89">
        <w:t xml:space="preserve">Внешний толлинг возникает, когда страна, владеющая сырьевыми ресурсами технологически не способна или не желает на месте перерабатывать сырье, но заинтересована в получении готового продукта из данного сырья. 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alt="" style="width:404.25pt;height:179.25pt">
            <v:imagedata r:id="rId6" o:title=""/>
          </v:shape>
        </w:pict>
      </w:r>
    </w:p>
    <w:p w:rsidR="00D21464" w:rsidRPr="00A27DDC" w:rsidRDefault="00D21464" w:rsidP="00D21464">
      <w:pPr>
        <w:spacing w:line="360" w:lineRule="auto"/>
        <w:jc w:val="both"/>
      </w:pPr>
      <w:r>
        <w:t>Рисунок 1.5</w:t>
      </w:r>
      <w:r w:rsidRPr="00A27DDC">
        <w:t xml:space="preserve"> Схема поставок сырья и полуфабрикатов в условиях толлинговой зависимости изготовителя готовой продукции</w:t>
      </w:r>
    </w:p>
    <w:p w:rsidR="00D21464" w:rsidRDefault="00D21464" w:rsidP="00D21464">
      <w:pPr>
        <w:spacing w:line="360" w:lineRule="auto"/>
        <w:jc w:val="both"/>
      </w:pPr>
    </w:p>
    <w:p w:rsidR="00D21464" w:rsidRPr="00A27DDC" w:rsidRDefault="00D21464" w:rsidP="00D21464">
      <w:pPr>
        <w:spacing w:line="360" w:lineRule="auto"/>
        <w:ind w:firstLine="708"/>
        <w:jc w:val="both"/>
      </w:pPr>
      <w:r w:rsidRPr="00A27DDC">
        <w:t>В свою очередь страна - изготовитель готовой продукции готова перерабатывать сырье, но не нуждается во всем объеме изготовленного продукта, поэтому возвращает его в</w:t>
      </w:r>
      <w:r>
        <w:t>ладельцу исходного сырья (рис. 1.6</w:t>
      </w:r>
      <w:r w:rsidRPr="00A27DDC">
        <w:t>, вариант А1) или обязуется по договору реализовать конечную продукцию на рынке страны поставщика сырья или другом согласованном месте, но за пределами таможенной территории, гд</w:t>
      </w:r>
      <w:r>
        <w:t>е сырье перерабатывалось (рис. 1.6</w:t>
      </w:r>
      <w:r w:rsidRPr="00A27DDC">
        <w:t>, вариант А2).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alt="" style="width:431.25pt;height:294pt">
            <v:imagedata r:id="rId7" o:title=""/>
          </v:shape>
        </w:pict>
      </w:r>
    </w:p>
    <w:p w:rsidR="00D21464" w:rsidRPr="00A27DDC" w:rsidRDefault="00D21464" w:rsidP="00D21464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Рисунок  1.6</w:t>
      </w:r>
      <w:r w:rsidRPr="00A27DDC">
        <w:rPr>
          <w:rFonts w:ascii="Times New Roman" w:hAnsi="Times New Roman" w:cs="Times New Roman"/>
          <w:b w:val="0"/>
        </w:rPr>
        <w:t>. Варианты схем внешнего (классического) толлинга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 xml:space="preserve">Следующие нижеприведенные варианты схем </w:t>
      </w:r>
      <w:r>
        <w:t>с посредником (рис. 1.7</w:t>
      </w:r>
      <w:r w:rsidRPr="00806A89">
        <w:t>, варианты В1 и В2) возникают по двум причинам. Первая – партнеры по бизнесу по различным причинам не могут установить деловые контакты, поэтому необходим посредник. Вторая – владелец исходного сырья не заинтересован поставлять сырье на условиях толлинга, а изготовитель готовой продукции не имеет средств на закупку сырья. Функция посредника заключается в закупке сырья у поставщика на условиях договора поставки и предоставлении его изготовителю на условиях толлинга. Реализация изготовленного продукта ведется посредником, являющимся в силу толлингового соглашения собственником готовой продукции.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Внутренний (условно-внутренний) толлинг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Данный вариант толлинга характеризуется тем, что исходное сырье не пересекает таможенную границу, так как поставщик сырья и изготовитель готовой продукции наход</w:t>
      </w:r>
      <w:r>
        <w:t>ятся в одной стране (рис. 1.8</w:t>
      </w:r>
      <w:r w:rsidRPr="00806A89">
        <w:t>). Причина возникновения – острый недостаток в условиях экономического кризиса оборотных средств у обоих партнеров по бизнесу (поставщика сырья и изготовителя готовой продукции).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alt="" style="width:458.25pt;height:253.5pt">
            <v:imagedata r:id="rId8" o:title=""/>
          </v:shape>
        </w:pict>
      </w:r>
    </w:p>
    <w:p w:rsidR="00D21464" w:rsidRPr="008021F6" w:rsidRDefault="00D21464" w:rsidP="00D21464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Рисунок 1.7</w:t>
      </w:r>
      <w:r w:rsidRPr="008021F6">
        <w:rPr>
          <w:rFonts w:ascii="Times New Roman" w:hAnsi="Times New Roman" w:cs="Times New Roman"/>
          <w:b w:val="0"/>
        </w:rPr>
        <w:t>. Варианты схем внешнего (классического) толлинга с посредником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Как следствие, посредником может выступать иностранная фирма, так как отечественные кредитные учреждения не желают в силу рискованности или недальновидности вкладывать деньги в производство. Так, в 1993 году Олег Сосковец (в качестве главы Роскомметаллургии) пробовал собрать российских банкиров и уговорить их помочь алюминиевой отрасли и черной металлургии, поместив в них свои капиталы. Однако в тот момент отечественные финансисты имели более легкоприбыльные занятия: спекуляция валютой или покупка</w:t>
      </w:r>
      <w:r>
        <w:t xml:space="preserve"> только что появившихся ГКО</w:t>
      </w:r>
      <w:r w:rsidRPr="00806A89">
        <w:t>.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alt="" style="width:458.25pt;height:156.75pt">
            <v:imagedata r:id="rId9" o:title=""/>
          </v:shape>
        </w:pict>
      </w:r>
    </w:p>
    <w:p w:rsidR="00D21464" w:rsidRPr="008021F6" w:rsidRDefault="00D21464" w:rsidP="00D21464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Рисунок 1.8</w:t>
      </w:r>
      <w:r w:rsidRPr="008021F6">
        <w:rPr>
          <w:rFonts w:ascii="Times New Roman" w:hAnsi="Times New Roman" w:cs="Times New Roman"/>
          <w:b w:val="0"/>
        </w:rPr>
        <w:t>. Схема внутреннего толлинга</w:t>
      </w:r>
    </w:p>
    <w:p w:rsidR="00D21464" w:rsidRDefault="00D21464" w:rsidP="00D21464">
      <w:pPr>
        <w:pStyle w:val="5"/>
      </w:pP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Схем</w:t>
      </w:r>
      <w:r>
        <w:t xml:space="preserve">атично </w:t>
      </w:r>
      <w:r w:rsidRPr="008021F6">
        <w:rPr>
          <w:b/>
        </w:rPr>
        <w:t xml:space="preserve">псевдотоллинг </w:t>
      </w:r>
      <w:r>
        <w:t>(см. рис. 1.9</w:t>
      </w:r>
      <w:r w:rsidRPr="00806A89">
        <w:t xml:space="preserve">) похож на варианты условно-внутреннего толлинга, однако по происхождению и по сути отличается. Имеется два главных отличия. 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 xml:space="preserve">Первое – предприятия-поставщики сырья и предприятия-изготовители готовой продукции не испытывают недостатка в оборотных средствах и, следовательно, не нуждаются в финансовых и снабженческо-сбытовых посредниках. 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Второе – фирма-посредник является отечественной организацией. Посредник, имея достаточные финансовые средства, перехватывает на рынке каналы сбыта сырья или полуфабрикатов и принудительно переводит партнеров по бизнесу на давальческое сырье. В частном случае давальческая схема вводится посредником, обладающим хотя и не законодательной, но фактически реальной административной властью над предприятиями своей отрасли. Внедрение толлинговой схемы производства имеет цель с помощью данного механизма перераспределить прибыль от реализации готовой продукции в пользу предприятий отрасли, напрямую не участвующих в производстве готовой продукции.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Так как все участники производственной схемы являются отечественными организациями, то хозяйственные взаимоотношения между ними регламентируются Гражданским кодексом РФ, в частности, за неимением более соответствующей статьи, договором подряда (глава 37 ГК РФ).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>Однако существуют отличия данного варианта толлинга и от деятельности в условиях договора подряда, при котором не нужен посредник, так как стороны взаимно заинтересованы в соглашении между собой. К тому же заказчик не может в силу отсутствия должной квалификации выполнить самостоятельно определенные работы, для исполнения которых он и ищет подрядчика. Классический пример – специализированная строительно-монтажная организация, монтирующая объекты из комплектующих и материалов заказчика.</w:t>
      </w:r>
    </w:p>
    <w:p w:rsidR="00D21464" w:rsidRPr="00806A89" w:rsidRDefault="00D21464" w:rsidP="00D21464">
      <w:pPr>
        <w:spacing w:line="360" w:lineRule="auto"/>
        <w:ind w:firstLine="708"/>
        <w:jc w:val="both"/>
      </w:pPr>
      <w:r w:rsidRPr="00806A89">
        <w:t xml:space="preserve">Так как рассмотренная схема производства имеет признаки и договора подряда, и внутреннего толлинга, а также и отличия от указанных схем, то в данной работе предлагается следующее название этой схемы – псевдотоллинг. </w:t>
      </w:r>
    </w:p>
    <w:p w:rsidR="00D21464" w:rsidRPr="00806A89" w:rsidRDefault="007D35B7" w:rsidP="00D21464">
      <w:pPr>
        <w:pStyle w:val="pi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alt="" style="width:449.25pt;height:332.25pt">
            <v:imagedata r:id="rId10" o:title=""/>
          </v:shape>
        </w:pict>
      </w:r>
    </w:p>
    <w:p w:rsidR="00D21464" w:rsidRPr="008021F6" w:rsidRDefault="00D21464" w:rsidP="00D21464">
      <w:pPr>
        <w:pStyle w:val="1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Рисунок 1.9 </w:t>
      </w:r>
      <w:r w:rsidRPr="008021F6">
        <w:rPr>
          <w:rFonts w:ascii="Times New Roman" w:hAnsi="Times New Roman" w:cs="Times New Roman"/>
          <w:b w:val="0"/>
        </w:rPr>
        <w:t xml:space="preserve"> Сравнительная схема производства в условиях договора подряда и псевдотоллинга</w:t>
      </w:r>
    </w:p>
    <w:p w:rsidR="00D21464" w:rsidRPr="00030317" w:rsidRDefault="00D21464" w:rsidP="00D21464">
      <w:pPr>
        <w:pStyle w:val="a3"/>
        <w:rPr>
          <w:rFonts w:ascii="Times New Roman" w:hAnsi="Times New Roman" w:cs="Times New Roman"/>
          <w:color w:val="000000"/>
        </w:rPr>
      </w:pPr>
    </w:p>
    <w:p w:rsidR="00D21464" w:rsidRPr="0043198B" w:rsidRDefault="00D21464" w:rsidP="00D21464"/>
    <w:p w:rsidR="00D21464" w:rsidRPr="00AE1500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D21464" w:rsidRDefault="00D21464" w:rsidP="00D21464">
      <w:pPr>
        <w:rPr>
          <w:b/>
          <w:bCs/>
        </w:rPr>
      </w:pPr>
    </w:p>
    <w:p w:rsidR="005C60F7" w:rsidRDefault="005C60F7">
      <w:bookmarkStart w:id="0" w:name="_GoBack"/>
      <w:bookmarkEnd w:id="0"/>
    </w:p>
    <w:sectPr w:rsidR="005C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464"/>
    <w:rsid w:val="004F0AC3"/>
    <w:rsid w:val="005C60F7"/>
    <w:rsid w:val="007D35B7"/>
    <w:rsid w:val="00D21464"/>
    <w:rsid w:val="00EF25EF"/>
    <w:rsid w:val="00F0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A04F368-DBD3-480A-9A27-387C4CB3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64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21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D214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146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pic">
    <w:name w:val="pic"/>
    <w:basedOn w:val="a"/>
    <w:rsid w:val="00D2146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10">
    <w:name w:val="Название объекта1"/>
    <w:basedOn w:val="a"/>
    <w:rsid w:val="00D2146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Толлинг</vt:lpstr>
    </vt:vector>
  </TitlesOfParts>
  <Company>Home</Company>
  <LinksUpToDate>false</LinksUpToDate>
  <CharactersWithSpaces>17803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Толлинг</dc:title>
  <dc:subject/>
  <dc:creator>Монгалёв</dc:creator>
  <cp:keywords/>
  <dc:description/>
  <cp:lastModifiedBy>admin</cp:lastModifiedBy>
  <cp:revision>2</cp:revision>
  <dcterms:created xsi:type="dcterms:W3CDTF">2014-04-25T11:06:00Z</dcterms:created>
  <dcterms:modified xsi:type="dcterms:W3CDTF">2014-04-25T11:06:00Z</dcterms:modified>
</cp:coreProperties>
</file>