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САНКТ ПЕТЕРБУРГСКАЯ АКАДЕМИЯ УПРАВЛЕНИЯ И ЭКОНОМИКИ</w:t>
      </w: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КАФЕДРА ФИНАНСЫ И КРЕДИТ</w:t>
      </w: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bCs/>
          <w:sz w:val="32"/>
          <w:szCs w:val="32"/>
        </w:rPr>
        <w:t>КУРСОВАЯ РАБОТА</w:t>
      </w: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sz w:val="28"/>
          <w:szCs w:val="28"/>
        </w:rPr>
        <w:t>По дисциплине</w:t>
      </w:r>
      <w:r>
        <w:t>:</w:t>
      </w:r>
      <w:r>
        <w:rPr>
          <w:b/>
          <w:bCs/>
          <w:sz w:val="28"/>
          <w:szCs w:val="28"/>
        </w:rPr>
        <w:t xml:space="preserve"> </w:t>
      </w:r>
      <w:r>
        <w:rPr>
          <w:b/>
          <w:bCs/>
          <w:sz w:val="32"/>
          <w:szCs w:val="32"/>
        </w:rPr>
        <w:t>Финансы предприятий</w:t>
      </w: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sz w:val="28"/>
          <w:szCs w:val="28"/>
        </w:rPr>
        <w:t>На тему:</w:t>
      </w:r>
      <w:r>
        <w:rPr>
          <w:b/>
          <w:bCs/>
          <w:sz w:val="32"/>
          <w:szCs w:val="32"/>
        </w:rPr>
        <w:t xml:space="preserve"> «Инвестиционная политика организаций (предприятий) и ее финансовые результаты»</w:t>
      </w: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Выполнил студент</w:t>
      </w: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группа 1351/4</w:t>
      </w: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 xml:space="preserve">Голубенко Д.В. </w:t>
      </w: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Проверил:</w:t>
      </w: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Румянцева А. Ю.</w:t>
      </w: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г. Санкт – Петербург</w:t>
      </w:r>
    </w:p>
    <w:p w:rsidR="00F33DF0" w:rsidRDefault="00F33DF0" w:rsidP="00F33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2006 г.</w:t>
      </w:r>
    </w:p>
    <w:p w:rsidR="00F74823" w:rsidRDefault="00F74823" w:rsidP="00F74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color w:val="000000"/>
          <w:sz w:val="28"/>
          <w:szCs w:val="28"/>
        </w:rPr>
      </w:pPr>
      <w:r>
        <w:rPr>
          <w:color w:val="000000"/>
          <w:sz w:val="28"/>
          <w:szCs w:val="28"/>
        </w:rPr>
        <w:t>Содержание.</w:t>
      </w:r>
    </w:p>
    <w:p w:rsidR="00F74823" w:rsidRPr="00E21FC0"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Pr>
          <w:color w:val="000000"/>
          <w:sz w:val="28"/>
          <w:szCs w:val="28"/>
        </w:rPr>
        <w:t>Введение</w:t>
      </w: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color w:val="000000"/>
          <w:sz w:val="28"/>
          <w:szCs w:val="28"/>
        </w:rPr>
        <w:t xml:space="preserve">Глав </w:t>
      </w:r>
      <w:r w:rsidRPr="00E21FC0">
        <w:rPr>
          <w:color w:val="000000"/>
          <w:sz w:val="28"/>
          <w:szCs w:val="28"/>
        </w:rPr>
        <w:t>1</w:t>
      </w:r>
      <w:r>
        <w:rPr>
          <w:color w:val="000000"/>
          <w:sz w:val="28"/>
          <w:szCs w:val="28"/>
        </w:rPr>
        <w:t xml:space="preserve">. </w:t>
      </w:r>
      <w:r w:rsidRPr="00E21FC0">
        <w:rPr>
          <w:b/>
          <w:bCs/>
          <w:color w:val="000000"/>
          <w:sz w:val="28"/>
          <w:szCs w:val="28"/>
        </w:rPr>
        <w:t>ТЕОРЕТИЧЕСКИЕ ОСНОВЫ ИНВЕСТИЦИОННОЙ ПОЛИТИКИ ПРЕДПРИЯТИЯ.</w:t>
      </w:r>
      <w:r>
        <w:rPr>
          <w:b/>
          <w:bCs/>
          <w:color w:val="000000"/>
          <w:sz w:val="28"/>
          <w:szCs w:val="28"/>
        </w:rPr>
        <w:t xml:space="preserve">                                                                                         </w:t>
      </w:r>
      <w:r>
        <w:rPr>
          <w:color w:val="000000"/>
          <w:sz w:val="28"/>
          <w:szCs w:val="28"/>
        </w:rPr>
        <w:t>5</w:t>
      </w: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r>
        <w:rPr>
          <w:sz w:val="28"/>
          <w:szCs w:val="28"/>
          <w:highlight w:val="lightGray"/>
        </w:rPr>
        <w:t>§</w:t>
      </w:r>
      <w:r>
        <w:rPr>
          <w:sz w:val="28"/>
          <w:szCs w:val="28"/>
        </w:rPr>
        <w:t>1.1. ИНВЕСТИЦИОННАЯ ПОЛИТИКА ПРЕДПРИЯТИЯ               5</w:t>
      </w: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r>
        <w:rPr>
          <w:sz w:val="28"/>
          <w:szCs w:val="28"/>
          <w:highlight w:val="lightGray"/>
        </w:rPr>
        <w:t>§</w:t>
      </w:r>
      <w:r>
        <w:rPr>
          <w:sz w:val="28"/>
          <w:szCs w:val="28"/>
        </w:rPr>
        <w:t>1.2. ИНВЕСТИЦИОННЫЕ ПРОЕКТЫ                                                9</w:t>
      </w: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r>
        <w:rPr>
          <w:sz w:val="28"/>
          <w:szCs w:val="28"/>
        </w:rPr>
        <w:t>§1.3. ФИНАНСОВЫЕ РЕЗУЛЬТАТЫ                                                    11</w:t>
      </w: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ED28C8">
        <w:rPr>
          <w:sz w:val="28"/>
          <w:szCs w:val="28"/>
        </w:rPr>
        <w:t>Глава 2.</w:t>
      </w:r>
      <w:r>
        <w:rPr>
          <w:b/>
          <w:bCs/>
          <w:sz w:val="28"/>
          <w:szCs w:val="28"/>
        </w:rPr>
        <w:t xml:space="preserve"> </w:t>
      </w:r>
      <w:r w:rsidRPr="00E21FC0">
        <w:rPr>
          <w:b/>
          <w:bCs/>
          <w:sz w:val="28"/>
          <w:szCs w:val="28"/>
        </w:rPr>
        <w:t xml:space="preserve">РАЗРАБОТКА ИНВЕСТИЦИОННОЙ ПОЛИТИКИ НА ПРИМЕРЕ </w:t>
      </w:r>
      <w:r>
        <w:rPr>
          <w:b/>
          <w:bCs/>
          <w:sz w:val="28"/>
          <w:szCs w:val="28"/>
        </w:rPr>
        <w:t>КОМПАНИИ</w:t>
      </w:r>
      <w:r w:rsidRPr="00E21FC0">
        <w:rPr>
          <w:b/>
          <w:bCs/>
          <w:sz w:val="28"/>
          <w:szCs w:val="28"/>
        </w:rPr>
        <w:t xml:space="preserve"> «Сувар-Казань»                                                       </w:t>
      </w:r>
      <w:r>
        <w:rPr>
          <w:b/>
          <w:bCs/>
          <w:sz w:val="28"/>
          <w:szCs w:val="28"/>
        </w:rPr>
        <w:t xml:space="preserve">         </w:t>
      </w:r>
      <w:r w:rsidRPr="00E21FC0">
        <w:rPr>
          <w:b/>
          <w:bCs/>
          <w:sz w:val="28"/>
          <w:szCs w:val="28"/>
        </w:rPr>
        <w:t xml:space="preserve">  </w:t>
      </w:r>
      <w:r>
        <w:rPr>
          <w:sz w:val="28"/>
          <w:szCs w:val="28"/>
        </w:rPr>
        <w:t>13</w:t>
      </w: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r>
        <w:rPr>
          <w:sz w:val="28"/>
          <w:szCs w:val="28"/>
        </w:rPr>
        <w:t>§2.1. ОПИСАНИЕ КОМПАНИИ                                                             13</w:t>
      </w: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r>
        <w:rPr>
          <w:sz w:val="28"/>
          <w:szCs w:val="28"/>
        </w:rPr>
        <w:t>§2.2. РЫНОЧНАЯ СИТУАЦИЯ                                                              15</w:t>
      </w: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r>
        <w:rPr>
          <w:sz w:val="28"/>
          <w:szCs w:val="28"/>
        </w:rPr>
        <w:t>§2.3. ДЕЯТЕЛЬНОСТЬ ПРЕДПРИЯТИЯ                                               16</w:t>
      </w: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r>
        <w:rPr>
          <w:sz w:val="28"/>
          <w:szCs w:val="28"/>
        </w:rPr>
        <w:t>§2.4. ИНВЕСТИЦИОННЫЕ ПРОЕКТЫ                                                 18</w:t>
      </w: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460"/>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Заключение</w:t>
      </w:r>
      <w:r>
        <w:rPr>
          <w:sz w:val="28"/>
          <w:szCs w:val="28"/>
        </w:rPr>
        <w:tab/>
        <w:t xml:space="preserve">                                                                                                20</w:t>
      </w: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Приложение 1.                                                                                                 21</w:t>
      </w:r>
    </w:p>
    <w:p w:rsidR="00F74823" w:rsidRDefault="00F74823" w:rsidP="00F74823">
      <w:pPr>
        <w:tabs>
          <w:tab w:val="center" w:leader="do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Список литературы</w:t>
      </w:r>
      <w:r>
        <w:rPr>
          <w:sz w:val="28"/>
          <w:szCs w:val="28"/>
        </w:rPr>
        <w:tab/>
        <w:t xml:space="preserve">                                                                                   22</w:t>
      </w:r>
    </w:p>
    <w:p w:rsidR="0087424C" w:rsidRPr="00646F55" w:rsidRDefault="00F74823" w:rsidP="0087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16"/>
        <w:jc w:val="center"/>
        <w:rPr>
          <w:b/>
          <w:bCs/>
          <w:sz w:val="28"/>
          <w:szCs w:val="28"/>
        </w:rPr>
      </w:pPr>
      <w:r>
        <w:rPr>
          <w:color w:val="000000"/>
          <w:sz w:val="28"/>
          <w:szCs w:val="28"/>
        </w:rPr>
        <w:br w:type="page"/>
      </w:r>
      <w:r w:rsidR="0087424C" w:rsidRPr="00646F55">
        <w:rPr>
          <w:b/>
          <w:bCs/>
          <w:sz w:val="28"/>
          <w:szCs w:val="28"/>
        </w:rPr>
        <w:t>Введение</w:t>
      </w:r>
    </w:p>
    <w:p w:rsidR="0087424C" w:rsidRDefault="0087424C" w:rsidP="0087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Производственная и коммерческая деятельность предприятий  и  корпораций связана с объемами и формами осуществляемых  инвестиций.  Термин  инвестиции происходит от латинского слова "invest", что означает «вкладывать».</w:t>
      </w:r>
    </w:p>
    <w:p w:rsidR="0087424C" w:rsidRDefault="0087424C" w:rsidP="0087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В более широкой трактовке они выражают вложение капитала  с  целью  его последующего увеличения. При этом прирост капитала, полученный в  результате инвестирования, должен  быть  достаточным,  чтобы  компенсировать  инвестору отказ от имеющихся средств на потребление в  текущем  периоде,  вознаградить его за риск и возместить потери от инфляции в будущем периоде.</w:t>
      </w:r>
    </w:p>
    <w:p w:rsidR="0087424C" w:rsidRDefault="0087424C" w:rsidP="0087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b/>
          <w:bCs/>
          <w:sz w:val="28"/>
          <w:szCs w:val="28"/>
        </w:rPr>
        <w:t>Инвестиции</w:t>
      </w:r>
      <w:r>
        <w:rPr>
          <w:sz w:val="28"/>
          <w:szCs w:val="28"/>
        </w:rPr>
        <w:t xml:space="preserve"> – это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87424C" w:rsidRDefault="0087424C" w:rsidP="0087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Вложение инвестиций осуществляется в форме капитальных вложений  в  основной капитал (основные средства).  Капитальные  вложения  используются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нужды.</w:t>
      </w:r>
    </w:p>
    <w:p w:rsidR="0087424C" w:rsidRDefault="0087424C" w:rsidP="0087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Инвестиции это процесс вложения капитала в денежной, материальной и  нематериальной формах в объекты предпринимательской деятельности или финансовые инструменты. С целью получения текущего дохода (прибыли) и обеспечения возрастания капитала. Инвестиции являются главной формой, реализующей стратегию развития предприятия.</w:t>
      </w:r>
    </w:p>
    <w:p w:rsidR="0087424C" w:rsidRDefault="0087424C" w:rsidP="0087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Инвестиции обеспечивают динамичное развитие предприятия и позволяют решать следующие задачи:</w:t>
      </w:r>
    </w:p>
    <w:p w:rsidR="0087424C" w:rsidRDefault="0087424C" w:rsidP="0087424C">
      <w:pPr>
        <w:numPr>
          <w:ilvl w:val="0"/>
          <w:numId w:val="1"/>
        </w:numPr>
        <w:spacing w:line="360" w:lineRule="auto"/>
        <w:ind w:left="0" w:firstLine="360"/>
        <w:jc w:val="both"/>
        <w:rPr>
          <w:sz w:val="28"/>
          <w:szCs w:val="28"/>
        </w:rPr>
      </w:pPr>
      <w:r>
        <w:rPr>
          <w:sz w:val="28"/>
          <w:szCs w:val="28"/>
        </w:rPr>
        <w:t xml:space="preserve">расширение собственной предпринимательской деятельности за счет накопления финансовых и материальных ресурсов; </w:t>
      </w:r>
    </w:p>
    <w:p w:rsidR="0087424C" w:rsidRDefault="0087424C" w:rsidP="0087424C">
      <w:pPr>
        <w:numPr>
          <w:ilvl w:val="0"/>
          <w:numId w:val="1"/>
        </w:numPr>
        <w:spacing w:line="360" w:lineRule="auto"/>
        <w:ind w:left="0" w:firstLine="360"/>
        <w:jc w:val="both"/>
        <w:rPr>
          <w:sz w:val="28"/>
          <w:szCs w:val="28"/>
        </w:rPr>
      </w:pPr>
      <w:r>
        <w:rPr>
          <w:sz w:val="28"/>
          <w:szCs w:val="28"/>
        </w:rPr>
        <w:t xml:space="preserve">приобретение новых предприятий; </w:t>
      </w:r>
    </w:p>
    <w:p w:rsidR="0087424C" w:rsidRDefault="0087424C" w:rsidP="0087424C">
      <w:pPr>
        <w:numPr>
          <w:ilvl w:val="0"/>
          <w:numId w:val="1"/>
        </w:numPr>
        <w:spacing w:line="360" w:lineRule="auto"/>
        <w:ind w:left="0" w:firstLine="360"/>
        <w:jc w:val="both"/>
        <w:rPr>
          <w:sz w:val="28"/>
          <w:szCs w:val="28"/>
        </w:rPr>
      </w:pPr>
      <w:r>
        <w:rPr>
          <w:sz w:val="28"/>
          <w:szCs w:val="28"/>
        </w:rPr>
        <w:t xml:space="preserve">диверсификация (освоение новых областей бизнеса, стратегическая ориентация на создание многопрофильного производства). </w:t>
      </w:r>
    </w:p>
    <w:p w:rsidR="0087424C" w:rsidRDefault="0087424C" w:rsidP="0087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В качестве инвестиций могут выступать:</w:t>
      </w:r>
    </w:p>
    <w:p w:rsidR="0087424C" w:rsidRDefault="0087424C" w:rsidP="0087424C">
      <w:pPr>
        <w:numPr>
          <w:ilvl w:val="2"/>
          <w:numId w:val="2"/>
        </w:numPr>
        <w:tabs>
          <w:tab w:val="num" w:pos="720"/>
        </w:tabs>
        <w:spacing w:line="360" w:lineRule="auto"/>
        <w:ind w:left="0" w:firstLine="360"/>
        <w:jc w:val="both"/>
        <w:rPr>
          <w:sz w:val="28"/>
          <w:szCs w:val="28"/>
        </w:rPr>
      </w:pPr>
      <w:r>
        <w:rPr>
          <w:sz w:val="28"/>
          <w:szCs w:val="28"/>
        </w:rPr>
        <w:t>денежные средства, целевые банковские вклады, паи, акции, облигации, и др. ценные бумаги;</w:t>
      </w:r>
    </w:p>
    <w:p w:rsidR="0087424C" w:rsidRDefault="0087424C" w:rsidP="0087424C">
      <w:pPr>
        <w:numPr>
          <w:ilvl w:val="2"/>
          <w:numId w:val="2"/>
        </w:numPr>
        <w:tabs>
          <w:tab w:val="num" w:pos="720"/>
        </w:tabs>
        <w:spacing w:line="360" w:lineRule="auto"/>
        <w:ind w:left="0" w:firstLine="360"/>
        <w:jc w:val="both"/>
        <w:rPr>
          <w:sz w:val="28"/>
          <w:szCs w:val="28"/>
        </w:rPr>
      </w:pPr>
      <w:r>
        <w:rPr>
          <w:sz w:val="28"/>
          <w:szCs w:val="28"/>
        </w:rPr>
        <w:t>движимое  и  недвижимое  имущество (здания, сооружения, машины, оборудование, транспортные средства, вычислительная техника и др.);</w:t>
      </w:r>
    </w:p>
    <w:p w:rsidR="0087424C" w:rsidRDefault="0087424C" w:rsidP="0087424C">
      <w:pPr>
        <w:numPr>
          <w:ilvl w:val="2"/>
          <w:numId w:val="2"/>
        </w:numPr>
        <w:tabs>
          <w:tab w:val="num" w:pos="720"/>
        </w:tabs>
        <w:spacing w:line="360" w:lineRule="auto"/>
        <w:ind w:left="0" w:firstLine="360"/>
        <w:jc w:val="both"/>
        <w:rPr>
          <w:sz w:val="28"/>
          <w:szCs w:val="28"/>
        </w:rPr>
      </w:pPr>
      <w:r>
        <w:rPr>
          <w:sz w:val="28"/>
          <w:szCs w:val="28"/>
        </w:rPr>
        <w:t>объекты авторского права, лицензии, патенты, ноу-хау, программные продукты, технологии и др. интеллектуальные ценности;</w:t>
      </w:r>
    </w:p>
    <w:p w:rsidR="0087424C" w:rsidRDefault="0087424C" w:rsidP="0087424C">
      <w:pPr>
        <w:numPr>
          <w:ilvl w:val="2"/>
          <w:numId w:val="2"/>
        </w:numPr>
        <w:tabs>
          <w:tab w:val="num" w:pos="720"/>
        </w:tabs>
        <w:spacing w:line="360" w:lineRule="auto"/>
        <w:ind w:left="0" w:firstLine="360"/>
        <w:jc w:val="both"/>
        <w:rPr>
          <w:sz w:val="28"/>
          <w:szCs w:val="28"/>
        </w:rPr>
      </w:pPr>
      <w:r>
        <w:rPr>
          <w:sz w:val="28"/>
          <w:szCs w:val="28"/>
        </w:rPr>
        <w:t>права пользования землёй, природными ресурсами, а  так  же  любым  другим имуществом  или имущественные права.</w:t>
      </w:r>
    </w:p>
    <w:p w:rsidR="0087424C" w:rsidRDefault="0087424C" w:rsidP="0087424C">
      <w:pPr>
        <w:tabs>
          <w:tab w:val="num" w:pos="2869"/>
        </w:tabs>
        <w:spacing w:line="360" w:lineRule="auto"/>
        <w:ind w:firstLine="540"/>
        <w:jc w:val="both"/>
        <w:rPr>
          <w:sz w:val="28"/>
          <w:szCs w:val="28"/>
        </w:rPr>
      </w:pPr>
      <w:r>
        <w:rPr>
          <w:sz w:val="28"/>
          <w:szCs w:val="28"/>
        </w:rPr>
        <w:t xml:space="preserve">В нашей курсовой работе мы рассмотрим теоретические основы инвестиционной политики. А в практической части мы приведем пример разработки инвестиционной политики в компании «Сувар-Казань».     </w:t>
      </w:r>
    </w:p>
    <w:p w:rsidR="002523DF" w:rsidRDefault="002523DF"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Default="00CC7F88" w:rsidP="00F74823"/>
    <w:p w:rsidR="00CC7F88" w:rsidRPr="00300952" w:rsidRDefault="00CC7F88" w:rsidP="00CC7F88">
      <w:pPr>
        <w:tabs>
          <w:tab w:val="num" w:pos="2869"/>
        </w:tabs>
        <w:spacing w:line="360" w:lineRule="auto"/>
        <w:jc w:val="both"/>
        <w:rPr>
          <w:b/>
          <w:bCs/>
          <w:sz w:val="28"/>
          <w:szCs w:val="28"/>
        </w:rPr>
      </w:pPr>
      <w:r>
        <w:rPr>
          <w:b/>
          <w:bCs/>
          <w:color w:val="000000"/>
          <w:sz w:val="28"/>
          <w:szCs w:val="28"/>
        </w:rPr>
        <w:t xml:space="preserve">Глава 1. </w:t>
      </w:r>
      <w:r w:rsidRPr="00E21FC0">
        <w:rPr>
          <w:b/>
          <w:bCs/>
          <w:color w:val="000000"/>
          <w:sz w:val="28"/>
          <w:szCs w:val="28"/>
        </w:rPr>
        <w:t>ТЕОРЕТИЧЕСКИЕ ОСНОВЫ ИНВЕСТИЦИОННОЙ ПОЛИТИКИ ПРЕДПРИЯТИЯ</w:t>
      </w:r>
      <w:r>
        <w:rPr>
          <w:b/>
          <w:bCs/>
          <w:color w:val="000000"/>
          <w:sz w:val="28"/>
          <w:szCs w:val="28"/>
        </w:rPr>
        <w:t>.</w:t>
      </w:r>
    </w:p>
    <w:p w:rsidR="00CC7F88" w:rsidRPr="00ED28C8" w:rsidRDefault="00CC7F88" w:rsidP="00CC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center"/>
        <w:rPr>
          <w:b/>
          <w:bCs/>
          <w:sz w:val="28"/>
          <w:szCs w:val="28"/>
        </w:rPr>
      </w:pPr>
      <w:r w:rsidRPr="00ED28C8">
        <w:rPr>
          <w:b/>
          <w:bCs/>
          <w:sz w:val="28"/>
          <w:szCs w:val="28"/>
        </w:rPr>
        <w:t>§1.1. Инвестиционная политика предприятия.</w:t>
      </w:r>
    </w:p>
    <w:p w:rsidR="00CC7F88" w:rsidRDefault="00CC7F88" w:rsidP="00CC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Любые инвестиции связаны с инвестиционной деятельностью предприятия, которая представляет собой процесс обоснования и реализации наиболее эффективных форм вложений капитала, направленных на расширение экономического потенциала предприятия.</w:t>
      </w:r>
    </w:p>
    <w:p w:rsidR="00CC7F88" w:rsidRDefault="00CC7F88" w:rsidP="00CC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 xml:space="preserve">Для осуществления инвестиционной деятельности предприятия вырабатывают инвестиционную политику. Эта политика является частью стратегии развития предприятия и общей политики управления прибылью. Она заключается в выборе и реализации наиболее эффективных форм вложения капитала с целью расширения объема операционной деятельности и формирования инвестиционной прибыли. </w:t>
      </w:r>
    </w:p>
    <w:p w:rsidR="00CC7F88" w:rsidRDefault="00CC7F88" w:rsidP="00CC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Определение инвестиционной политики каждый автор трактует по–разному. Определения некоторых авторов приведены ниже в таблице.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0"/>
        <w:gridCol w:w="1"/>
        <w:gridCol w:w="6250"/>
      </w:tblGrid>
      <w:tr w:rsidR="00CC7F88" w:rsidRPr="009B3A52" w:rsidTr="009B3A52">
        <w:tc>
          <w:tcPr>
            <w:tcW w:w="3528" w:type="dxa"/>
            <w:shd w:val="clear" w:color="auto" w:fill="auto"/>
          </w:tcPr>
          <w:p w:rsidR="00CC7F88" w:rsidRPr="009B3A52" w:rsidRDefault="00CC7F88" w:rsidP="009B3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sidRPr="009B3A52">
              <w:rPr>
                <w:b/>
                <w:bCs/>
                <w:sz w:val="28"/>
                <w:szCs w:val="28"/>
              </w:rPr>
              <w:t>Автор</w:t>
            </w:r>
          </w:p>
        </w:tc>
        <w:tc>
          <w:tcPr>
            <w:tcW w:w="6892" w:type="dxa"/>
            <w:gridSpan w:val="2"/>
            <w:shd w:val="clear" w:color="auto" w:fill="auto"/>
          </w:tcPr>
          <w:p w:rsidR="00CC7F88" w:rsidRPr="009B3A52" w:rsidRDefault="00CC7F88" w:rsidP="009B3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sidRPr="009B3A52">
              <w:rPr>
                <w:b/>
                <w:bCs/>
                <w:sz w:val="28"/>
                <w:szCs w:val="28"/>
              </w:rPr>
              <w:t>Определение</w:t>
            </w:r>
          </w:p>
        </w:tc>
      </w:tr>
      <w:tr w:rsidR="00CC7F88" w:rsidRPr="009B3A52" w:rsidTr="009B3A52">
        <w:tc>
          <w:tcPr>
            <w:tcW w:w="3528" w:type="dxa"/>
            <w:shd w:val="clear" w:color="auto" w:fill="auto"/>
          </w:tcPr>
          <w:p w:rsidR="00CC7F88" w:rsidRPr="009B3A52" w:rsidRDefault="00CC7F88" w:rsidP="006C6520">
            <w:pPr>
              <w:rPr>
                <w:sz w:val="28"/>
                <w:szCs w:val="28"/>
              </w:rPr>
            </w:pPr>
            <w:r w:rsidRPr="009B3A52">
              <w:rPr>
                <w:sz w:val="28"/>
                <w:szCs w:val="28"/>
              </w:rPr>
              <w:t xml:space="preserve">Балабанов И.Т. Финансовый менеджмент. </w:t>
            </w:r>
            <w:r w:rsidRPr="009B3A52">
              <w:rPr>
                <w:sz w:val="28"/>
                <w:szCs w:val="28"/>
                <w:lang w:val="en-US"/>
              </w:rPr>
              <w:t>200</w:t>
            </w:r>
            <w:r w:rsidRPr="009B3A52">
              <w:rPr>
                <w:sz w:val="28"/>
                <w:szCs w:val="28"/>
              </w:rPr>
              <w:t>4.</w:t>
            </w:r>
          </w:p>
          <w:p w:rsidR="00CC7F88" w:rsidRPr="009B3A52" w:rsidRDefault="00CC7F88" w:rsidP="009B3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tc>
        <w:tc>
          <w:tcPr>
            <w:tcW w:w="6892" w:type="dxa"/>
            <w:gridSpan w:val="2"/>
            <w:shd w:val="clear" w:color="auto" w:fill="auto"/>
          </w:tcPr>
          <w:p w:rsidR="00CC7F88" w:rsidRPr="009B3A52" w:rsidRDefault="00CC7F88" w:rsidP="009B3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B3A52">
              <w:rPr>
                <w:b/>
                <w:bCs/>
                <w:sz w:val="28"/>
                <w:szCs w:val="28"/>
              </w:rPr>
              <w:t>Инвестиционная  политика</w:t>
            </w:r>
            <w:r w:rsidRPr="009B3A52">
              <w:rPr>
                <w:sz w:val="28"/>
                <w:szCs w:val="28"/>
              </w:rPr>
              <w:t xml:space="preserve"> – составная часть общей финансовой стратегии предприятия, которая заключается в выборе и реализации наиболее рациональных путей расширения и обновления производственного потенциала</w:t>
            </w:r>
          </w:p>
        </w:tc>
      </w:tr>
      <w:tr w:rsidR="00CC7F88" w:rsidRPr="009B3A52" w:rsidTr="009B3A52">
        <w:tc>
          <w:tcPr>
            <w:tcW w:w="3528" w:type="dxa"/>
            <w:shd w:val="clear" w:color="auto" w:fill="auto"/>
          </w:tcPr>
          <w:p w:rsidR="00CC7F88" w:rsidRPr="009B3A52" w:rsidRDefault="00CC7F88" w:rsidP="009B3A52">
            <w:pPr>
              <w:jc w:val="both"/>
              <w:rPr>
                <w:sz w:val="28"/>
                <w:szCs w:val="28"/>
              </w:rPr>
            </w:pPr>
            <w:r w:rsidRPr="009B3A52">
              <w:rPr>
                <w:sz w:val="28"/>
                <w:szCs w:val="28"/>
              </w:rPr>
              <w:t>П.Л Виленский, Оценка эф</w:t>
            </w:r>
            <w:r w:rsidRPr="009B3A52">
              <w:rPr>
                <w:sz w:val="28"/>
                <w:szCs w:val="28"/>
              </w:rPr>
              <w:softHyphen/>
              <w:t>фективности инвестиционных проектов. 2003.</w:t>
            </w:r>
          </w:p>
          <w:p w:rsidR="00CC7F88" w:rsidRPr="009B3A52" w:rsidRDefault="00CC7F88" w:rsidP="009B3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tc>
        <w:tc>
          <w:tcPr>
            <w:tcW w:w="6892" w:type="dxa"/>
            <w:gridSpan w:val="2"/>
            <w:shd w:val="clear" w:color="auto" w:fill="auto"/>
          </w:tcPr>
          <w:p w:rsidR="00CC7F88" w:rsidRPr="009B3A52" w:rsidRDefault="00CC7F88" w:rsidP="009B3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B3A52">
              <w:rPr>
                <w:b/>
                <w:bCs/>
                <w:sz w:val="28"/>
                <w:szCs w:val="28"/>
              </w:rPr>
              <w:t>Инвестиционная политика</w:t>
            </w:r>
            <w:r w:rsidRPr="009B3A52">
              <w:rPr>
                <w:sz w:val="28"/>
                <w:szCs w:val="28"/>
              </w:rPr>
              <w:t xml:space="preserve"> - система хозяйственных решений, определяющих объем, структуру и направления инвестиций как внутри хозяй</w:t>
            </w:r>
            <w:r w:rsidRPr="009B3A52">
              <w:rPr>
                <w:sz w:val="28"/>
                <w:szCs w:val="28"/>
              </w:rPr>
              <w:softHyphen/>
              <w:t>ствующего объекта (предприятия, фирмы, компании и т.д.), региона, страны (республики), так и за их пределами це</w:t>
            </w:r>
            <w:r w:rsidRPr="009B3A52">
              <w:rPr>
                <w:sz w:val="28"/>
                <w:szCs w:val="28"/>
              </w:rPr>
              <w:softHyphen/>
              <w:t>лью развития производства, предпринимательства, полу</w:t>
            </w:r>
            <w:r w:rsidRPr="009B3A52">
              <w:rPr>
                <w:sz w:val="28"/>
                <w:szCs w:val="28"/>
              </w:rPr>
              <w:softHyphen/>
              <w:t>чения прибыли или других конечных результатов.</w:t>
            </w:r>
          </w:p>
        </w:tc>
      </w:tr>
      <w:tr w:rsidR="00CC7F88">
        <w:tblPrEx>
          <w:tblLook w:val="0000" w:firstRow="0" w:lastRow="0" w:firstColumn="0" w:lastColumn="0" w:noHBand="0" w:noVBand="0"/>
        </w:tblPrEx>
        <w:trPr>
          <w:trHeight w:val="825"/>
        </w:trPr>
        <w:tc>
          <w:tcPr>
            <w:tcW w:w="3528" w:type="dxa"/>
            <w:gridSpan w:val="2"/>
          </w:tcPr>
          <w:p w:rsidR="00CC7F88" w:rsidRPr="00ED28C8" w:rsidRDefault="00CC7F88" w:rsidP="006C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en-US"/>
              </w:rPr>
            </w:pPr>
            <w:r>
              <w:rPr>
                <w:sz w:val="28"/>
                <w:szCs w:val="28"/>
              </w:rPr>
              <w:t>Б.А.Райзберг, Современный экономический словарь. 2005</w:t>
            </w:r>
            <w:r>
              <w:rPr>
                <w:sz w:val="28"/>
                <w:szCs w:val="28"/>
                <w:lang w:val="en-US"/>
              </w:rPr>
              <w:t>.</w:t>
            </w:r>
          </w:p>
        </w:tc>
        <w:tc>
          <w:tcPr>
            <w:tcW w:w="6885" w:type="dxa"/>
          </w:tcPr>
          <w:p w:rsidR="00CC7F88" w:rsidRDefault="00CC7F88" w:rsidP="006C6520">
            <w:pPr>
              <w:jc w:val="both"/>
              <w:rPr>
                <w:sz w:val="28"/>
                <w:szCs w:val="28"/>
              </w:rPr>
            </w:pPr>
            <w:r w:rsidRPr="00331EC4">
              <w:rPr>
                <w:b/>
                <w:bCs/>
                <w:sz w:val="28"/>
                <w:szCs w:val="28"/>
              </w:rPr>
              <w:t>Инвестиционная политика</w:t>
            </w:r>
            <w:r>
              <w:rPr>
                <w:sz w:val="28"/>
                <w:szCs w:val="28"/>
              </w:rPr>
              <w:t xml:space="preserve"> – составная часть экономической политики, проводимой предприятиями в виде установления структуры и масштабов инвестиций, направлений их использования, источников получения с учетом необходимости обновления основных средств и повышения их технического уровня.</w:t>
            </w:r>
          </w:p>
        </w:tc>
      </w:tr>
    </w:tbl>
    <w:p w:rsidR="00CC7F88" w:rsidRDefault="00CC7F88" w:rsidP="00CC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right"/>
        <w:rPr>
          <w:sz w:val="28"/>
          <w:szCs w:val="28"/>
        </w:rPr>
      </w:pPr>
      <w:r>
        <w:rPr>
          <w:sz w:val="28"/>
          <w:szCs w:val="28"/>
        </w:rPr>
        <w:t>Табл. 1. Определение инвестиционной политики.</w:t>
      </w:r>
    </w:p>
    <w:p w:rsidR="00CC7F88" w:rsidRDefault="00CC7F88" w:rsidP="00CC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При выработке инвестиционной политики  целесообразно  руководствоваться следующими принципами:</w:t>
      </w:r>
    </w:p>
    <w:p w:rsidR="00CC7F88" w:rsidRDefault="00CC7F88" w:rsidP="00CC7F88">
      <w:pPr>
        <w:numPr>
          <w:ilvl w:val="0"/>
          <w:numId w:val="3"/>
        </w:numPr>
        <w:spacing w:line="360" w:lineRule="auto"/>
        <w:ind w:left="0" w:firstLine="360"/>
        <w:jc w:val="both"/>
        <w:rPr>
          <w:sz w:val="28"/>
          <w:szCs w:val="28"/>
        </w:rPr>
      </w:pPr>
      <w:r>
        <w:rPr>
          <w:sz w:val="28"/>
          <w:szCs w:val="28"/>
        </w:rPr>
        <w:t>Достижение  экономического  научно-технического и социального эффекта от  рассматриваемых  мероприятий.  При  этом  для   каждого  объекта инвестирования используются  конкретные   методы  оценки  эффективности.  По итогам такой оценки осуществляется отбор отдельных  инвестиционных  проектов по критерию  эффективности  (рентабельности).  При  прочих равных условиях принимаются  к  реализации те из них, которые обеспечивают  предприятию максимальную эффективность.</w:t>
      </w:r>
    </w:p>
    <w:p w:rsidR="00CC7F88" w:rsidRDefault="00CC7F88" w:rsidP="00CC7F88">
      <w:pPr>
        <w:numPr>
          <w:ilvl w:val="0"/>
          <w:numId w:val="3"/>
        </w:numPr>
        <w:spacing w:line="360" w:lineRule="auto"/>
        <w:ind w:left="0" w:firstLine="360"/>
        <w:jc w:val="both"/>
        <w:rPr>
          <w:sz w:val="28"/>
          <w:szCs w:val="28"/>
        </w:rPr>
      </w:pPr>
      <w:r>
        <w:rPr>
          <w:sz w:val="28"/>
          <w:szCs w:val="28"/>
        </w:rPr>
        <w:t>Получение предприятием наибольшей прибыли на вложенный  капитал  при минимальных инвестиционных затратах.</w:t>
      </w:r>
    </w:p>
    <w:p w:rsidR="00CC7F88" w:rsidRDefault="00CC7F88" w:rsidP="00CC7F88">
      <w:pPr>
        <w:numPr>
          <w:ilvl w:val="0"/>
          <w:numId w:val="3"/>
        </w:numPr>
        <w:spacing w:line="360" w:lineRule="auto"/>
        <w:ind w:left="0" w:firstLine="360"/>
        <w:jc w:val="both"/>
        <w:rPr>
          <w:sz w:val="28"/>
          <w:szCs w:val="28"/>
        </w:rPr>
      </w:pPr>
      <w:r>
        <w:rPr>
          <w:sz w:val="28"/>
          <w:szCs w:val="28"/>
        </w:rPr>
        <w:t>Рациональное распоряжение  средствами  на  реализацию  бесприбыльных проектов, т.е. снижение расходов на достижение   научно-технического, социального или экономического эффектов.</w:t>
      </w:r>
    </w:p>
    <w:p w:rsidR="00CC7F88" w:rsidRDefault="00CC7F88" w:rsidP="00CC7F88">
      <w:pPr>
        <w:numPr>
          <w:ilvl w:val="0"/>
          <w:numId w:val="3"/>
        </w:numPr>
        <w:spacing w:line="360" w:lineRule="auto"/>
        <w:ind w:left="0" w:firstLine="360"/>
        <w:jc w:val="both"/>
        <w:rPr>
          <w:sz w:val="28"/>
          <w:szCs w:val="28"/>
        </w:rPr>
      </w:pPr>
      <w:r>
        <w:rPr>
          <w:sz w:val="28"/>
          <w:szCs w:val="28"/>
        </w:rPr>
        <w:t>Использование предприятием государственной поддержки для повышения эффективности инвестиций в форме бюджетных ссуд, гарантий Правительства РФ и т. д.</w:t>
      </w:r>
    </w:p>
    <w:p w:rsidR="00CC7F88" w:rsidRDefault="00CC7F88" w:rsidP="00CC7F88">
      <w:pPr>
        <w:numPr>
          <w:ilvl w:val="0"/>
          <w:numId w:val="3"/>
        </w:numPr>
        <w:spacing w:line="360" w:lineRule="auto"/>
        <w:ind w:left="0" w:firstLine="360"/>
        <w:jc w:val="both"/>
        <w:rPr>
          <w:sz w:val="28"/>
          <w:szCs w:val="28"/>
        </w:rPr>
      </w:pPr>
      <w:r>
        <w:rPr>
          <w:sz w:val="28"/>
          <w:szCs w:val="28"/>
        </w:rPr>
        <w:t>Привлечение субсидий и льготных кредитов международных финансово кредитных организаций и частных иностранных инвесторов.</w:t>
      </w:r>
    </w:p>
    <w:p w:rsidR="00CC7F88" w:rsidRDefault="00CC7F88" w:rsidP="00CC7F88">
      <w:pPr>
        <w:numPr>
          <w:ilvl w:val="0"/>
          <w:numId w:val="3"/>
        </w:numPr>
        <w:spacing w:line="360" w:lineRule="auto"/>
        <w:ind w:left="0" w:firstLine="360"/>
        <w:jc w:val="both"/>
        <w:rPr>
          <w:sz w:val="28"/>
          <w:szCs w:val="28"/>
        </w:rPr>
      </w:pPr>
      <w:r>
        <w:rPr>
          <w:sz w:val="28"/>
          <w:szCs w:val="28"/>
        </w:rPr>
        <w:t>Обеспечение минимизации инвестиционных рисков, связанных с реализацией конкретных проектов. Влияние коммерческих рисков  (строительных, производственных, транспортных и  иных  рисков)  может  быть  оценено  через вероятное  изменение  ожидаемой доходности инвестиционных проектов и соответствующее снижение их эффективности. Такие риски  могут  быть  снижены заказчиками проектов и привлеченными инвесторами посредством самострахования,  т.  е.  созданием  финансовых   резервов,   диверсификации инвестиционного   портфеля   и   коммерческого   страхования.   Защита    от некоммерческих  рисков  (стихийные  бедствия,  аварии,  беспорядки  и   др.) обеспечивается путем предоставления гарантий Правительства РФ и  страхования инвестиций.</w:t>
      </w:r>
    </w:p>
    <w:p w:rsidR="003363A3" w:rsidRDefault="003363A3" w:rsidP="003363A3">
      <w:pPr>
        <w:numPr>
          <w:ilvl w:val="0"/>
          <w:numId w:val="3"/>
        </w:numPr>
        <w:spacing w:line="360" w:lineRule="auto"/>
        <w:ind w:left="0" w:firstLine="360"/>
        <w:jc w:val="both"/>
        <w:rPr>
          <w:sz w:val="28"/>
          <w:szCs w:val="28"/>
        </w:rPr>
      </w:pPr>
      <w:r>
        <w:rPr>
          <w:sz w:val="28"/>
          <w:szCs w:val="28"/>
        </w:rPr>
        <w:t>Обеспечение ликвидности инвестиций  следует  предусматривать  в  силу значительных изменений внешней инвестиционной среды, конъюнктуры  рынка  или стратегии развития предприятия в  предстоящем  периоде  (году).  Поэтому  по отдельным объектам инвестирования может  существенно  снизиться  доходность, что окажет негативное воздействие на общую инвестиционную  привлекательность предприятия. В  силу  влияния  этих  негативных  факторов  часто  приходится принимать  решение  о  своевременном  выходе  из  неэффективных  проектов  и реинвестировании  высвобождающегося  капитала.  С  этой  целью  по   каждому инвестиционному объекту следует оценить уровень  ликвидности  инвестиций  по формулам:</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sz w:val="28"/>
          <w:szCs w:val="28"/>
        </w:rPr>
      </w:pPr>
      <w:r>
        <w:rPr>
          <w:sz w:val="28"/>
          <w:szCs w:val="28"/>
        </w:rPr>
        <w:t>ОПл = ПКв - ПКт, (2)</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где  ОПл—общий период ликвидности конкретного объекта инвестирования;</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Пкв—возможный период конверсии конкретного объекта и инвестирования в денежные средства;</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ПКт—технический период конверсии инвестиций с абсолютной ликвидностью в денежные средства, принимаемый  за  7 дней.</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sz w:val="28"/>
          <w:szCs w:val="28"/>
        </w:rPr>
      </w:pPr>
      <w:r>
        <w:rPr>
          <w:sz w:val="28"/>
          <w:szCs w:val="28"/>
        </w:rPr>
        <w:t>Кли= ПКт/ ПКв, (3)</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где Кли — коэффициент ликвидности инвестиций, доли  единицы;</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ПКт  и  ПКв  - технический не  возможный  периоды  конверсии  конкретного объекта инвестирования в денежные средства.</w:t>
      </w:r>
      <w:r>
        <w:rPr>
          <w:rStyle w:val="a6"/>
          <w:sz w:val="28"/>
          <w:szCs w:val="28"/>
        </w:rPr>
        <w:footnoteReference w:id="1"/>
      </w:r>
    </w:p>
    <w:p w:rsidR="003363A3" w:rsidRDefault="003363A3" w:rsidP="003363A3">
      <w:pPr>
        <w:pStyle w:val="HTML"/>
        <w:spacing w:line="360" w:lineRule="auto"/>
        <w:ind w:firstLine="360"/>
        <w:jc w:val="both"/>
        <w:rPr>
          <w:rFonts w:ascii="Times New Roman" w:hAnsi="Times New Roman" w:cs="Times New Roman"/>
          <w:color w:val="000000"/>
          <w:sz w:val="28"/>
          <w:szCs w:val="28"/>
        </w:rPr>
      </w:pP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При  разработке  инвестиционной  политики  учитываются  следующие факторы:</w:t>
      </w:r>
    </w:p>
    <w:p w:rsidR="003363A3" w:rsidRDefault="003363A3" w:rsidP="003363A3">
      <w:pPr>
        <w:numPr>
          <w:ilvl w:val="0"/>
          <w:numId w:val="4"/>
        </w:numPr>
        <w:spacing w:line="360" w:lineRule="auto"/>
        <w:ind w:left="0" w:firstLine="360"/>
        <w:jc w:val="both"/>
        <w:rPr>
          <w:sz w:val="28"/>
          <w:szCs w:val="28"/>
        </w:rPr>
      </w:pPr>
      <w:r>
        <w:rPr>
          <w:sz w:val="28"/>
          <w:szCs w:val="28"/>
        </w:rPr>
        <w:t>финансовое положение предприятия;</w:t>
      </w:r>
    </w:p>
    <w:p w:rsidR="003363A3" w:rsidRDefault="003363A3" w:rsidP="003363A3">
      <w:pPr>
        <w:numPr>
          <w:ilvl w:val="0"/>
          <w:numId w:val="4"/>
        </w:numPr>
        <w:spacing w:line="360" w:lineRule="auto"/>
        <w:ind w:left="0" w:firstLine="360"/>
        <w:jc w:val="both"/>
        <w:rPr>
          <w:sz w:val="28"/>
          <w:szCs w:val="28"/>
        </w:rPr>
      </w:pPr>
      <w:r>
        <w:rPr>
          <w:sz w:val="28"/>
          <w:szCs w:val="28"/>
        </w:rPr>
        <w:t>технический уровень производства, наличие незавершенного строительства  и не установленного оборудования;</w:t>
      </w:r>
    </w:p>
    <w:p w:rsidR="003363A3" w:rsidRDefault="003363A3" w:rsidP="003363A3">
      <w:pPr>
        <w:numPr>
          <w:ilvl w:val="0"/>
          <w:numId w:val="4"/>
        </w:numPr>
        <w:spacing w:line="360" w:lineRule="auto"/>
        <w:ind w:left="0" w:firstLine="360"/>
        <w:jc w:val="both"/>
        <w:rPr>
          <w:sz w:val="28"/>
          <w:szCs w:val="28"/>
        </w:rPr>
      </w:pPr>
      <w:r>
        <w:rPr>
          <w:sz w:val="28"/>
          <w:szCs w:val="28"/>
        </w:rPr>
        <w:t>возможность получения оборудования по лизингу;</w:t>
      </w:r>
    </w:p>
    <w:p w:rsidR="003363A3" w:rsidRDefault="003363A3" w:rsidP="003363A3">
      <w:pPr>
        <w:numPr>
          <w:ilvl w:val="0"/>
          <w:numId w:val="4"/>
        </w:numPr>
        <w:spacing w:line="360" w:lineRule="auto"/>
        <w:ind w:left="0" w:firstLine="360"/>
        <w:jc w:val="both"/>
        <w:rPr>
          <w:sz w:val="28"/>
          <w:szCs w:val="28"/>
        </w:rPr>
      </w:pPr>
      <w:r>
        <w:rPr>
          <w:sz w:val="28"/>
          <w:szCs w:val="28"/>
        </w:rPr>
        <w:t>наличие у предприятия как  собственных,  так  и  возможности  привлечения заемных средств в форме кредитов и займов;</w:t>
      </w:r>
    </w:p>
    <w:p w:rsidR="003363A3" w:rsidRDefault="003363A3" w:rsidP="003363A3">
      <w:pPr>
        <w:numPr>
          <w:ilvl w:val="0"/>
          <w:numId w:val="4"/>
        </w:numPr>
        <w:spacing w:line="360" w:lineRule="auto"/>
        <w:ind w:left="0" w:firstLine="360"/>
        <w:jc w:val="both"/>
        <w:rPr>
          <w:sz w:val="28"/>
          <w:szCs w:val="28"/>
        </w:rPr>
      </w:pPr>
      <w:r>
        <w:rPr>
          <w:sz w:val="28"/>
          <w:szCs w:val="28"/>
        </w:rPr>
        <w:t>финансовые условия инвестирования на рынке капитала;</w:t>
      </w:r>
    </w:p>
    <w:p w:rsidR="003363A3" w:rsidRDefault="003363A3" w:rsidP="003363A3">
      <w:pPr>
        <w:numPr>
          <w:ilvl w:val="0"/>
          <w:numId w:val="4"/>
        </w:numPr>
        <w:spacing w:line="360" w:lineRule="auto"/>
        <w:ind w:left="0" w:firstLine="360"/>
        <w:jc w:val="both"/>
        <w:rPr>
          <w:sz w:val="28"/>
          <w:szCs w:val="28"/>
        </w:rPr>
      </w:pPr>
      <w:r>
        <w:rPr>
          <w:sz w:val="28"/>
          <w:szCs w:val="28"/>
        </w:rPr>
        <w:t>льготы, получаемые инвесторами от государства;</w:t>
      </w:r>
    </w:p>
    <w:p w:rsidR="003363A3" w:rsidRDefault="003363A3" w:rsidP="003363A3">
      <w:pPr>
        <w:numPr>
          <w:ilvl w:val="0"/>
          <w:numId w:val="4"/>
        </w:numPr>
        <w:spacing w:line="360" w:lineRule="auto"/>
        <w:ind w:left="0" w:firstLine="360"/>
        <w:jc w:val="both"/>
        <w:rPr>
          <w:sz w:val="28"/>
          <w:szCs w:val="28"/>
        </w:rPr>
      </w:pPr>
      <w:r>
        <w:rPr>
          <w:sz w:val="28"/>
          <w:szCs w:val="28"/>
        </w:rPr>
        <w:t>коммерческая  и  бюджетная  эффективность  намечаемых  к   реализации проектов;</w:t>
      </w:r>
    </w:p>
    <w:p w:rsidR="003363A3" w:rsidRDefault="003363A3" w:rsidP="003363A3">
      <w:pPr>
        <w:numPr>
          <w:ilvl w:val="0"/>
          <w:numId w:val="4"/>
        </w:numPr>
        <w:spacing w:line="360" w:lineRule="auto"/>
        <w:ind w:left="0" w:firstLine="360"/>
        <w:jc w:val="both"/>
        <w:rPr>
          <w:sz w:val="28"/>
          <w:szCs w:val="28"/>
        </w:rPr>
      </w:pPr>
      <w:r>
        <w:rPr>
          <w:sz w:val="28"/>
          <w:szCs w:val="28"/>
        </w:rPr>
        <w:t>условия   страхования   и   получения   соответствующих   гарантий   от некоммерческих рисков.</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rPr>
          <w:sz w:val="28"/>
          <w:szCs w:val="28"/>
        </w:rPr>
      </w:pPr>
      <w:r>
        <w:rPr>
          <w:sz w:val="28"/>
          <w:szCs w:val="28"/>
        </w:rPr>
        <w:t>Потребность в ресурсах для реализации инвестиционной политики предприятия определяется его производственным и научно-техническим потенциалом, необходимым для обеспечения выпуска продукции в соответствии с запросами рынка. При оценке рынка продукции учитываются следующие факторы:</w:t>
      </w:r>
    </w:p>
    <w:p w:rsidR="003363A3" w:rsidRDefault="003363A3" w:rsidP="003363A3">
      <w:pPr>
        <w:numPr>
          <w:ilvl w:val="0"/>
          <w:numId w:val="5"/>
        </w:numPr>
        <w:spacing w:line="360" w:lineRule="auto"/>
        <w:jc w:val="both"/>
        <w:rPr>
          <w:sz w:val="28"/>
          <w:szCs w:val="28"/>
        </w:rPr>
      </w:pPr>
      <w:r>
        <w:rPr>
          <w:sz w:val="28"/>
          <w:szCs w:val="28"/>
        </w:rPr>
        <w:t>географические границы реализации рынка данной продукции, общий  объем продаж и его динамика за последние три года;</w:t>
      </w:r>
    </w:p>
    <w:p w:rsidR="003363A3" w:rsidRDefault="003363A3" w:rsidP="003363A3">
      <w:pPr>
        <w:numPr>
          <w:ilvl w:val="0"/>
          <w:numId w:val="5"/>
        </w:numPr>
        <w:spacing w:line="360" w:lineRule="auto"/>
        <w:jc w:val="both"/>
        <w:rPr>
          <w:sz w:val="28"/>
          <w:szCs w:val="28"/>
        </w:rPr>
      </w:pPr>
      <w:r>
        <w:rPr>
          <w:sz w:val="28"/>
          <w:szCs w:val="28"/>
        </w:rPr>
        <w:t>динамика потребительского спроса, прогнозируемого на период реализации инвестиционного проекта;</w:t>
      </w:r>
    </w:p>
    <w:p w:rsidR="003363A3" w:rsidRDefault="003363A3" w:rsidP="003363A3">
      <w:pPr>
        <w:numPr>
          <w:ilvl w:val="0"/>
          <w:numId w:val="5"/>
        </w:numPr>
        <w:spacing w:line="360" w:lineRule="auto"/>
        <w:jc w:val="both"/>
        <w:rPr>
          <w:sz w:val="28"/>
          <w:szCs w:val="28"/>
        </w:rPr>
      </w:pPr>
      <w:r>
        <w:rPr>
          <w:sz w:val="28"/>
          <w:szCs w:val="28"/>
        </w:rPr>
        <w:t>технический уровень продукции и возможности его повышения за счет реализации конкретных проектов.</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При разработке инвестиционной политики рекомендуется определить общий объем инвестиций, способы рационального использования собственных средств возможности привлечения дополнительных  денежных  ресурсов  с  кредитного и фондового рынков.</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Данная политика разрабатывается специалистами предприятия на 1-2  года, а долгосрочная — на период свыше двух лет. Ключевые аспекты данной  политики рекомендуется учитывать при принятии решений по разработке технико-экономических обоснований (ТЭО) проектов, привлечению различных  источников финансирования, участию в реализации проектов сторонних организаций в порядке долевого вклада в строительство.</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Эффективность  инвестиционной  политики  оценивается   по   показателям</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доходности и срока окупаемости инвестиций.</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Для подготовки и реализации действенной инвестиционной политики необходимы четкое и однозначное определение критериев оценки инвестиционной ситуации в стране и ее регионах, разработка методического аппарата, адекватного экономическим реалиям, и его последовательное применение.</w:t>
      </w:r>
      <w:r>
        <w:rPr>
          <w:rStyle w:val="a6"/>
          <w:sz w:val="28"/>
          <w:szCs w:val="28"/>
        </w:rPr>
        <w:footnoteReference w:id="2"/>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rPr>
          <w:sz w:val="28"/>
          <w:szCs w:val="28"/>
        </w:rPr>
      </w:pP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center"/>
        <w:rPr>
          <w:b/>
          <w:bCs/>
          <w:sz w:val="28"/>
          <w:szCs w:val="28"/>
        </w:rPr>
      </w:pPr>
      <w:r>
        <w:rPr>
          <w:b/>
          <w:bCs/>
          <w:sz w:val="28"/>
          <w:szCs w:val="28"/>
        </w:rPr>
        <w:t>§1.2. Инвестиционные проекты.</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Сформировав инвестиционную программу и определившись с объектами инвестирования предприятие, может приступить к формированию инвестиционных проектов.</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Инвестиционный проект это объект реального инвестирования, намечаемый к реализации в форме приобретения целостного имущественного комплекса, реконструкции, модернизации, капитального ремонта и т.п. Подготовка инвестиционного проекта к реализации требует обычно разработки бизнес-плана.</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 xml:space="preserve">Общий объем затрат инвестиционных ресурсов, распределенный по конкретным периодам осуществления инвестиций, описывается графиком инвестиций. Он разрабатывается в составе бизнес-плана по реальным инвестиционным проектам, требующим продолжительного периода реализации. График инвестиций включает прогнозирование и расчет общего денежного потока предприятия. </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О структуре инвестиций видно из таблицы в приложении 1.</w:t>
      </w:r>
    </w:p>
    <w:p w:rsidR="003363A3" w:rsidRDefault="003363A3" w:rsidP="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Из таблицы видно, что в первые три квартала 2005г. по сравнению с аналогичным периодом предыдущего года в инвестиционной сфере можно отметить следующие основные тенденции:</w:t>
      </w:r>
    </w:p>
    <w:p w:rsidR="003363A3" w:rsidRDefault="003363A3" w:rsidP="003363A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Наблюдается спад объема инвестиций в основной капитал, в 2004г.-99.0%, а 2005г.-97.8%;</w:t>
      </w:r>
    </w:p>
    <w:p w:rsidR="003363A3" w:rsidRDefault="003363A3" w:rsidP="003363A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Общий объем финансовых вложений в абсолютном выражении вырос, при этом доля долгосрочных вложений несколько увеличилась, 2004г.-19.4%, а 2005г.-24.2%;</w:t>
      </w:r>
    </w:p>
    <w:p w:rsidR="003363A3" w:rsidRDefault="003363A3" w:rsidP="003363A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Объем краткосрочных инвестиций уменьшился с 80.6% в 2004г. до 75.8% в 2005г.</w:t>
      </w:r>
    </w:p>
    <w:p w:rsidR="00CC7F88" w:rsidRDefault="00CC7F88"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Default="007074FA" w:rsidP="00F74823"/>
    <w:p w:rsidR="007074FA" w:rsidRPr="00675ED5" w:rsidRDefault="007074FA" w:rsidP="00707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center"/>
        <w:rPr>
          <w:b/>
          <w:bCs/>
          <w:sz w:val="28"/>
          <w:szCs w:val="28"/>
        </w:rPr>
      </w:pPr>
      <w:r w:rsidRPr="00675ED5">
        <w:rPr>
          <w:b/>
          <w:bCs/>
          <w:sz w:val="28"/>
          <w:szCs w:val="28"/>
        </w:rPr>
        <w:t>§1.3. Финансовые результаты.</w:t>
      </w:r>
    </w:p>
    <w:p w:rsidR="007074FA" w:rsidRDefault="007074FA" w:rsidP="00707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В условиях рыночной экономики управление финансовыми результатами занимает центральное место в деловой жизни хозяйствующих субъектов. Финансовое состояние характеризуется обеспеченностью финансовыми ресурсами, необходимыми для нормального функционирования, целесообразным их размещением и эффективным использованием. Назначение управления финансовыми результатами - это своевременно выявлять и устранять недостатки в развитии организации, находить резервы для улучшения финансового состояния организации и обеспечения финансовой устойчивости ее деятельности.</w:t>
      </w:r>
    </w:p>
    <w:p w:rsidR="007074FA" w:rsidRDefault="007074FA" w:rsidP="00707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Практический интерес к разработкам на данную тему обусловлен тем, что эффективная система управления финансовыми результатами - это один из факторов, определяющих перспективы развития организации, ее будущую инвестиционную привлекательность, кредитоспособность и рыночную стоимость. Качественная система управления финансовыми результатами является фундаментальной основой для обеспечения устойчивого роста хозяйствующего субъекта.</w:t>
      </w:r>
      <w:r>
        <w:rPr>
          <w:rStyle w:val="a6"/>
          <w:sz w:val="28"/>
          <w:szCs w:val="28"/>
        </w:rPr>
        <w:footnoteReference w:id="3"/>
      </w:r>
      <w:r>
        <w:rPr>
          <w:sz w:val="28"/>
          <w:szCs w:val="28"/>
        </w:rPr>
        <w:t xml:space="preserve"> </w:t>
      </w:r>
    </w:p>
    <w:p w:rsidR="007074FA" w:rsidRDefault="007074FA" w:rsidP="00707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В расчетах показателей финансовой эффективности используются чистый приведенный доход (</w:t>
      </w:r>
      <w:r>
        <w:rPr>
          <w:sz w:val="28"/>
          <w:szCs w:val="28"/>
          <w:lang w:val="en-US"/>
        </w:rPr>
        <w:t>NPV</w:t>
      </w:r>
      <w:r w:rsidRPr="00221805">
        <w:rPr>
          <w:sz w:val="28"/>
          <w:szCs w:val="28"/>
        </w:rPr>
        <w:t>)</w:t>
      </w:r>
      <w:r>
        <w:rPr>
          <w:sz w:val="28"/>
          <w:szCs w:val="28"/>
        </w:rPr>
        <w:t xml:space="preserve"> и внутренняя норма доходности</w:t>
      </w:r>
      <w:r w:rsidRPr="00221805">
        <w:rPr>
          <w:sz w:val="28"/>
          <w:szCs w:val="28"/>
        </w:rPr>
        <w:t xml:space="preserve"> (</w:t>
      </w:r>
      <w:r>
        <w:rPr>
          <w:sz w:val="28"/>
          <w:szCs w:val="28"/>
          <w:lang w:val="en-US"/>
        </w:rPr>
        <w:t>IRR</w:t>
      </w:r>
      <w:r w:rsidRPr="00221805">
        <w:rPr>
          <w:sz w:val="28"/>
          <w:szCs w:val="28"/>
        </w:rPr>
        <w:t>)</w:t>
      </w:r>
      <w:r>
        <w:rPr>
          <w:sz w:val="28"/>
          <w:szCs w:val="28"/>
        </w:rPr>
        <w:t xml:space="preserve">. </w:t>
      </w:r>
    </w:p>
    <w:p w:rsidR="007074FA" w:rsidRDefault="007074FA" w:rsidP="00707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Ниже описанные IRR-</w:t>
      </w:r>
      <w:r w:rsidRPr="00DE04B0">
        <w:rPr>
          <w:sz w:val="28"/>
          <w:szCs w:val="28"/>
        </w:rPr>
        <w:t xml:space="preserve"> и</w:t>
      </w:r>
      <w:r>
        <w:rPr>
          <w:sz w:val="28"/>
          <w:szCs w:val="28"/>
        </w:rPr>
        <w:t xml:space="preserve"> NPV-методы принадлежат к </w:t>
      </w:r>
      <w:r w:rsidRPr="00DE04B0">
        <w:rPr>
          <w:sz w:val="28"/>
          <w:szCs w:val="28"/>
        </w:rPr>
        <w:t>числу</w:t>
      </w:r>
      <w:r>
        <w:rPr>
          <w:sz w:val="28"/>
          <w:szCs w:val="28"/>
        </w:rPr>
        <w:t xml:space="preserve"> </w:t>
      </w:r>
      <w:r w:rsidRPr="00DE04B0">
        <w:rPr>
          <w:sz w:val="28"/>
          <w:szCs w:val="28"/>
        </w:rPr>
        <w:t>традиционных методов оценки и</w:t>
      </w:r>
      <w:r>
        <w:rPr>
          <w:sz w:val="28"/>
          <w:szCs w:val="28"/>
        </w:rPr>
        <w:t>нвестиций и используются уже в течение</w:t>
      </w:r>
      <w:r w:rsidRPr="00DE04B0">
        <w:rPr>
          <w:sz w:val="28"/>
          <w:szCs w:val="28"/>
        </w:rPr>
        <w:t xml:space="preserve"> более</w:t>
      </w:r>
      <w:r>
        <w:rPr>
          <w:sz w:val="28"/>
          <w:szCs w:val="28"/>
        </w:rPr>
        <w:t xml:space="preserve"> чем трех десятилетий.(см. табл. 2) </w:t>
      </w:r>
      <w:r w:rsidRPr="00DE04B0">
        <w:rPr>
          <w:sz w:val="28"/>
          <w:szCs w:val="28"/>
        </w:rPr>
        <w:t>В абсолютном б</w:t>
      </w:r>
      <w:r>
        <w:rPr>
          <w:sz w:val="28"/>
          <w:szCs w:val="28"/>
        </w:rPr>
        <w:t>ольшинстве случаев определением</w:t>
      </w:r>
      <w:r w:rsidRPr="00DE04B0">
        <w:rPr>
          <w:sz w:val="28"/>
          <w:szCs w:val="28"/>
        </w:rPr>
        <w:t xml:space="preserve"> чистого</w:t>
      </w:r>
      <w:r>
        <w:rPr>
          <w:sz w:val="28"/>
          <w:szCs w:val="28"/>
        </w:rPr>
        <w:t xml:space="preserve"> приведенного </w:t>
      </w:r>
      <w:r w:rsidRPr="00DE04B0">
        <w:rPr>
          <w:sz w:val="28"/>
          <w:szCs w:val="28"/>
        </w:rPr>
        <w:t>д</w:t>
      </w:r>
      <w:r>
        <w:rPr>
          <w:sz w:val="28"/>
          <w:szCs w:val="28"/>
        </w:rPr>
        <w:t>охода и внутренней нормы рентабельности проекта</w:t>
      </w:r>
      <w:r w:rsidRPr="00DE04B0">
        <w:rPr>
          <w:sz w:val="28"/>
          <w:szCs w:val="28"/>
        </w:rPr>
        <w:t xml:space="preserve"> и</w:t>
      </w:r>
      <w:r>
        <w:rPr>
          <w:sz w:val="28"/>
          <w:szCs w:val="28"/>
        </w:rPr>
        <w:t xml:space="preserve"> </w:t>
      </w:r>
      <w:r w:rsidRPr="00DE04B0">
        <w:rPr>
          <w:sz w:val="28"/>
          <w:szCs w:val="28"/>
        </w:rPr>
        <w:t>исчерпывается анализ эффективности. Та</w:t>
      </w:r>
      <w:r>
        <w:rPr>
          <w:sz w:val="28"/>
          <w:szCs w:val="28"/>
        </w:rPr>
        <w:t>кое положение вещей имеет  под</w:t>
      </w:r>
      <w:r w:rsidRPr="00DE04B0">
        <w:rPr>
          <w:sz w:val="28"/>
          <w:szCs w:val="28"/>
        </w:rPr>
        <w:t xml:space="preserve"> собой</w:t>
      </w:r>
      <w:r>
        <w:rPr>
          <w:sz w:val="28"/>
          <w:szCs w:val="28"/>
        </w:rPr>
        <w:t xml:space="preserve"> </w:t>
      </w:r>
      <w:r w:rsidRPr="00DE04B0">
        <w:rPr>
          <w:sz w:val="28"/>
          <w:szCs w:val="28"/>
        </w:rPr>
        <w:t>объективную основу: эти метод</w:t>
      </w:r>
      <w:r>
        <w:rPr>
          <w:sz w:val="28"/>
          <w:szCs w:val="28"/>
        </w:rPr>
        <w:t>ы достаточно просты, не связаны с</w:t>
      </w:r>
      <w:r w:rsidRPr="00DE04B0">
        <w:rPr>
          <w:sz w:val="28"/>
          <w:szCs w:val="28"/>
        </w:rPr>
        <w:t xml:space="preserve"> громоздкими</w:t>
      </w:r>
      <w:r>
        <w:rPr>
          <w:sz w:val="28"/>
          <w:szCs w:val="28"/>
        </w:rPr>
        <w:t xml:space="preserve"> </w:t>
      </w:r>
      <w:r w:rsidRPr="00DE04B0">
        <w:rPr>
          <w:sz w:val="28"/>
          <w:szCs w:val="28"/>
        </w:rPr>
        <w:t xml:space="preserve">вычислениями и могут </w:t>
      </w:r>
      <w:r>
        <w:rPr>
          <w:sz w:val="28"/>
          <w:szCs w:val="28"/>
        </w:rPr>
        <w:t xml:space="preserve">применяться для </w:t>
      </w:r>
      <w:r w:rsidRPr="00DE04B0">
        <w:rPr>
          <w:sz w:val="28"/>
          <w:szCs w:val="28"/>
        </w:rPr>
        <w:t>оценки</w:t>
      </w:r>
      <w:r>
        <w:rPr>
          <w:sz w:val="28"/>
          <w:szCs w:val="28"/>
        </w:rPr>
        <w:t xml:space="preserve"> практически</w:t>
      </w:r>
      <w:r w:rsidRPr="00DE04B0">
        <w:rPr>
          <w:sz w:val="28"/>
          <w:szCs w:val="28"/>
        </w:rPr>
        <w:t xml:space="preserve"> любых</w:t>
      </w:r>
      <w:r>
        <w:rPr>
          <w:sz w:val="28"/>
          <w:szCs w:val="28"/>
        </w:rPr>
        <w:t xml:space="preserve"> </w:t>
      </w:r>
      <w:r w:rsidRPr="00DE04B0">
        <w:rPr>
          <w:sz w:val="28"/>
          <w:szCs w:val="28"/>
        </w:rPr>
        <w:t>инвестиционных проектов, т.е. универсальны.</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p>
    <w:tbl>
      <w:tblPr>
        <w:tblW w:w="103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3240"/>
        <w:gridCol w:w="3060"/>
      </w:tblGrid>
      <w:tr w:rsidR="00254F37" w:rsidTr="009B3A52">
        <w:tc>
          <w:tcPr>
            <w:tcW w:w="4068" w:type="dxa"/>
            <w:shd w:val="clear" w:color="auto" w:fill="auto"/>
          </w:tcPr>
          <w:p w:rsidR="00254F37" w:rsidRPr="009B3A52" w:rsidRDefault="00254F37" w:rsidP="009B3A52">
            <w:pPr>
              <w:jc w:val="center"/>
              <w:rPr>
                <w:b/>
                <w:bCs/>
                <w:sz w:val="28"/>
                <w:szCs w:val="28"/>
              </w:rPr>
            </w:pPr>
            <w:r w:rsidRPr="009B3A52">
              <w:rPr>
                <w:sz w:val="28"/>
                <w:szCs w:val="28"/>
              </w:rPr>
              <w:br w:type="page"/>
            </w:r>
            <w:r w:rsidRPr="009B3A52">
              <w:rPr>
                <w:b/>
                <w:bCs/>
                <w:sz w:val="28"/>
                <w:szCs w:val="28"/>
              </w:rPr>
              <w:t>Формула</w:t>
            </w:r>
          </w:p>
        </w:tc>
        <w:tc>
          <w:tcPr>
            <w:tcW w:w="3240" w:type="dxa"/>
            <w:shd w:val="clear" w:color="auto" w:fill="auto"/>
          </w:tcPr>
          <w:p w:rsidR="00254F37" w:rsidRPr="009B3A52" w:rsidRDefault="00254F37" w:rsidP="009B3A52">
            <w:pPr>
              <w:jc w:val="center"/>
              <w:rPr>
                <w:b/>
                <w:bCs/>
                <w:sz w:val="28"/>
                <w:szCs w:val="28"/>
              </w:rPr>
            </w:pPr>
            <w:r w:rsidRPr="009B3A52">
              <w:rPr>
                <w:b/>
                <w:bCs/>
                <w:sz w:val="28"/>
                <w:szCs w:val="28"/>
              </w:rPr>
              <w:t>Обозначения</w:t>
            </w:r>
          </w:p>
        </w:tc>
        <w:tc>
          <w:tcPr>
            <w:tcW w:w="3060" w:type="dxa"/>
            <w:shd w:val="clear" w:color="auto" w:fill="auto"/>
          </w:tcPr>
          <w:p w:rsidR="00254F37" w:rsidRPr="009B3A52" w:rsidRDefault="00254F37" w:rsidP="009B3A52">
            <w:pPr>
              <w:jc w:val="center"/>
              <w:rPr>
                <w:b/>
                <w:bCs/>
                <w:sz w:val="28"/>
                <w:szCs w:val="28"/>
              </w:rPr>
            </w:pPr>
            <w:r w:rsidRPr="009B3A52">
              <w:rPr>
                <w:b/>
                <w:bCs/>
                <w:sz w:val="28"/>
                <w:szCs w:val="28"/>
              </w:rPr>
              <w:t>Приложение</w:t>
            </w:r>
          </w:p>
        </w:tc>
      </w:tr>
      <w:tr w:rsidR="00254F37" w:rsidTr="009B3A52">
        <w:tc>
          <w:tcPr>
            <w:tcW w:w="4068" w:type="dxa"/>
            <w:shd w:val="clear" w:color="auto" w:fill="auto"/>
          </w:tcPr>
          <w:p w:rsidR="00254F37" w:rsidRPr="009B3A52" w:rsidRDefault="00254F37" w:rsidP="00492790">
            <w:pPr>
              <w:rPr>
                <w:sz w:val="28"/>
                <w:szCs w:val="28"/>
              </w:rPr>
            </w:pPr>
          </w:p>
          <w:p w:rsidR="00254F37" w:rsidRPr="009B3A52" w:rsidRDefault="00254F37" w:rsidP="00492790">
            <w:pPr>
              <w:rPr>
                <w:sz w:val="28"/>
                <w:szCs w:val="28"/>
              </w:rPr>
            </w:pPr>
            <w:r w:rsidRPr="009B3A52">
              <w:rPr>
                <w:sz w:val="28"/>
                <w:szCs w:val="28"/>
                <w:lang w:val="en-US"/>
              </w:rPr>
              <w:t>NPV</w:t>
            </w:r>
            <w:r w:rsidRPr="009B3A52">
              <w:rPr>
                <w:sz w:val="28"/>
                <w:szCs w:val="28"/>
              </w:rPr>
              <w:t>=∑(</w:t>
            </w:r>
            <w:r w:rsidRPr="009B3A52">
              <w:rPr>
                <w:sz w:val="28"/>
                <w:szCs w:val="28"/>
                <w:lang w:val="en-US"/>
              </w:rPr>
              <w:t>FV</w:t>
            </w:r>
            <w:r w:rsidRPr="009B3A52">
              <w:rPr>
                <w:sz w:val="28"/>
                <w:szCs w:val="28"/>
                <w:vertAlign w:val="subscript"/>
                <w:lang w:val="en-US"/>
              </w:rPr>
              <w:t>n</w:t>
            </w:r>
            <w:r w:rsidRPr="009B3A52">
              <w:rPr>
                <w:sz w:val="28"/>
                <w:szCs w:val="28"/>
              </w:rPr>
              <w:t>-З</w:t>
            </w:r>
            <w:r w:rsidRPr="009B3A52">
              <w:rPr>
                <w:sz w:val="28"/>
                <w:szCs w:val="28"/>
                <w:vertAlign w:val="subscript"/>
                <w:lang w:val="en-US"/>
              </w:rPr>
              <w:t>n</w:t>
            </w:r>
            <w:r w:rsidRPr="009B3A52">
              <w:rPr>
                <w:sz w:val="28"/>
                <w:szCs w:val="28"/>
              </w:rPr>
              <w:t>)/(1+</w:t>
            </w:r>
            <w:r w:rsidRPr="009B3A52">
              <w:rPr>
                <w:sz w:val="28"/>
                <w:szCs w:val="28"/>
                <w:lang w:val="en-US"/>
              </w:rPr>
              <w:t>r</w:t>
            </w:r>
            <w:r w:rsidRPr="009B3A52">
              <w:rPr>
                <w:sz w:val="28"/>
                <w:szCs w:val="28"/>
              </w:rPr>
              <w:t>)</w:t>
            </w:r>
            <w:r w:rsidRPr="009B3A52">
              <w:rPr>
                <w:sz w:val="28"/>
                <w:szCs w:val="28"/>
                <w:vertAlign w:val="superscript"/>
                <w:lang w:val="en-US"/>
              </w:rPr>
              <w:t>n</w:t>
            </w:r>
            <w:r w:rsidRPr="009B3A52">
              <w:rPr>
                <w:sz w:val="28"/>
                <w:szCs w:val="28"/>
              </w:rPr>
              <w:t>-</w:t>
            </w:r>
            <w:r w:rsidRPr="009B3A52">
              <w:rPr>
                <w:sz w:val="28"/>
                <w:szCs w:val="28"/>
                <w:lang w:val="en-US"/>
              </w:rPr>
              <w:t>CI</w:t>
            </w:r>
          </w:p>
        </w:tc>
        <w:tc>
          <w:tcPr>
            <w:tcW w:w="3240" w:type="dxa"/>
            <w:shd w:val="clear" w:color="auto" w:fill="auto"/>
          </w:tcPr>
          <w:p w:rsidR="00254F37" w:rsidRPr="009B3A52" w:rsidRDefault="00254F37" w:rsidP="00492790">
            <w:pPr>
              <w:rPr>
                <w:sz w:val="28"/>
                <w:szCs w:val="28"/>
              </w:rPr>
            </w:pPr>
            <w:r w:rsidRPr="009B3A52">
              <w:rPr>
                <w:b/>
                <w:bCs/>
                <w:sz w:val="28"/>
                <w:szCs w:val="28"/>
                <w:lang w:val="en-US"/>
              </w:rPr>
              <w:t>NPV</w:t>
            </w:r>
            <w:r w:rsidRPr="009B3A52">
              <w:rPr>
                <w:b/>
                <w:bCs/>
                <w:sz w:val="28"/>
                <w:szCs w:val="28"/>
              </w:rPr>
              <w:t>-</w:t>
            </w:r>
            <w:r w:rsidRPr="009B3A52">
              <w:rPr>
                <w:sz w:val="28"/>
                <w:szCs w:val="28"/>
              </w:rPr>
              <w:t>сумма чистого приведенного дохода по инвестиционному проекту при едино-временном осущест-влении инвестицион-ных затрат;</w:t>
            </w:r>
          </w:p>
          <w:p w:rsidR="00254F37" w:rsidRPr="009B3A52" w:rsidRDefault="00254F37" w:rsidP="00492790">
            <w:pPr>
              <w:rPr>
                <w:sz w:val="28"/>
                <w:szCs w:val="28"/>
              </w:rPr>
            </w:pPr>
            <w:r w:rsidRPr="009B3A52">
              <w:rPr>
                <w:b/>
                <w:bCs/>
                <w:sz w:val="28"/>
                <w:szCs w:val="28"/>
                <w:lang w:val="en-US"/>
              </w:rPr>
              <w:t>FV</w:t>
            </w:r>
            <w:r w:rsidRPr="009B3A52">
              <w:rPr>
                <w:b/>
                <w:bCs/>
                <w:position w:val="-6"/>
                <w:sz w:val="28"/>
                <w:szCs w:val="28"/>
                <w:lang w:val="en-US"/>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7" o:title=""/>
                </v:shape>
                <o:OLEObject Type="Embed" ProgID="Equation.3" ShapeID="_x0000_i1025" DrawAspect="Content" ObjectID="_1459354822" r:id="rId8"/>
              </w:object>
            </w:r>
            <w:r w:rsidRPr="009B3A52">
              <w:rPr>
                <w:sz w:val="28"/>
                <w:szCs w:val="28"/>
              </w:rPr>
              <w:t>- валовой доход от продажи товаров;</w:t>
            </w:r>
          </w:p>
          <w:p w:rsidR="00254F37" w:rsidRPr="009B3A52" w:rsidRDefault="00254F37" w:rsidP="00492790">
            <w:pPr>
              <w:rPr>
                <w:sz w:val="28"/>
                <w:szCs w:val="28"/>
              </w:rPr>
            </w:pPr>
            <w:r w:rsidRPr="009B3A52">
              <w:rPr>
                <w:b/>
                <w:bCs/>
                <w:sz w:val="28"/>
                <w:szCs w:val="28"/>
              </w:rPr>
              <w:t>З</w:t>
            </w:r>
            <w:r w:rsidRPr="009B3A52">
              <w:rPr>
                <w:b/>
                <w:bCs/>
                <w:position w:val="-6"/>
                <w:sz w:val="28"/>
                <w:szCs w:val="28"/>
              </w:rPr>
              <w:object w:dxaOrig="200" w:dyaOrig="220">
                <v:shape id="_x0000_i1026" type="#_x0000_t75" style="width:9.75pt;height:11.25pt" o:ole="">
                  <v:imagedata r:id="rId7" o:title=""/>
                </v:shape>
                <o:OLEObject Type="Embed" ProgID="Equation.3" ShapeID="_x0000_i1026" DrawAspect="Content" ObjectID="_1459354823" r:id="rId9"/>
              </w:object>
            </w:r>
            <w:r w:rsidRPr="009B3A52">
              <w:rPr>
                <w:b/>
                <w:bCs/>
                <w:sz w:val="28"/>
                <w:szCs w:val="28"/>
              </w:rPr>
              <w:t>-</w:t>
            </w:r>
            <w:r w:rsidRPr="009B3A52">
              <w:rPr>
                <w:sz w:val="28"/>
                <w:szCs w:val="28"/>
              </w:rPr>
              <w:t>затраты</w:t>
            </w:r>
          </w:p>
          <w:p w:rsidR="00254F37" w:rsidRPr="009B3A52" w:rsidRDefault="00254F37" w:rsidP="00492790">
            <w:pPr>
              <w:rPr>
                <w:sz w:val="28"/>
                <w:szCs w:val="28"/>
              </w:rPr>
            </w:pPr>
            <w:r w:rsidRPr="009B3A52">
              <w:rPr>
                <w:b/>
                <w:bCs/>
                <w:sz w:val="28"/>
                <w:szCs w:val="28"/>
                <w:lang w:val="en-US"/>
              </w:rPr>
              <w:t>CI</w:t>
            </w:r>
            <w:r w:rsidRPr="009B3A52">
              <w:rPr>
                <w:sz w:val="28"/>
                <w:szCs w:val="28"/>
              </w:rPr>
              <w:t xml:space="preserve">-исходные инвес-тиции; </w:t>
            </w:r>
          </w:p>
          <w:p w:rsidR="00254F37" w:rsidRPr="009B3A52" w:rsidRDefault="00254F37" w:rsidP="00492790">
            <w:pPr>
              <w:rPr>
                <w:sz w:val="28"/>
                <w:szCs w:val="28"/>
              </w:rPr>
            </w:pPr>
            <w:r w:rsidRPr="009B3A52">
              <w:rPr>
                <w:position w:val="-6"/>
                <w:sz w:val="28"/>
                <w:szCs w:val="28"/>
              </w:rPr>
              <w:object w:dxaOrig="200" w:dyaOrig="220">
                <v:shape id="_x0000_i1027" type="#_x0000_t75" style="width:9.75pt;height:11.25pt" o:ole="">
                  <v:imagedata r:id="rId10" o:title=""/>
                </v:shape>
                <o:OLEObject Type="Embed" ProgID="Equation.3" ShapeID="_x0000_i1027" DrawAspect="Content" ObjectID="_1459354824" r:id="rId11"/>
              </w:object>
            </w:r>
            <w:r w:rsidRPr="009B3A52">
              <w:rPr>
                <w:sz w:val="28"/>
                <w:szCs w:val="28"/>
              </w:rPr>
              <w:t>- число периодов.</w:t>
            </w:r>
          </w:p>
        </w:tc>
        <w:tc>
          <w:tcPr>
            <w:tcW w:w="3060" w:type="dxa"/>
            <w:shd w:val="clear" w:color="auto" w:fill="auto"/>
          </w:tcPr>
          <w:p w:rsidR="00254F37" w:rsidRPr="009B3A52" w:rsidRDefault="00254F37" w:rsidP="00492790">
            <w:pPr>
              <w:rPr>
                <w:sz w:val="28"/>
                <w:szCs w:val="28"/>
              </w:rPr>
            </w:pPr>
            <w:r w:rsidRPr="009B3A52">
              <w:rPr>
                <w:sz w:val="28"/>
                <w:szCs w:val="28"/>
              </w:rPr>
              <w:t>Метод расчета чистого приведенного дохода основан на сопоставлении величины исходной инвестиции (IC) с общей суммой дисконтированных чистых денежных поступлений, генерируемых ею в течение прогнозируемого срока.</w:t>
            </w:r>
          </w:p>
          <w:p w:rsidR="00254F37" w:rsidRPr="009B3A52" w:rsidRDefault="00254F37" w:rsidP="00492790">
            <w:pPr>
              <w:rPr>
                <w:sz w:val="28"/>
                <w:szCs w:val="28"/>
              </w:rPr>
            </w:pPr>
            <w:r w:rsidRPr="009B3A52">
              <w:rPr>
                <w:sz w:val="28"/>
                <w:szCs w:val="28"/>
              </w:rPr>
              <w:t>Очевидно, что если: NPV &gt; 0, то проект следует принять;</w:t>
            </w:r>
          </w:p>
          <w:p w:rsidR="00254F37" w:rsidRPr="009B3A52" w:rsidRDefault="00254F37" w:rsidP="00492790">
            <w:pPr>
              <w:rPr>
                <w:sz w:val="28"/>
                <w:szCs w:val="28"/>
              </w:rPr>
            </w:pPr>
            <w:r w:rsidRPr="009B3A52">
              <w:rPr>
                <w:sz w:val="28"/>
                <w:szCs w:val="28"/>
              </w:rPr>
              <w:t>NPV &lt; 0, то проект следует отвергнуть;</w:t>
            </w:r>
          </w:p>
          <w:p w:rsidR="00254F37" w:rsidRPr="009B3A52" w:rsidRDefault="00254F37" w:rsidP="00492790">
            <w:pPr>
              <w:rPr>
                <w:sz w:val="28"/>
                <w:szCs w:val="28"/>
              </w:rPr>
            </w:pPr>
            <w:r w:rsidRPr="009B3A52">
              <w:rPr>
                <w:sz w:val="28"/>
                <w:szCs w:val="28"/>
              </w:rPr>
              <w:t>NPV = 0, то проект ни прибыльный, ни убыточный.</w:t>
            </w:r>
          </w:p>
        </w:tc>
      </w:tr>
      <w:tr w:rsidR="00254F37" w:rsidTr="009B3A52">
        <w:trPr>
          <w:trHeight w:val="4141"/>
        </w:trPr>
        <w:tc>
          <w:tcPr>
            <w:tcW w:w="4068" w:type="dxa"/>
            <w:shd w:val="clear" w:color="auto" w:fill="auto"/>
          </w:tcPr>
          <w:p w:rsidR="00254F37" w:rsidRPr="009B3A52" w:rsidRDefault="00254F37" w:rsidP="00492790">
            <w:pPr>
              <w:rPr>
                <w:sz w:val="28"/>
                <w:szCs w:val="28"/>
                <w:lang w:val="en-US"/>
              </w:rPr>
            </w:pPr>
            <w:r w:rsidRPr="009B3A52">
              <w:rPr>
                <w:sz w:val="28"/>
                <w:szCs w:val="28"/>
                <w:lang w:val="en-US"/>
              </w:rPr>
              <w:t>IRR=r</w:t>
            </w:r>
            <w:r w:rsidRPr="009B3A52">
              <w:rPr>
                <w:sz w:val="28"/>
                <w:szCs w:val="28"/>
                <w:vertAlign w:val="subscript"/>
                <w:lang w:val="en-US"/>
              </w:rPr>
              <w:t>1</w:t>
            </w:r>
            <w:r w:rsidRPr="009B3A52">
              <w:rPr>
                <w:sz w:val="28"/>
                <w:szCs w:val="28"/>
                <w:lang w:val="en-US"/>
              </w:rPr>
              <w:t>+(f(r</w:t>
            </w:r>
            <w:r w:rsidRPr="009B3A52">
              <w:rPr>
                <w:sz w:val="28"/>
                <w:szCs w:val="28"/>
                <w:vertAlign w:val="subscript"/>
                <w:lang w:val="en-US"/>
              </w:rPr>
              <w:t>1</w:t>
            </w:r>
            <w:r w:rsidRPr="009B3A52">
              <w:rPr>
                <w:sz w:val="28"/>
                <w:szCs w:val="28"/>
                <w:lang w:val="en-US"/>
              </w:rPr>
              <w:t>))/( f(r</w:t>
            </w:r>
            <w:r w:rsidRPr="009B3A52">
              <w:rPr>
                <w:sz w:val="28"/>
                <w:szCs w:val="28"/>
                <w:vertAlign w:val="subscript"/>
                <w:lang w:val="en-US"/>
              </w:rPr>
              <w:t>1</w:t>
            </w:r>
            <w:r w:rsidRPr="009B3A52">
              <w:rPr>
                <w:sz w:val="28"/>
                <w:szCs w:val="28"/>
                <w:lang w:val="en-US"/>
              </w:rPr>
              <w:t>)- f(r</w:t>
            </w:r>
            <w:r w:rsidRPr="009B3A52">
              <w:rPr>
                <w:sz w:val="28"/>
                <w:szCs w:val="28"/>
                <w:vertAlign w:val="subscript"/>
                <w:lang w:val="en-US"/>
              </w:rPr>
              <w:t>2</w:t>
            </w:r>
            <w:r w:rsidRPr="009B3A52">
              <w:rPr>
                <w:sz w:val="28"/>
                <w:szCs w:val="28"/>
                <w:lang w:val="en-US"/>
              </w:rPr>
              <w:t>))*(r</w:t>
            </w:r>
            <w:r w:rsidRPr="009B3A52">
              <w:rPr>
                <w:sz w:val="28"/>
                <w:szCs w:val="28"/>
                <w:vertAlign w:val="subscript"/>
                <w:lang w:val="en-US"/>
              </w:rPr>
              <w:t>2</w:t>
            </w:r>
            <w:r w:rsidRPr="009B3A52">
              <w:rPr>
                <w:sz w:val="28"/>
                <w:szCs w:val="28"/>
                <w:lang w:val="en-US"/>
              </w:rPr>
              <w:t>-r</w:t>
            </w:r>
            <w:r w:rsidRPr="009B3A52">
              <w:rPr>
                <w:sz w:val="28"/>
                <w:szCs w:val="28"/>
                <w:vertAlign w:val="subscript"/>
                <w:lang w:val="en-US"/>
              </w:rPr>
              <w:t>1</w:t>
            </w:r>
            <w:r w:rsidRPr="009B3A52">
              <w:rPr>
                <w:sz w:val="28"/>
                <w:szCs w:val="28"/>
                <w:lang w:val="en-US"/>
              </w:rPr>
              <w:t>)</w:t>
            </w:r>
          </w:p>
        </w:tc>
        <w:tc>
          <w:tcPr>
            <w:tcW w:w="3240" w:type="dxa"/>
            <w:shd w:val="clear" w:color="auto" w:fill="auto"/>
          </w:tcPr>
          <w:p w:rsidR="00254F37" w:rsidRPr="009B3A52" w:rsidRDefault="00254F37" w:rsidP="00492790">
            <w:pPr>
              <w:rPr>
                <w:sz w:val="28"/>
                <w:szCs w:val="28"/>
              </w:rPr>
            </w:pPr>
            <w:r w:rsidRPr="009B3A52">
              <w:rPr>
                <w:sz w:val="28"/>
                <w:szCs w:val="28"/>
                <w:lang w:val="en-US"/>
              </w:rPr>
              <w:t>r</w:t>
            </w:r>
            <w:r w:rsidRPr="009B3A52">
              <w:rPr>
                <w:sz w:val="28"/>
                <w:szCs w:val="28"/>
                <w:vertAlign w:val="subscript"/>
              </w:rPr>
              <w:t>1</w:t>
            </w:r>
            <w:r w:rsidRPr="009B3A52">
              <w:rPr>
                <w:sz w:val="28"/>
                <w:szCs w:val="28"/>
              </w:rPr>
              <w:t xml:space="preserve">- значение выбранной нормы дисконта </w:t>
            </w:r>
            <w:r w:rsidRPr="009B3A52">
              <w:rPr>
                <w:sz w:val="28"/>
                <w:szCs w:val="28"/>
                <w:lang w:val="en-US"/>
              </w:rPr>
              <w:t>min</w:t>
            </w:r>
            <w:r w:rsidRPr="009B3A52">
              <w:rPr>
                <w:sz w:val="28"/>
                <w:szCs w:val="28"/>
              </w:rPr>
              <w:t>.</w:t>
            </w:r>
          </w:p>
          <w:p w:rsidR="00254F37" w:rsidRPr="009B3A52" w:rsidRDefault="00254F37" w:rsidP="00492790">
            <w:pPr>
              <w:rPr>
                <w:sz w:val="28"/>
                <w:szCs w:val="28"/>
              </w:rPr>
            </w:pPr>
            <w:r w:rsidRPr="009B3A52">
              <w:rPr>
                <w:sz w:val="28"/>
                <w:szCs w:val="28"/>
                <w:lang w:val="en-US"/>
              </w:rPr>
              <w:t>r</w:t>
            </w:r>
            <w:r w:rsidRPr="009B3A52">
              <w:rPr>
                <w:sz w:val="28"/>
                <w:szCs w:val="28"/>
                <w:vertAlign w:val="subscript"/>
              </w:rPr>
              <w:t>2</w:t>
            </w:r>
            <w:r w:rsidRPr="009B3A52">
              <w:rPr>
                <w:sz w:val="28"/>
                <w:szCs w:val="28"/>
              </w:rPr>
              <w:t xml:space="preserve">- значение выбранной нормы дисконта </w:t>
            </w:r>
            <w:r w:rsidRPr="009B3A52">
              <w:rPr>
                <w:sz w:val="28"/>
                <w:szCs w:val="28"/>
                <w:lang w:val="en-US"/>
              </w:rPr>
              <w:t>max</w:t>
            </w:r>
          </w:p>
          <w:p w:rsidR="00254F37" w:rsidRPr="009B3A52" w:rsidRDefault="00254F37" w:rsidP="00492790">
            <w:pPr>
              <w:rPr>
                <w:sz w:val="28"/>
                <w:szCs w:val="28"/>
              </w:rPr>
            </w:pPr>
            <w:r w:rsidRPr="009B3A52">
              <w:rPr>
                <w:sz w:val="28"/>
                <w:szCs w:val="28"/>
              </w:rPr>
              <w:t>(чем меньше интервал (</w:t>
            </w:r>
            <w:r w:rsidRPr="009B3A52">
              <w:rPr>
                <w:sz w:val="28"/>
                <w:szCs w:val="28"/>
                <w:lang w:val="en-US"/>
              </w:rPr>
              <w:t>r</w:t>
            </w:r>
            <w:r w:rsidRPr="009B3A52">
              <w:rPr>
                <w:sz w:val="28"/>
                <w:szCs w:val="28"/>
                <w:vertAlign w:val="subscript"/>
              </w:rPr>
              <w:t>1,</w:t>
            </w:r>
            <w:r w:rsidRPr="009B3A52">
              <w:rPr>
                <w:sz w:val="28"/>
                <w:szCs w:val="28"/>
              </w:rPr>
              <w:t xml:space="preserve"> </w:t>
            </w:r>
            <w:r w:rsidRPr="009B3A52">
              <w:rPr>
                <w:sz w:val="28"/>
                <w:szCs w:val="28"/>
                <w:lang w:val="en-US"/>
              </w:rPr>
              <w:t>r</w:t>
            </w:r>
            <w:r w:rsidRPr="009B3A52">
              <w:rPr>
                <w:sz w:val="28"/>
                <w:szCs w:val="28"/>
                <w:vertAlign w:val="subscript"/>
              </w:rPr>
              <w:t>2</w:t>
            </w:r>
            <w:r w:rsidRPr="009B3A52">
              <w:rPr>
                <w:sz w:val="28"/>
                <w:szCs w:val="28"/>
              </w:rPr>
              <w:t xml:space="preserve"> ), тем выше точность вычислений. </w:t>
            </w:r>
          </w:p>
        </w:tc>
        <w:tc>
          <w:tcPr>
            <w:tcW w:w="3060" w:type="dxa"/>
            <w:shd w:val="clear" w:color="auto" w:fill="auto"/>
          </w:tcPr>
          <w:p w:rsidR="00254F37" w:rsidRPr="009B3A52" w:rsidRDefault="00254F37" w:rsidP="00492790">
            <w:pPr>
              <w:rPr>
                <w:sz w:val="28"/>
                <w:szCs w:val="28"/>
              </w:rPr>
            </w:pPr>
            <w:r w:rsidRPr="009B3A52">
              <w:rPr>
                <w:sz w:val="28"/>
                <w:szCs w:val="28"/>
              </w:rPr>
              <w:t>IRR = r, при котором NPV = f(r) = 0, Достоинства показателя внутренняя норма доходности (IRR) состоят в том, что кроме определения уровня рентабельности инвестиции, есть возможность сравнить проекты разного масштаба и различной длительности.</w:t>
            </w:r>
          </w:p>
        </w:tc>
      </w:tr>
    </w:tbl>
    <w:p w:rsidR="00254F37" w:rsidRDefault="00254F37" w:rsidP="00254F37"/>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right"/>
        <w:rPr>
          <w:sz w:val="28"/>
          <w:szCs w:val="28"/>
        </w:rPr>
      </w:pPr>
      <w:r>
        <w:rPr>
          <w:sz w:val="28"/>
          <w:szCs w:val="28"/>
        </w:rPr>
        <w:t>Табл. 2.</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right"/>
        <w:rPr>
          <w:sz w:val="28"/>
          <w:szCs w:val="28"/>
        </w:rPr>
      </w:pPr>
    </w:p>
    <w:p w:rsidR="00254F37" w:rsidRPr="007A4CF1"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xml:space="preserve">Пример. Руководство фирмы намеривается вкладывать деньги в производство новой продукции с ожидаемой суммой поступлений в размере 116 млн.руб. через 4 года. Для обеспечения производства потребуются среднегодовые затраты без амортизационных отчислений в сумме с налогами и платежами, отнесенными на финансовые результаты, и налогом на прибыль 5 млн.руб. Капитальные вложения в сумме за весь период инвестирования равны 60 млн.руб. Норма дисконта определена в размере 11% в год. Требуется рассчитать  </w:t>
      </w:r>
      <w:r>
        <w:rPr>
          <w:sz w:val="28"/>
          <w:szCs w:val="28"/>
          <w:lang w:val="en-US"/>
        </w:rPr>
        <w:t>NPV</w:t>
      </w:r>
      <w:r w:rsidRPr="00D426DB">
        <w:rPr>
          <w:sz w:val="28"/>
          <w:szCs w:val="28"/>
        </w:rPr>
        <w:t xml:space="preserve">, </w:t>
      </w:r>
      <w:r>
        <w:rPr>
          <w:sz w:val="28"/>
          <w:szCs w:val="28"/>
          <w:lang w:val="en-US"/>
        </w:rPr>
        <w:t>IRR</w:t>
      </w:r>
      <w:r w:rsidRPr="00D426DB">
        <w:rPr>
          <w:sz w:val="28"/>
          <w:szCs w:val="28"/>
        </w:rPr>
        <w:t>.</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sz w:val="28"/>
          <w:szCs w:val="28"/>
        </w:rPr>
      </w:pPr>
      <w:r>
        <w:rPr>
          <w:sz w:val="28"/>
          <w:szCs w:val="28"/>
        </w:rPr>
        <w:t>Определим сумму затрат за 4 года:</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sz w:val="28"/>
          <w:szCs w:val="28"/>
        </w:rPr>
      </w:pPr>
      <w:r>
        <w:rPr>
          <w:sz w:val="28"/>
          <w:szCs w:val="28"/>
        </w:rPr>
        <w:t>З</w:t>
      </w:r>
      <w:r>
        <w:rPr>
          <w:sz w:val="28"/>
          <w:szCs w:val="28"/>
          <w:vertAlign w:val="subscript"/>
        </w:rPr>
        <w:t>4</w:t>
      </w:r>
      <w:r>
        <w:rPr>
          <w:sz w:val="28"/>
          <w:szCs w:val="28"/>
        </w:rPr>
        <w:t>=5*4=20 млн. руб.</w:t>
      </w:r>
    </w:p>
    <w:p w:rsidR="00254F37" w:rsidRPr="007A4CF1"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sz w:val="28"/>
          <w:szCs w:val="28"/>
        </w:rPr>
      </w:pPr>
      <w:r>
        <w:rPr>
          <w:sz w:val="28"/>
          <w:szCs w:val="28"/>
          <w:lang w:val="en-US"/>
        </w:rPr>
        <w:t>NPV</w:t>
      </w:r>
      <w:r>
        <w:rPr>
          <w:sz w:val="28"/>
          <w:szCs w:val="28"/>
        </w:rPr>
        <w:t>= (116-20)/(1+0,11)</w:t>
      </w:r>
      <w:r>
        <w:rPr>
          <w:sz w:val="28"/>
          <w:szCs w:val="28"/>
          <w:vertAlign w:val="superscript"/>
        </w:rPr>
        <w:t>4</w:t>
      </w:r>
      <w:r>
        <w:rPr>
          <w:sz w:val="28"/>
          <w:szCs w:val="28"/>
        </w:rPr>
        <w:t>-60=3,24 млрд. руб.</w:t>
      </w:r>
    </w:p>
    <w:p w:rsidR="00254F37" w:rsidRPr="003F015F"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 xml:space="preserve">Для определения </w:t>
      </w:r>
      <w:r>
        <w:rPr>
          <w:sz w:val="28"/>
          <w:szCs w:val="28"/>
          <w:lang w:val="en-US"/>
        </w:rPr>
        <w:t>IRR</w:t>
      </w:r>
      <w:r w:rsidRPr="003F015F">
        <w:rPr>
          <w:sz w:val="28"/>
          <w:szCs w:val="28"/>
        </w:rPr>
        <w:t xml:space="preserve"> </w:t>
      </w:r>
      <w:r>
        <w:rPr>
          <w:sz w:val="28"/>
          <w:szCs w:val="28"/>
        </w:rPr>
        <w:t xml:space="preserve">следует использовать формулу, в которой сумма исходных вложений не дисконтируется . На основе этой формулы определим </w:t>
      </w:r>
      <w:r>
        <w:rPr>
          <w:sz w:val="28"/>
          <w:szCs w:val="28"/>
          <w:lang w:val="en-US"/>
        </w:rPr>
        <w:t>IRR</w:t>
      </w:r>
      <w:r>
        <w:rPr>
          <w:sz w:val="28"/>
          <w:szCs w:val="28"/>
        </w:rPr>
        <w:t xml:space="preserve"> с помощью процедуры «Подбор параметра» пакета «</w:t>
      </w:r>
      <w:r>
        <w:rPr>
          <w:sz w:val="28"/>
          <w:szCs w:val="28"/>
          <w:lang w:val="en-US"/>
        </w:rPr>
        <w:t>Microsoft</w:t>
      </w:r>
      <w:r w:rsidRPr="003F015F">
        <w:rPr>
          <w:sz w:val="28"/>
          <w:szCs w:val="28"/>
        </w:rPr>
        <w:t xml:space="preserve"> </w:t>
      </w:r>
      <w:r>
        <w:rPr>
          <w:sz w:val="28"/>
          <w:szCs w:val="28"/>
          <w:lang w:val="en-US"/>
        </w:rPr>
        <w:t>Excel</w:t>
      </w:r>
      <w:r>
        <w:rPr>
          <w:sz w:val="28"/>
          <w:szCs w:val="28"/>
        </w:rPr>
        <w:t xml:space="preserve">» ПЭВМ. Таким образом, </w:t>
      </w:r>
      <w:r>
        <w:rPr>
          <w:sz w:val="28"/>
          <w:szCs w:val="28"/>
          <w:lang w:val="en-US"/>
        </w:rPr>
        <w:t>IRR</w:t>
      </w:r>
      <w:r>
        <w:rPr>
          <w:sz w:val="28"/>
          <w:szCs w:val="28"/>
        </w:rPr>
        <w:t>≈</w:t>
      </w:r>
      <w:r w:rsidRPr="003F015F">
        <w:rPr>
          <w:sz w:val="28"/>
          <w:szCs w:val="28"/>
        </w:rPr>
        <w:t>0</w:t>
      </w:r>
      <w:r>
        <w:rPr>
          <w:sz w:val="28"/>
          <w:szCs w:val="28"/>
        </w:rPr>
        <w:t xml:space="preserve">,12682 </w:t>
      </w:r>
    </w:p>
    <w:p w:rsidR="00254F37" w:rsidRPr="003F015F"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center"/>
        <w:rPr>
          <w:sz w:val="28"/>
          <w:szCs w:val="28"/>
        </w:rPr>
      </w:pPr>
      <w:r>
        <w:rPr>
          <w:sz w:val="28"/>
          <w:szCs w:val="28"/>
          <w:lang w:val="en-US"/>
        </w:rPr>
        <w:t>IRR</w:t>
      </w:r>
      <w:r w:rsidRPr="003F015F">
        <w:rPr>
          <w:sz w:val="28"/>
          <w:szCs w:val="28"/>
        </w:rPr>
        <w:t>=0.12469+(-0.002)/(-0.002-0.003)*(0.12467-0.12469)=0.124682</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right"/>
        <w:rPr>
          <w:sz w:val="28"/>
          <w:szCs w:val="28"/>
        </w:rPr>
      </w:pP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right"/>
        <w:rPr>
          <w:sz w:val="28"/>
          <w:szCs w:val="28"/>
        </w:rPr>
      </w:pP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right"/>
        <w:rPr>
          <w:sz w:val="28"/>
          <w:szCs w:val="28"/>
        </w:rPr>
      </w:pPr>
    </w:p>
    <w:p w:rsidR="00254F37" w:rsidRDefault="00254F37" w:rsidP="00254F37">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57"/>
        <w:jc w:val="center"/>
        <w:rPr>
          <w:b/>
          <w:bCs/>
          <w:sz w:val="28"/>
          <w:szCs w:val="28"/>
        </w:rPr>
      </w:pPr>
      <w:r w:rsidRPr="00F91683">
        <w:rPr>
          <w:b/>
          <w:bCs/>
          <w:sz w:val="28"/>
          <w:szCs w:val="28"/>
        </w:rPr>
        <w:t>Глава 2.</w:t>
      </w:r>
      <w:r>
        <w:rPr>
          <w:sz w:val="28"/>
          <w:szCs w:val="28"/>
        </w:rPr>
        <w:t xml:space="preserve"> </w:t>
      </w:r>
      <w:r w:rsidRPr="00E21FC0">
        <w:rPr>
          <w:b/>
          <w:bCs/>
          <w:sz w:val="28"/>
          <w:szCs w:val="28"/>
        </w:rPr>
        <w:t xml:space="preserve">РАЗРАБОТКА ИНВЕСТИЦИОННОЙ ПОЛИТИКИ НА ПРИМЕРЕ </w:t>
      </w:r>
      <w:r>
        <w:rPr>
          <w:b/>
          <w:bCs/>
          <w:sz w:val="28"/>
          <w:szCs w:val="28"/>
        </w:rPr>
        <w:t>КОМПАНИИ</w:t>
      </w:r>
      <w:r w:rsidRPr="00E21FC0">
        <w:rPr>
          <w:b/>
          <w:bCs/>
          <w:sz w:val="28"/>
          <w:szCs w:val="28"/>
        </w:rPr>
        <w:t xml:space="preserve"> «Сувар-Казань»</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В начале апреля 2006 г. 000 «Компания "Сувар-Казань"» разместила ПЕРВЫЙ ОБЛИГАЦИОННЫЙ ЗАЕМ ОБЪЕМОМ 900 МЛН. РУБ. СРОК ОБРАЩЕНИЯ ЦЕННЫХ бумаг - 3 года. Целью эмиссии является финансирование проектов строительной отрасли Республики Татарстан</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b/>
          <w:bCs/>
          <w:sz w:val="28"/>
          <w:szCs w:val="28"/>
        </w:rPr>
      </w:pPr>
      <w:r>
        <w:rPr>
          <w:b/>
          <w:bCs/>
          <w:sz w:val="28"/>
          <w:szCs w:val="28"/>
        </w:rPr>
        <w:t>§2.1. Описание компании</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ООО «Компания «Сувар-Казань» (далее - Компания) была создана 8 апреля 1999 г. На сегодняшний день уставный капитал Компании составляет 924 824 216 руб. Основной целью Ком</w:t>
      </w:r>
      <w:r>
        <w:rPr>
          <w:sz w:val="28"/>
          <w:szCs w:val="28"/>
        </w:rPr>
        <w:softHyphen/>
        <w:t>пании является профессиональное сопровождение строительных проектов.</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За 6 лет существования Компания заняла стабильные позиции в сфере привлечения и освоения инвестиций в строительство крупных объектов социальной инфраструктуры Казани и их дальнейшей эксплуатации. В настоящее время основ</w:t>
      </w:r>
      <w:r>
        <w:rPr>
          <w:sz w:val="28"/>
          <w:szCs w:val="28"/>
        </w:rPr>
        <w:softHyphen/>
        <w:t>ными видами деятельности Компании являются следующие направления:</w:t>
      </w:r>
    </w:p>
    <w:p w:rsidR="00254F37" w:rsidRDefault="00254F37" w:rsidP="00254F37">
      <w:pPr>
        <w:numPr>
          <w:ilvl w:val="0"/>
          <w:numId w:val="7"/>
        </w:numPr>
        <w:spacing w:line="360" w:lineRule="auto"/>
        <w:jc w:val="both"/>
        <w:rPr>
          <w:sz w:val="28"/>
          <w:szCs w:val="28"/>
        </w:rPr>
      </w:pPr>
      <w:r>
        <w:rPr>
          <w:sz w:val="28"/>
          <w:szCs w:val="28"/>
        </w:rPr>
        <w:t>девелоперская деятельность и инвестирование в объекты социально-культурного на</w:t>
      </w:r>
      <w:r>
        <w:rPr>
          <w:sz w:val="28"/>
          <w:szCs w:val="28"/>
        </w:rPr>
        <w:softHyphen/>
        <w:t>значения, торговли, офисные центры, складские площади, производственные объекты;</w:t>
      </w:r>
    </w:p>
    <w:p w:rsidR="00254F37" w:rsidRDefault="00254F37" w:rsidP="00254F37">
      <w:pPr>
        <w:numPr>
          <w:ilvl w:val="0"/>
          <w:numId w:val="7"/>
        </w:numPr>
        <w:spacing w:line="360" w:lineRule="auto"/>
        <w:jc w:val="both"/>
        <w:rPr>
          <w:sz w:val="28"/>
          <w:szCs w:val="28"/>
        </w:rPr>
      </w:pPr>
      <w:r>
        <w:rPr>
          <w:sz w:val="28"/>
          <w:szCs w:val="28"/>
        </w:rPr>
        <w:t>проектные, строительные, ремонтные и монтажные работы;</w:t>
      </w:r>
    </w:p>
    <w:p w:rsidR="00254F37" w:rsidRDefault="00254F37" w:rsidP="00254F37">
      <w:pPr>
        <w:numPr>
          <w:ilvl w:val="0"/>
          <w:numId w:val="7"/>
        </w:numPr>
        <w:spacing w:line="360" w:lineRule="auto"/>
        <w:jc w:val="both"/>
        <w:rPr>
          <w:sz w:val="28"/>
          <w:szCs w:val="28"/>
        </w:rPr>
      </w:pPr>
      <w:r>
        <w:rPr>
          <w:sz w:val="28"/>
          <w:szCs w:val="28"/>
        </w:rPr>
        <w:t>сдача в аренду недвижимости, принадлежащие Компании на праве собственности;</w:t>
      </w:r>
    </w:p>
    <w:p w:rsidR="00254F37" w:rsidRDefault="00254F37" w:rsidP="00254F37">
      <w:pPr>
        <w:numPr>
          <w:ilvl w:val="0"/>
          <w:numId w:val="7"/>
        </w:numPr>
        <w:spacing w:line="360" w:lineRule="auto"/>
        <w:jc w:val="both"/>
        <w:rPr>
          <w:sz w:val="28"/>
          <w:szCs w:val="28"/>
        </w:rPr>
      </w:pPr>
      <w:r>
        <w:rPr>
          <w:sz w:val="28"/>
          <w:szCs w:val="28"/>
        </w:rPr>
        <w:t>услуги агента по реализации нефти на экспорт;</w:t>
      </w:r>
    </w:p>
    <w:p w:rsidR="00254F37" w:rsidRDefault="00254F37" w:rsidP="00254F37">
      <w:pPr>
        <w:numPr>
          <w:ilvl w:val="0"/>
          <w:numId w:val="7"/>
        </w:numPr>
        <w:spacing w:line="360" w:lineRule="auto"/>
        <w:jc w:val="both"/>
        <w:rPr>
          <w:sz w:val="28"/>
          <w:szCs w:val="28"/>
        </w:rPr>
      </w:pPr>
      <w:r>
        <w:rPr>
          <w:sz w:val="28"/>
          <w:szCs w:val="28"/>
        </w:rPr>
        <w:t>транспортные, экспедиторские и склад</w:t>
      </w:r>
      <w:r>
        <w:rPr>
          <w:sz w:val="28"/>
          <w:szCs w:val="28"/>
        </w:rPr>
        <w:softHyphen/>
        <w:t>ские услуги;</w:t>
      </w:r>
    </w:p>
    <w:p w:rsidR="00254F37" w:rsidRDefault="00254F37" w:rsidP="00254F37">
      <w:pPr>
        <w:numPr>
          <w:ilvl w:val="0"/>
          <w:numId w:val="7"/>
        </w:numPr>
        <w:spacing w:line="360" w:lineRule="auto"/>
        <w:jc w:val="both"/>
        <w:rPr>
          <w:sz w:val="28"/>
          <w:szCs w:val="28"/>
        </w:rPr>
      </w:pPr>
      <w:r>
        <w:rPr>
          <w:sz w:val="28"/>
          <w:szCs w:val="28"/>
        </w:rPr>
        <w:t>оптовая и розничная торговля;</w:t>
      </w:r>
    </w:p>
    <w:p w:rsidR="00254F37" w:rsidRDefault="00254F37" w:rsidP="00254F37">
      <w:pPr>
        <w:numPr>
          <w:ilvl w:val="0"/>
          <w:numId w:val="7"/>
        </w:numPr>
        <w:spacing w:line="360" w:lineRule="auto"/>
        <w:jc w:val="both"/>
        <w:rPr>
          <w:sz w:val="28"/>
          <w:szCs w:val="28"/>
        </w:rPr>
      </w:pPr>
      <w:r>
        <w:rPr>
          <w:sz w:val="28"/>
          <w:szCs w:val="28"/>
        </w:rPr>
        <w:t>посредническая деятельность.</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b/>
          <w:bCs/>
          <w:sz w:val="28"/>
          <w:szCs w:val="28"/>
        </w:rPr>
      </w:pPr>
      <w:r>
        <w:rPr>
          <w:b/>
          <w:bCs/>
          <w:sz w:val="28"/>
          <w:szCs w:val="28"/>
        </w:rPr>
        <w:br w:type="page"/>
        <w:t>§2.2. Рыночная ситуация</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Ситуацию на рынке недвижимости в Казани, которая является основным по</w:t>
      </w:r>
      <w:r>
        <w:rPr>
          <w:sz w:val="28"/>
          <w:szCs w:val="28"/>
        </w:rPr>
        <w:softHyphen/>
        <w:t>лем деятельности Компании, в настоящее время можно охарактеризовать как дина</w:t>
      </w:r>
      <w:r>
        <w:rPr>
          <w:sz w:val="28"/>
          <w:szCs w:val="28"/>
        </w:rPr>
        <w:softHyphen/>
        <w:t>мично развивающуюся. Рядом с уникаль</w:t>
      </w:r>
      <w:r>
        <w:rPr>
          <w:sz w:val="28"/>
          <w:szCs w:val="28"/>
        </w:rPr>
        <w:softHyphen/>
        <w:t>ными постройками многовековой давнос</w:t>
      </w:r>
      <w:r>
        <w:rPr>
          <w:sz w:val="28"/>
          <w:szCs w:val="28"/>
        </w:rPr>
        <w:softHyphen/>
        <w:t>ти в Казани возводится и новое, широко доступное жилье и современные культурно–досуговые  комплексы. В 2005 г. объем инвестиций на строительство и реконст</w:t>
      </w:r>
      <w:r>
        <w:rPr>
          <w:sz w:val="28"/>
          <w:szCs w:val="28"/>
        </w:rPr>
        <w:softHyphen/>
        <w:t>рукцию новых предприятий потребитель</w:t>
      </w:r>
      <w:r>
        <w:rPr>
          <w:sz w:val="28"/>
          <w:szCs w:val="28"/>
        </w:rPr>
        <w:softHyphen/>
        <w:t>ского рынка составил около 1 млрд. руб. Открылись 53 предприятия торговли, об</w:t>
      </w:r>
      <w:r>
        <w:rPr>
          <w:sz w:val="28"/>
          <w:szCs w:val="28"/>
        </w:rPr>
        <w:softHyphen/>
        <w:t>щая торговая площадь которых составила 36000 кв. м. Количество совершаемых сделок постоянно увеличивается, чему также способствует острая необходимость в новых торговых площадях (табл. 3).</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p>
    <w:tbl>
      <w:tblPr>
        <w:tblW w:w="8600" w:type="dxa"/>
        <w:jc w:val="center"/>
        <w:tblLook w:val="0000" w:firstRow="0" w:lastRow="0" w:firstColumn="0" w:lastColumn="0" w:noHBand="0" w:noVBand="0"/>
      </w:tblPr>
      <w:tblGrid>
        <w:gridCol w:w="4160"/>
        <w:gridCol w:w="4440"/>
      </w:tblGrid>
      <w:tr w:rsidR="00254F37" w:rsidTr="00492790">
        <w:trPr>
          <w:trHeight w:val="255"/>
          <w:jc w:val="center"/>
        </w:trPr>
        <w:tc>
          <w:tcPr>
            <w:tcW w:w="8600" w:type="dxa"/>
            <w:gridSpan w:val="2"/>
            <w:noWrap/>
            <w:vAlign w:val="bottom"/>
          </w:tcPr>
          <w:p w:rsidR="00254F37" w:rsidRDefault="00254F37" w:rsidP="00492790">
            <w:pPr>
              <w:ind w:firstLine="360"/>
              <w:jc w:val="both"/>
              <w:rPr>
                <w:sz w:val="28"/>
                <w:szCs w:val="28"/>
              </w:rPr>
            </w:pPr>
            <w:r w:rsidRPr="001A3736">
              <w:rPr>
                <w:b/>
                <w:bCs/>
                <w:sz w:val="28"/>
                <w:szCs w:val="28"/>
              </w:rPr>
              <w:t>Таблица №3</w:t>
            </w:r>
            <w:r w:rsidRPr="00C108E5">
              <w:rPr>
                <w:sz w:val="28"/>
                <w:szCs w:val="28"/>
              </w:rPr>
              <w:t xml:space="preserve"> </w:t>
            </w:r>
            <w:r>
              <w:rPr>
                <w:sz w:val="28"/>
                <w:szCs w:val="28"/>
              </w:rPr>
              <w:t>Потенциал для развития торговых площадей</w:t>
            </w:r>
          </w:p>
        </w:tc>
      </w:tr>
      <w:tr w:rsidR="00254F37" w:rsidTr="00492790">
        <w:trPr>
          <w:trHeight w:val="300"/>
          <w:jc w:val="center"/>
        </w:trPr>
        <w:tc>
          <w:tcPr>
            <w:tcW w:w="4160" w:type="dxa"/>
            <w:tcBorders>
              <w:top w:val="single" w:sz="4" w:space="0" w:color="auto"/>
              <w:left w:val="single" w:sz="4" w:space="0" w:color="auto"/>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Показатель</w:t>
            </w:r>
          </w:p>
        </w:tc>
        <w:tc>
          <w:tcPr>
            <w:tcW w:w="4440" w:type="dxa"/>
            <w:tcBorders>
              <w:top w:val="single" w:sz="4" w:space="0" w:color="auto"/>
              <w:left w:val="nil"/>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Значение</w:t>
            </w:r>
          </w:p>
        </w:tc>
      </w:tr>
      <w:tr w:rsidR="00254F37" w:rsidTr="00492790">
        <w:trPr>
          <w:trHeight w:val="300"/>
          <w:jc w:val="center"/>
        </w:trPr>
        <w:tc>
          <w:tcPr>
            <w:tcW w:w="4160"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Численность жителей Казани</w:t>
            </w:r>
          </w:p>
        </w:tc>
        <w:tc>
          <w:tcPr>
            <w:tcW w:w="4440" w:type="dxa"/>
            <w:tcBorders>
              <w:top w:val="nil"/>
              <w:left w:val="nil"/>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1.1 млн. человек</w:t>
            </w:r>
          </w:p>
        </w:tc>
      </w:tr>
      <w:tr w:rsidR="00254F37" w:rsidTr="00492790">
        <w:trPr>
          <w:trHeight w:val="300"/>
          <w:jc w:val="center"/>
        </w:trPr>
        <w:tc>
          <w:tcPr>
            <w:tcW w:w="4160"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На товары и услуги тратится</w:t>
            </w:r>
          </w:p>
        </w:tc>
        <w:tc>
          <w:tcPr>
            <w:tcW w:w="4440" w:type="dxa"/>
            <w:tcBorders>
              <w:top w:val="nil"/>
              <w:left w:val="nil"/>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75% от доходов</w:t>
            </w:r>
          </w:p>
        </w:tc>
      </w:tr>
      <w:tr w:rsidR="00254F37" w:rsidTr="00492790">
        <w:trPr>
          <w:trHeight w:val="300"/>
          <w:jc w:val="center"/>
        </w:trPr>
        <w:tc>
          <w:tcPr>
            <w:tcW w:w="4160"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Располагаемый денежный доход</w:t>
            </w:r>
          </w:p>
        </w:tc>
        <w:tc>
          <w:tcPr>
            <w:tcW w:w="4440" w:type="dxa"/>
            <w:tcBorders>
              <w:top w:val="nil"/>
              <w:left w:val="nil"/>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67 млрд. руб. в год</w:t>
            </w:r>
          </w:p>
        </w:tc>
      </w:tr>
      <w:tr w:rsidR="00254F37" w:rsidTr="00492790">
        <w:trPr>
          <w:trHeight w:val="600"/>
          <w:jc w:val="center"/>
        </w:trPr>
        <w:tc>
          <w:tcPr>
            <w:tcW w:w="4160"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Примерный оборот торгующей компании</w:t>
            </w:r>
          </w:p>
        </w:tc>
        <w:tc>
          <w:tcPr>
            <w:tcW w:w="4440" w:type="dxa"/>
            <w:tcBorders>
              <w:top w:val="nil"/>
              <w:left w:val="nil"/>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75 тыс. руб. на 1 кв.м в год</w:t>
            </w:r>
          </w:p>
        </w:tc>
      </w:tr>
      <w:tr w:rsidR="00254F37" w:rsidTr="00492790">
        <w:trPr>
          <w:trHeight w:val="300"/>
          <w:jc w:val="center"/>
        </w:trPr>
        <w:tc>
          <w:tcPr>
            <w:tcW w:w="4160"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Необходимо торговых площадей</w:t>
            </w:r>
          </w:p>
        </w:tc>
        <w:tc>
          <w:tcPr>
            <w:tcW w:w="4440" w:type="dxa"/>
            <w:tcBorders>
              <w:top w:val="nil"/>
              <w:left w:val="nil"/>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900 тыс. кв. м</w:t>
            </w:r>
          </w:p>
        </w:tc>
      </w:tr>
      <w:tr w:rsidR="00254F37" w:rsidTr="00492790">
        <w:trPr>
          <w:trHeight w:val="300"/>
          <w:jc w:val="center"/>
        </w:trPr>
        <w:tc>
          <w:tcPr>
            <w:tcW w:w="4160"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 xml:space="preserve">Имеется в наличии </w:t>
            </w:r>
          </w:p>
        </w:tc>
        <w:tc>
          <w:tcPr>
            <w:tcW w:w="4440" w:type="dxa"/>
            <w:tcBorders>
              <w:top w:val="nil"/>
              <w:left w:val="nil"/>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510 тыс кв. м</w:t>
            </w:r>
          </w:p>
        </w:tc>
      </w:tr>
      <w:tr w:rsidR="00254F37" w:rsidTr="00492790">
        <w:trPr>
          <w:trHeight w:val="300"/>
          <w:jc w:val="center"/>
        </w:trPr>
        <w:tc>
          <w:tcPr>
            <w:tcW w:w="4160"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Необходимо</w:t>
            </w:r>
          </w:p>
        </w:tc>
        <w:tc>
          <w:tcPr>
            <w:tcW w:w="4440" w:type="dxa"/>
            <w:tcBorders>
              <w:top w:val="nil"/>
              <w:left w:val="nil"/>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390 тыс. кв. м</w:t>
            </w:r>
          </w:p>
        </w:tc>
      </w:tr>
      <w:tr w:rsidR="00254F37" w:rsidTr="00492790">
        <w:trPr>
          <w:trHeight w:val="525"/>
          <w:jc w:val="center"/>
        </w:trPr>
        <w:tc>
          <w:tcPr>
            <w:tcW w:w="8600" w:type="dxa"/>
            <w:gridSpan w:val="2"/>
            <w:tcBorders>
              <w:top w:val="single" w:sz="4" w:space="0" w:color="auto"/>
              <w:left w:val="nil"/>
              <w:bottom w:val="nil"/>
              <w:right w:val="nil"/>
            </w:tcBorders>
            <w:shd w:val="clear" w:color="auto" w:fill="FFFFFF"/>
          </w:tcPr>
          <w:p w:rsidR="00254F37" w:rsidRDefault="00254F37" w:rsidP="00492790">
            <w:pPr>
              <w:jc w:val="both"/>
              <w:rPr>
                <w:sz w:val="28"/>
                <w:szCs w:val="28"/>
              </w:rPr>
            </w:pPr>
            <w:r>
              <w:rPr>
                <w:sz w:val="28"/>
                <w:szCs w:val="28"/>
              </w:rPr>
              <w:t>Источник: Данные ООО -Компания "Сувар-Казань"».</w:t>
            </w:r>
          </w:p>
        </w:tc>
      </w:tr>
    </w:tbl>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b/>
          <w:bCs/>
          <w:sz w:val="28"/>
          <w:szCs w:val="28"/>
        </w:rPr>
      </w:pP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b/>
          <w:bCs/>
          <w:sz w:val="28"/>
          <w:szCs w:val="28"/>
        </w:rPr>
      </w:pPr>
    </w:p>
    <w:p w:rsidR="00254F37" w:rsidRPr="002F08D2"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b/>
          <w:bCs/>
          <w:sz w:val="28"/>
          <w:szCs w:val="28"/>
        </w:rPr>
      </w:pPr>
      <w:r>
        <w:rPr>
          <w:b/>
          <w:bCs/>
          <w:sz w:val="28"/>
          <w:szCs w:val="28"/>
        </w:rPr>
        <w:br w:type="page"/>
        <w:t>§</w:t>
      </w:r>
      <w:r w:rsidRPr="002F08D2">
        <w:rPr>
          <w:b/>
          <w:bCs/>
          <w:sz w:val="28"/>
          <w:szCs w:val="28"/>
        </w:rPr>
        <w:t>2.3</w:t>
      </w:r>
      <w:r>
        <w:rPr>
          <w:b/>
          <w:bCs/>
          <w:sz w:val="28"/>
          <w:szCs w:val="28"/>
        </w:rPr>
        <w:t>.</w:t>
      </w:r>
      <w:r w:rsidRPr="002F08D2">
        <w:rPr>
          <w:b/>
          <w:bCs/>
          <w:sz w:val="28"/>
          <w:szCs w:val="28"/>
        </w:rPr>
        <w:t xml:space="preserve"> Д</w:t>
      </w:r>
      <w:r>
        <w:rPr>
          <w:b/>
          <w:bCs/>
          <w:sz w:val="28"/>
          <w:szCs w:val="28"/>
        </w:rPr>
        <w:t>еятельность предприятия.</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Год 2005-й отмечен в целом позитив</w:t>
      </w:r>
      <w:r>
        <w:rPr>
          <w:sz w:val="28"/>
          <w:szCs w:val="28"/>
        </w:rPr>
        <w:softHyphen/>
        <w:t>ной динамикой финансовых результатов деятельности Компании (табл. 4).</w:t>
      </w:r>
    </w:p>
    <w:tbl>
      <w:tblPr>
        <w:tblW w:w="8774" w:type="dxa"/>
        <w:tblInd w:w="-108" w:type="dxa"/>
        <w:tblLook w:val="0000" w:firstRow="0" w:lastRow="0" w:firstColumn="0" w:lastColumn="0" w:noHBand="0" w:noVBand="0"/>
      </w:tblPr>
      <w:tblGrid>
        <w:gridCol w:w="3169"/>
        <w:gridCol w:w="1626"/>
        <w:gridCol w:w="1575"/>
        <w:gridCol w:w="2404"/>
      </w:tblGrid>
      <w:tr w:rsidR="00254F37" w:rsidTr="00492790">
        <w:trPr>
          <w:trHeight w:val="300"/>
        </w:trPr>
        <w:tc>
          <w:tcPr>
            <w:tcW w:w="8774" w:type="dxa"/>
            <w:gridSpan w:val="4"/>
            <w:shd w:val="clear" w:color="auto" w:fill="FFFFFF"/>
          </w:tcPr>
          <w:p w:rsidR="00254F37" w:rsidRDefault="00254F37" w:rsidP="00492790">
            <w:pPr>
              <w:ind w:firstLine="360"/>
              <w:jc w:val="center"/>
              <w:rPr>
                <w:sz w:val="28"/>
                <w:szCs w:val="28"/>
              </w:rPr>
            </w:pPr>
            <w:r w:rsidRPr="001A3736">
              <w:rPr>
                <w:b/>
                <w:bCs/>
                <w:sz w:val="28"/>
                <w:szCs w:val="28"/>
              </w:rPr>
              <w:t>Таблица 4</w:t>
            </w:r>
            <w:r>
              <w:rPr>
                <w:sz w:val="28"/>
                <w:szCs w:val="28"/>
              </w:rPr>
              <w:t>. ФИНАНСОВЫЕ РЕЗУЛЬТАТЫ КОМПАНИИ, ТЫС.</w:t>
            </w:r>
          </w:p>
        </w:tc>
      </w:tr>
      <w:tr w:rsidR="00254F37" w:rsidTr="00492790">
        <w:trPr>
          <w:trHeight w:val="300"/>
        </w:trPr>
        <w:tc>
          <w:tcPr>
            <w:tcW w:w="3169" w:type="dxa"/>
            <w:tcBorders>
              <w:top w:val="single" w:sz="4" w:space="0" w:color="auto"/>
              <w:left w:val="single" w:sz="4" w:space="0" w:color="auto"/>
              <w:bottom w:val="single" w:sz="4" w:space="0" w:color="auto"/>
              <w:right w:val="single" w:sz="4" w:space="0" w:color="auto"/>
            </w:tcBorders>
            <w:shd w:val="clear" w:color="auto" w:fill="FFFFFF"/>
          </w:tcPr>
          <w:p w:rsidR="00254F37" w:rsidRDefault="00254F37" w:rsidP="00492790">
            <w:pPr>
              <w:jc w:val="center"/>
              <w:rPr>
                <w:sz w:val="28"/>
                <w:szCs w:val="28"/>
              </w:rPr>
            </w:pPr>
            <w:r>
              <w:rPr>
                <w:sz w:val="28"/>
                <w:szCs w:val="28"/>
              </w:rPr>
              <w:t>Показатель</w:t>
            </w:r>
          </w:p>
        </w:tc>
        <w:tc>
          <w:tcPr>
            <w:tcW w:w="1626" w:type="dxa"/>
            <w:tcBorders>
              <w:top w:val="single" w:sz="4" w:space="0" w:color="auto"/>
              <w:left w:val="nil"/>
              <w:bottom w:val="single" w:sz="4" w:space="0" w:color="auto"/>
              <w:right w:val="single" w:sz="4" w:space="0" w:color="auto"/>
            </w:tcBorders>
            <w:shd w:val="clear" w:color="auto" w:fill="FFFFFF"/>
          </w:tcPr>
          <w:p w:rsidR="00254F37" w:rsidRDefault="00254F37" w:rsidP="00492790">
            <w:pPr>
              <w:ind w:firstLine="360"/>
              <w:jc w:val="center"/>
              <w:rPr>
                <w:sz w:val="28"/>
                <w:szCs w:val="28"/>
              </w:rPr>
            </w:pPr>
            <w:r>
              <w:rPr>
                <w:sz w:val="28"/>
                <w:szCs w:val="28"/>
              </w:rPr>
              <w:t>2003 г.</w:t>
            </w:r>
          </w:p>
        </w:tc>
        <w:tc>
          <w:tcPr>
            <w:tcW w:w="1575" w:type="dxa"/>
            <w:tcBorders>
              <w:top w:val="single" w:sz="4" w:space="0" w:color="auto"/>
              <w:left w:val="nil"/>
              <w:bottom w:val="single" w:sz="4" w:space="0" w:color="auto"/>
              <w:right w:val="single" w:sz="4" w:space="0" w:color="auto"/>
            </w:tcBorders>
            <w:shd w:val="clear" w:color="auto" w:fill="FFFFFF"/>
          </w:tcPr>
          <w:p w:rsidR="00254F37" w:rsidRDefault="00254F37" w:rsidP="00492790">
            <w:pPr>
              <w:ind w:firstLine="360"/>
              <w:jc w:val="center"/>
              <w:rPr>
                <w:sz w:val="28"/>
                <w:szCs w:val="28"/>
              </w:rPr>
            </w:pPr>
            <w:r>
              <w:rPr>
                <w:sz w:val="28"/>
                <w:szCs w:val="28"/>
              </w:rPr>
              <w:t>2004 г.</w:t>
            </w:r>
          </w:p>
        </w:tc>
        <w:tc>
          <w:tcPr>
            <w:tcW w:w="2404" w:type="dxa"/>
            <w:tcBorders>
              <w:top w:val="single" w:sz="4" w:space="0" w:color="auto"/>
              <w:left w:val="nil"/>
              <w:bottom w:val="single" w:sz="4" w:space="0" w:color="auto"/>
              <w:right w:val="single" w:sz="4" w:space="0" w:color="auto"/>
            </w:tcBorders>
            <w:shd w:val="clear" w:color="auto" w:fill="FFFFFF"/>
          </w:tcPr>
          <w:p w:rsidR="00254F37" w:rsidRDefault="00254F37" w:rsidP="00492790">
            <w:pPr>
              <w:ind w:firstLine="360"/>
              <w:jc w:val="center"/>
              <w:rPr>
                <w:sz w:val="28"/>
                <w:szCs w:val="28"/>
              </w:rPr>
            </w:pPr>
            <w:r>
              <w:rPr>
                <w:sz w:val="28"/>
                <w:szCs w:val="28"/>
              </w:rPr>
              <w:t>2005 г.</w:t>
            </w:r>
          </w:p>
        </w:tc>
      </w:tr>
      <w:tr w:rsidR="00254F37" w:rsidTr="00492790">
        <w:trPr>
          <w:trHeight w:val="300"/>
        </w:trPr>
        <w:tc>
          <w:tcPr>
            <w:tcW w:w="3169"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center"/>
              <w:rPr>
                <w:sz w:val="28"/>
                <w:szCs w:val="28"/>
              </w:rPr>
            </w:pPr>
            <w:r>
              <w:rPr>
                <w:sz w:val="28"/>
                <w:szCs w:val="28"/>
              </w:rPr>
              <w:t>Выручка</w:t>
            </w:r>
          </w:p>
        </w:tc>
        <w:tc>
          <w:tcPr>
            <w:tcW w:w="1626" w:type="dxa"/>
            <w:tcBorders>
              <w:top w:val="nil"/>
              <w:left w:val="nil"/>
              <w:bottom w:val="single" w:sz="4" w:space="0" w:color="auto"/>
              <w:right w:val="single" w:sz="4" w:space="0" w:color="auto"/>
            </w:tcBorders>
            <w:shd w:val="clear" w:color="auto" w:fill="FFFFFF"/>
          </w:tcPr>
          <w:p w:rsidR="00254F37" w:rsidRDefault="00254F37" w:rsidP="00492790">
            <w:pPr>
              <w:ind w:firstLine="360"/>
              <w:jc w:val="center"/>
              <w:rPr>
                <w:sz w:val="28"/>
                <w:szCs w:val="28"/>
              </w:rPr>
            </w:pPr>
            <w:r>
              <w:rPr>
                <w:sz w:val="28"/>
                <w:szCs w:val="28"/>
              </w:rPr>
              <w:t>251093</w:t>
            </w:r>
          </w:p>
        </w:tc>
        <w:tc>
          <w:tcPr>
            <w:tcW w:w="1575" w:type="dxa"/>
            <w:tcBorders>
              <w:top w:val="nil"/>
              <w:left w:val="nil"/>
              <w:bottom w:val="single" w:sz="4" w:space="0" w:color="auto"/>
              <w:right w:val="single" w:sz="4" w:space="0" w:color="auto"/>
            </w:tcBorders>
            <w:shd w:val="clear" w:color="auto" w:fill="FFFFFF"/>
          </w:tcPr>
          <w:p w:rsidR="00254F37" w:rsidRDefault="00254F37" w:rsidP="00492790">
            <w:pPr>
              <w:ind w:firstLine="360"/>
              <w:jc w:val="center"/>
              <w:rPr>
                <w:sz w:val="28"/>
                <w:szCs w:val="28"/>
              </w:rPr>
            </w:pPr>
            <w:r>
              <w:rPr>
                <w:sz w:val="28"/>
                <w:szCs w:val="28"/>
              </w:rPr>
              <w:t>491129</w:t>
            </w:r>
          </w:p>
        </w:tc>
        <w:tc>
          <w:tcPr>
            <w:tcW w:w="2404" w:type="dxa"/>
            <w:tcBorders>
              <w:top w:val="nil"/>
              <w:left w:val="nil"/>
              <w:bottom w:val="single" w:sz="4" w:space="0" w:color="auto"/>
              <w:right w:val="single" w:sz="4" w:space="0" w:color="auto"/>
            </w:tcBorders>
            <w:shd w:val="clear" w:color="auto" w:fill="FFFFFF"/>
          </w:tcPr>
          <w:p w:rsidR="00254F37" w:rsidRDefault="00254F37" w:rsidP="00492790">
            <w:pPr>
              <w:ind w:firstLine="360"/>
              <w:jc w:val="center"/>
              <w:rPr>
                <w:sz w:val="28"/>
                <w:szCs w:val="28"/>
              </w:rPr>
            </w:pPr>
            <w:r>
              <w:rPr>
                <w:sz w:val="28"/>
                <w:szCs w:val="28"/>
              </w:rPr>
              <w:t>698137</w:t>
            </w:r>
          </w:p>
        </w:tc>
      </w:tr>
      <w:tr w:rsidR="00254F37" w:rsidTr="00492790">
        <w:trPr>
          <w:trHeight w:val="300"/>
        </w:trPr>
        <w:tc>
          <w:tcPr>
            <w:tcW w:w="3169"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center"/>
              <w:rPr>
                <w:sz w:val="28"/>
                <w:szCs w:val="28"/>
              </w:rPr>
            </w:pPr>
            <w:r>
              <w:rPr>
                <w:sz w:val="28"/>
                <w:szCs w:val="28"/>
              </w:rPr>
              <w:t>Валовая прибыль</w:t>
            </w:r>
          </w:p>
        </w:tc>
        <w:tc>
          <w:tcPr>
            <w:tcW w:w="1626" w:type="dxa"/>
            <w:tcBorders>
              <w:top w:val="nil"/>
              <w:left w:val="nil"/>
              <w:bottom w:val="single" w:sz="4" w:space="0" w:color="auto"/>
              <w:right w:val="single" w:sz="4" w:space="0" w:color="auto"/>
            </w:tcBorders>
            <w:shd w:val="clear" w:color="auto" w:fill="FFFFFF"/>
          </w:tcPr>
          <w:p w:rsidR="00254F37" w:rsidRDefault="00254F37" w:rsidP="00492790">
            <w:pPr>
              <w:ind w:firstLine="360"/>
              <w:jc w:val="center"/>
              <w:rPr>
                <w:sz w:val="28"/>
                <w:szCs w:val="28"/>
              </w:rPr>
            </w:pPr>
            <w:r>
              <w:rPr>
                <w:sz w:val="28"/>
                <w:szCs w:val="28"/>
              </w:rPr>
              <w:t>156 926</w:t>
            </w:r>
          </w:p>
        </w:tc>
        <w:tc>
          <w:tcPr>
            <w:tcW w:w="1575" w:type="dxa"/>
            <w:tcBorders>
              <w:top w:val="nil"/>
              <w:left w:val="nil"/>
              <w:bottom w:val="single" w:sz="4" w:space="0" w:color="auto"/>
              <w:right w:val="single" w:sz="4" w:space="0" w:color="auto"/>
            </w:tcBorders>
            <w:shd w:val="clear" w:color="auto" w:fill="FFFFFF"/>
          </w:tcPr>
          <w:p w:rsidR="00254F37" w:rsidRDefault="00254F37" w:rsidP="00492790">
            <w:pPr>
              <w:ind w:firstLine="360"/>
              <w:jc w:val="center"/>
              <w:rPr>
                <w:sz w:val="28"/>
                <w:szCs w:val="28"/>
              </w:rPr>
            </w:pPr>
            <w:r>
              <w:rPr>
                <w:sz w:val="28"/>
                <w:szCs w:val="28"/>
              </w:rPr>
              <w:t>282 881</w:t>
            </w:r>
          </w:p>
        </w:tc>
        <w:tc>
          <w:tcPr>
            <w:tcW w:w="2404" w:type="dxa"/>
            <w:tcBorders>
              <w:top w:val="nil"/>
              <w:left w:val="nil"/>
              <w:bottom w:val="single" w:sz="4" w:space="0" w:color="auto"/>
              <w:right w:val="single" w:sz="4" w:space="0" w:color="auto"/>
            </w:tcBorders>
            <w:shd w:val="clear" w:color="auto" w:fill="FFFFFF"/>
          </w:tcPr>
          <w:p w:rsidR="00254F37" w:rsidRDefault="00254F37" w:rsidP="00492790">
            <w:pPr>
              <w:ind w:firstLine="360"/>
              <w:jc w:val="center"/>
              <w:rPr>
                <w:sz w:val="28"/>
                <w:szCs w:val="28"/>
              </w:rPr>
            </w:pPr>
            <w:r>
              <w:rPr>
                <w:sz w:val="28"/>
                <w:szCs w:val="28"/>
              </w:rPr>
              <w:t>453127</w:t>
            </w:r>
          </w:p>
        </w:tc>
      </w:tr>
      <w:tr w:rsidR="00254F37" w:rsidTr="00492790">
        <w:trPr>
          <w:trHeight w:val="900"/>
        </w:trPr>
        <w:tc>
          <w:tcPr>
            <w:tcW w:w="3169"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center"/>
              <w:rPr>
                <w:sz w:val="28"/>
                <w:szCs w:val="28"/>
              </w:rPr>
            </w:pPr>
            <w:r>
              <w:rPr>
                <w:sz w:val="28"/>
                <w:szCs w:val="28"/>
              </w:rPr>
              <w:t>Чистая прибыль (нераспределенная прибыль (непокрытый убыток))</w:t>
            </w:r>
          </w:p>
        </w:tc>
        <w:tc>
          <w:tcPr>
            <w:tcW w:w="1626" w:type="dxa"/>
            <w:tcBorders>
              <w:top w:val="nil"/>
              <w:left w:val="nil"/>
              <w:bottom w:val="single" w:sz="4" w:space="0" w:color="auto"/>
              <w:right w:val="single" w:sz="4" w:space="0" w:color="auto"/>
            </w:tcBorders>
            <w:shd w:val="clear" w:color="auto" w:fill="FFFFFF"/>
          </w:tcPr>
          <w:p w:rsidR="00254F37" w:rsidRDefault="00254F37" w:rsidP="00492790">
            <w:pPr>
              <w:ind w:firstLine="360"/>
              <w:jc w:val="center"/>
              <w:rPr>
                <w:sz w:val="28"/>
                <w:szCs w:val="28"/>
              </w:rPr>
            </w:pPr>
            <w:r>
              <w:rPr>
                <w:sz w:val="28"/>
                <w:szCs w:val="28"/>
              </w:rPr>
              <w:t>63 325</w:t>
            </w:r>
          </w:p>
        </w:tc>
        <w:tc>
          <w:tcPr>
            <w:tcW w:w="1575" w:type="dxa"/>
            <w:tcBorders>
              <w:top w:val="nil"/>
              <w:left w:val="nil"/>
              <w:bottom w:val="single" w:sz="4" w:space="0" w:color="auto"/>
              <w:right w:val="single" w:sz="4" w:space="0" w:color="auto"/>
            </w:tcBorders>
            <w:shd w:val="clear" w:color="auto" w:fill="FFFFFF"/>
          </w:tcPr>
          <w:p w:rsidR="00254F37" w:rsidRDefault="00254F37" w:rsidP="00492790">
            <w:pPr>
              <w:ind w:firstLine="360"/>
              <w:jc w:val="center"/>
              <w:rPr>
                <w:sz w:val="28"/>
                <w:szCs w:val="28"/>
              </w:rPr>
            </w:pPr>
            <w:r>
              <w:rPr>
                <w:sz w:val="28"/>
                <w:szCs w:val="28"/>
              </w:rPr>
              <w:t>26 409</w:t>
            </w:r>
          </w:p>
        </w:tc>
        <w:tc>
          <w:tcPr>
            <w:tcW w:w="2404" w:type="dxa"/>
            <w:tcBorders>
              <w:top w:val="nil"/>
              <w:left w:val="nil"/>
              <w:bottom w:val="single" w:sz="4" w:space="0" w:color="auto"/>
              <w:right w:val="single" w:sz="4" w:space="0" w:color="auto"/>
            </w:tcBorders>
            <w:shd w:val="clear" w:color="auto" w:fill="FFFFFF"/>
          </w:tcPr>
          <w:p w:rsidR="00254F37" w:rsidRDefault="00254F37" w:rsidP="00492790">
            <w:pPr>
              <w:ind w:firstLine="360"/>
              <w:jc w:val="center"/>
              <w:rPr>
                <w:sz w:val="28"/>
                <w:szCs w:val="28"/>
              </w:rPr>
            </w:pPr>
            <w:r>
              <w:rPr>
                <w:sz w:val="28"/>
                <w:szCs w:val="28"/>
              </w:rPr>
              <w:t>8934</w:t>
            </w:r>
          </w:p>
        </w:tc>
      </w:tr>
      <w:tr w:rsidR="00254F37" w:rsidTr="00492790">
        <w:trPr>
          <w:trHeight w:val="300"/>
        </w:trPr>
        <w:tc>
          <w:tcPr>
            <w:tcW w:w="8774" w:type="dxa"/>
            <w:gridSpan w:val="4"/>
            <w:tcBorders>
              <w:top w:val="nil"/>
              <w:left w:val="single" w:sz="4" w:space="0" w:color="auto"/>
              <w:bottom w:val="single" w:sz="4" w:space="0" w:color="auto"/>
              <w:right w:val="single" w:sz="4" w:space="0" w:color="auto"/>
            </w:tcBorders>
            <w:noWrap/>
          </w:tcPr>
          <w:p w:rsidR="00254F37" w:rsidRDefault="00254F37" w:rsidP="00492790">
            <w:pPr>
              <w:ind w:firstLine="360"/>
              <w:jc w:val="center"/>
              <w:rPr>
                <w:sz w:val="28"/>
                <w:szCs w:val="28"/>
              </w:rPr>
            </w:pPr>
          </w:p>
        </w:tc>
      </w:tr>
      <w:tr w:rsidR="00254F37" w:rsidTr="00492790">
        <w:trPr>
          <w:trHeight w:val="300"/>
        </w:trPr>
        <w:tc>
          <w:tcPr>
            <w:tcW w:w="8774" w:type="dxa"/>
            <w:gridSpan w:val="4"/>
            <w:shd w:val="clear" w:color="auto" w:fill="FFFFFF"/>
          </w:tcPr>
          <w:p w:rsidR="00254F37" w:rsidRDefault="00254F37" w:rsidP="00492790">
            <w:pPr>
              <w:ind w:firstLine="360"/>
              <w:jc w:val="center"/>
              <w:rPr>
                <w:sz w:val="28"/>
                <w:szCs w:val="28"/>
              </w:rPr>
            </w:pPr>
            <w:r>
              <w:rPr>
                <w:sz w:val="28"/>
                <w:szCs w:val="28"/>
              </w:rPr>
              <w:t>Источник: Данные 000 «Компания "Сувар-Казань"».</w:t>
            </w:r>
          </w:p>
        </w:tc>
      </w:tr>
    </w:tbl>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Заметим, что снижение чистой при</w:t>
      </w:r>
      <w:r>
        <w:rPr>
          <w:sz w:val="28"/>
          <w:szCs w:val="28"/>
        </w:rPr>
        <w:softHyphen/>
        <w:t>были Компании в 2004-2005 гг. было обусловлено спецификой инвестирова</w:t>
      </w:r>
      <w:r>
        <w:rPr>
          <w:sz w:val="28"/>
          <w:szCs w:val="28"/>
        </w:rPr>
        <w:softHyphen/>
        <w:t>ния средств в сфере недвижимости. На этапе строительства объекта до начала его коммерческой эксплуатации инвестор вынужден обеспечивать обслуживание капиталовложений в проект за счет средств (прибыли) от действующего биз</w:t>
      </w:r>
      <w:r>
        <w:rPr>
          <w:sz w:val="28"/>
          <w:szCs w:val="28"/>
        </w:rPr>
        <w:softHyphen/>
        <w:t>неса. С учетом сокращения чистой при</w:t>
      </w:r>
      <w:r>
        <w:rPr>
          <w:sz w:val="28"/>
          <w:szCs w:val="28"/>
        </w:rPr>
        <w:softHyphen/>
        <w:t>были происходит снижение рентабельно</w:t>
      </w:r>
      <w:r>
        <w:rPr>
          <w:sz w:val="28"/>
          <w:szCs w:val="28"/>
        </w:rPr>
        <w:softHyphen/>
        <w:t>сти собственного капитала, но только за счет снижения величины чистой прибы</w:t>
      </w:r>
      <w:r>
        <w:rPr>
          <w:sz w:val="28"/>
          <w:szCs w:val="28"/>
        </w:rPr>
        <w:softHyphen/>
        <w:t>ли, так как стоимость активов имеет тен</w:t>
      </w:r>
      <w:r>
        <w:rPr>
          <w:sz w:val="28"/>
          <w:szCs w:val="28"/>
        </w:rPr>
        <w:softHyphen/>
        <w:t>денцию к росту. По окончании этапа ин</w:t>
      </w:r>
      <w:r>
        <w:rPr>
          <w:sz w:val="28"/>
          <w:szCs w:val="28"/>
        </w:rPr>
        <w:softHyphen/>
        <w:t>вестирования в объект и с началом его эксплуатации рентабельность капитала возрастает, что ведет к увеличению при</w:t>
      </w:r>
      <w:r>
        <w:rPr>
          <w:sz w:val="28"/>
          <w:szCs w:val="28"/>
        </w:rPr>
        <w:softHyphen/>
        <w:t>были Компании.</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Показатель рентабельности продук</w:t>
      </w:r>
      <w:r>
        <w:rPr>
          <w:sz w:val="28"/>
          <w:szCs w:val="28"/>
        </w:rPr>
        <w:softHyphen/>
        <w:t>ции в 2004 г. незначительно снизился - на 4% - и составил 57,12%. Однако за 12 мес. 2005 г данный показатель, восстановил свои позиции и даже превысил зна</w:t>
      </w:r>
      <w:r>
        <w:rPr>
          <w:sz w:val="28"/>
          <w:szCs w:val="28"/>
        </w:rPr>
        <w:softHyphen/>
        <w:t>чения предыдущих периодов (64,31%) за счет снижения себестоимости. Заметим, что в последние годы резко замедлилась обо</w:t>
      </w:r>
      <w:r>
        <w:rPr>
          <w:sz w:val="28"/>
          <w:szCs w:val="28"/>
        </w:rPr>
        <w:softHyphen/>
        <w:t>рачиваемость капитала (табл. 5), что можно объяснить значительным ростом активов и непропорциональным ростом выручки.</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p>
    <w:tbl>
      <w:tblPr>
        <w:tblW w:w="6758" w:type="dxa"/>
        <w:jc w:val="center"/>
        <w:tblLook w:val="0000" w:firstRow="0" w:lastRow="0" w:firstColumn="0" w:lastColumn="0" w:noHBand="0" w:noVBand="0"/>
      </w:tblPr>
      <w:tblGrid>
        <w:gridCol w:w="2451"/>
        <w:gridCol w:w="1700"/>
        <w:gridCol w:w="1326"/>
        <w:gridCol w:w="1281"/>
      </w:tblGrid>
      <w:tr w:rsidR="00254F37" w:rsidTr="00492790">
        <w:trPr>
          <w:trHeight w:val="255"/>
          <w:jc w:val="center"/>
        </w:trPr>
        <w:tc>
          <w:tcPr>
            <w:tcW w:w="6758" w:type="dxa"/>
            <w:gridSpan w:val="4"/>
            <w:tcBorders>
              <w:top w:val="nil"/>
              <w:left w:val="nil"/>
              <w:bottom w:val="single" w:sz="4" w:space="0" w:color="auto"/>
              <w:right w:val="nil"/>
            </w:tcBorders>
            <w:noWrap/>
            <w:vAlign w:val="bottom"/>
          </w:tcPr>
          <w:p w:rsidR="00254F37" w:rsidRDefault="00254F37" w:rsidP="00492790">
            <w:pPr>
              <w:ind w:firstLine="360"/>
              <w:jc w:val="both"/>
              <w:rPr>
                <w:sz w:val="28"/>
                <w:szCs w:val="28"/>
              </w:rPr>
            </w:pPr>
            <w:r w:rsidRPr="001A3736">
              <w:rPr>
                <w:b/>
                <w:bCs/>
                <w:sz w:val="28"/>
                <w:szCs w:val="28"/>
              </w:rPr>
              <w:t>Таблица№5</w:t>
            </w:r>
            <w:r>
              <w:rPr>
                <w:sz w:val="28"/>
                <w:szCs w:val="28"/>
              </w:rPr>
              <w:t xml:space="preserve"> Показатели рентабельности компании, %</w:t>
            </w:r>
          </w:p>
        </w:tc>
      </w:tr>
      <w:tr w:rsidR="00254F37" w:rsidTr="00492790">
        <w:trPr>
          <w:trHeight w:val="315"/>
          <w:jc w:val="center"/>
        </w:trPr>
        <w:tc>
          <w:tcPr>
            <w:tcW w:w="2451" w:type="dxa"/>
            <w:tcBorders>
              <w:top w:val="nil"/>
              <w:left w:val="single" w:sz="4" w:space="0" w:color="auto"/>
              <w:bottom w:val="single" w:sz="4" w:space="0" w:color="auto"/>
              <w:right w:val="single" w:sz="4" w:space="0" w:color="auto"/>
            </w:tcBorders>
            <w:shd w:val="clear" w:color="auto" w:fill="FFFFFF"/>
          </w:tcPr>
          <w:p w:rsidR="00254F37" w:rsidRDefault="00254F37" w:rsidP="00492790">
            <w:pPr>
              <w:rPr>
                <w:sz w:val="28"/>
                <w:szCs w:val="28"/>
              </w:rPr>
            </w:pPr>
            <w:r>
              <w:rPr>
                <w:sz w:val="28"/>
                <w:szCs w:val="28"/>
              </w:rPr>
              <w:t>Рентабельность</w:t>
            </w:r>
          </w:p>
        </w:tc>
        <w:tc>
          <w:tcPr>
            <w:tcW w:w="1700" w:type="dxa"/>
            <w:tcBorders>
              <w:top w:val="nil"/>
              <w:left w:val="nil"/>
              <w:bottom w:val="single" w:sz="4" w:space="0" w:color="auto"/>
              <w:right w:val="single" w:sz="4" w:space="0" w:color="auto"/>
            </w:tcBorders>
            <w:shd w:val="clear" w:color="auto" w:fill="FFFFFF"/>
            <w:noWrap/>
          </w:tcPr>
          <w:p w:rsidR="00254F37" w:rsidRDefault="00254F37" w:rsidP="00492790">
            <w:pPr>
              <w:jc w:val="both"/>
              <w:rPr>
                <w:sz w:val="28"/>
                <w:szCs w:val="28"/>
              </w:rPr>
            </w:pPr>
            <w:r>
              <w:rPr>
                <w:sz w:val="28"/>
                <w:szCs w:val="28"/>
              </w:rPr>
              <w:t>2003г.</w:t>
            </w:r>
          </w:p>
        </w:tc>
        <w:tc>
          <w:tcPr>
            <w:tcW w:w="1326" w:type="dxa"/>
            <w:tcBorders>
              <w:top w:val="nil"/>
              <w:left w:val="nil"/>
              <w:bottom w:val="single" w:sz="4" w:space="0" w:color="auto"/>
              <w:right w:val="single" w:sz="4" w:space="0" w:color="auto"/>
            </w:tcBorders>
            <w:shd w:val="clear" w:color="auto" w:fill="FFFFFF"/>
            <w:noWrap/>
          </w:tcPr>
          <w:p w:rsidR="00254F37" w:rsidRDefault="00254F37" w:rsidP="00492790">
            <w:pPr>
              <w:jc w:val="both"/>
              <w:rPr>
                <w:sz w:val="28"/>
                <w:szCs w:val="28"/>
              </w:rPr>
            </w:pPr>
            <w:r>
              <w:rPr>
                <w:sz w:val="28"/>
                <w:szCs w:val="28"/>
              </w:rPr>
              <w:t>2004г.</w:t>
            </w:r>
          </w:p>
        </w:tc>
        <w:tc>
          <w:tcPr>
            <w:tcW w:w="1281" w:type="dxa"/>
            <w:tcBorders>
              <w:top w:val="nil"/>
              <w:left w:val="nil"/>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2005г.</w:t>
            </w:r>
          </w:p>
        </w:tc>
      </w:tr>
      <w:tr w:rsidR="00254F37" w:rsidTr="00492790">
        <w:trPr>
          <w:trHeight w:val="315"/>
          <w:jc w:val="center"/>
        </w:trPr>
        <w:tc>
          <w:tcPr>
            <w:tcW w:w="2451"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Активы</w:t>
            </w:r>
          </w:p>
        </w:tc>
        <w:tc>
          <w:tcPr>
            <w:tcW w:w="1700" w:type="dxa"/>
            <w:tcBorders>
              <w:top w:val="nil"/>
              <w:left w:val="nil"/>
              <w:bottom w:val="single" w:sz="4" w:space="0" w:color="auto"/>
              <w:right w:val="single" w:sz="4" w:space="0" w:color="auto"/>
            </w:tcBorders>
            <w:shd w:val="clear" w:color="auto" w:fill="FFFFFF"/>
          </w:tcPr>
          <w:p w:rsidR="00254F37" w:rsidRDefault="00254F37" w:rsidP="00492790">
            <w:pPr>
              <w:ind w:firstLine="360"/>
              <w:jc w:val="both"/>
              <w:rPr>
                <w:sz w:val="28"/>
                <w:szCs w:val="28"/>
              </w:rPr>
            </w:pPr>
            <w:r>
              <w:rPr>
                <w:sz w:val="28"/>
                <w:szCs w:val="28"/>
              </w:rPr>
              <w:t>3,5</w:t>
            </w:r>
          </w:p>
        </w:tc>
        <w:tc>
          <w:tcPr>
            <w:tcW w:w="1326" w:type="dxa"/>
            <w:tcBorders>
              <w:top w:val="nil"/>
              <w:left w:val="nil"/>
              <w:bottom w:val="single" w:sz="4" w:space="0" w:color="auto"/>
              <w:right w:val="single" w:sz="4" w:space="0" w:color="auto"/>
            </w:tcBorders>
            <w:shd w:val="clear" w:color="auto" w:fill="FFFFFF"/>
          </w:tcPr>
          <w:p w:rsidR="00254F37" w:rsidRDefault="00254F37" w:rsidP="00492790">
            <w:pPr>
              <w:ind w:firstLine="360"/>
              <w:jc w:val="both"/>
              <w:rPr>
                <w:sz w:val="28"/>
                <w:szCs w:val="28"/>
              </w:rPr>
            </w:pPr>
            <w:r>
              <w:rPr>
                <w:sz w:val="28"/>
                <w:szCs w:val="28"/>
              </w:rPr>
              <w:t>0,88</w:t>
            </w:r>
          </w:p>
        </w:tc>
        <w:tc>
          <w:tcPr>
            <w:tcW w:w="1281" w:type="dxa"/>
            <w:tcBorders>
              <w:top w:val="nil"/>
              <w:left w:val="nil"/>
              <w:bottom w:val="single" w:sz="4" w:space="0" w:color="auto"/>
              <w:right w:val="single" w:sz="4" w:space="0" w:color="auto"/>
            </w:tcBorders>
            <w:shd w:val="clear" w:color="auto" w:fill="FFFFFF"/>
          </w:tcPr>
          <w:p w:rsidR="00254F37" w:rsidRDefault="00254F37" w:rsidP="00492790">
            <w:pPr>
              <w:ind w:firstLine="360"/>
              <w:jc w:val="both"/>
              <w:rPr>
                <w:sz w:val="28"/>
                <w:szCs w:val="28"/>
              </w:rPr>
            </w:pPr>
            <w:r>
              <w:rPr>
                <w:sz w:val="28"/>
                <w:szCs w:val="28"/>
              </w:rPr>
              <w:t>0,16</w:t>
            </w:r>
          </w:p>
        </w:tc>
      </w:tr>
      <w:tr w:rsidR="00254F37" w:rsidTr="00492790">
        <w:trPr>
          <w:trHeight w:val="315"/>
          <w:jc w:val="center"/>
        </w:trPr>
        <w:tc>
          <w:tcPr>
            <w:tcW w:w="2451"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Продукция (продажи)</w:t>
            </w:r>
          </w:p>
        </w:tc>
        <w:tc>
          <w:tcPr>
            <w:tcW w:w="1700" w:type="dxa"/>
            <w:tcBorders>
              <w:top w:val="nil"/>
              <w:left w:val="nil"/>
              <w:bottom w:val="single" w:sz="4" w:space="0" w:color="auto"/>
              <w:right w:val="single" w:sz="4" w:space="0" w:color="auto"/>
            </w:tcBorders>
            <w:shd w:val="clear" w:color="auto" w:fill="FFFFFF"/>
          </w:tcPr>
          <w:p w:rsidR="00254F37" w:rsidRDefault="00254F37" w:rsidP="00492790">
            <w:pPr>
              <w:ind w:firstLine="360"/>
              <w:jc w:val="both"/>
              <w:rPr>
                <w:sz w:val="28"/>
                <w:szCs w:val="28"/>
              </w:rPr>
            </w:pPr>
            <w:r>
              <w:rPr>
                <w:sz w:val="28"/>
                <w:szCs w:val="28"/>
              </w:rPr>
              <w:t>60.63</w:t>
            </w:r>
          </w:p>
        </w:tc>
        <w:tc>
          <w:tcPr>
            <w:tcW w:w="1326" w:type="dxa"/>
            <w:tcBorders>
              <w:top w:val="nil"/>
              <w:left w:val="nil"/>
              <w:bottom w:val="single" w:sz="4" w:space="0" w:color="auto"/>
              <w:right w:val="single" w:sz="4" w:space="0" w:color="auto"/>
            </w:tcBorders>
            <w:shd w:val="clear" w:color="auto" w:fill="FFFFFF"/>
          </w:tcPr>
          <w:p w:rsidR="00254F37" w:rsidRDefault="00254F37" w:rsidP="00492790">
            <w:pPr>
              <w:ind w:firstLine="360"/>
              <w:jc w:val="both"/>
              <w:rPr>
                <w:sz w:val="28"/>
                <w:szCs w:val="28"/>
              </w:rPr>
            </w:pPr>
            <w:r>
              <w:rPr>
                <w:sz w:val="28"/>
                <w:szCs w:val="28"/>
              </w:rPr>
              <w:t>57,12</w:t>
            </w:r>
          </w:p>
        </w:tc>
        <w:tc>
          <w:tcPr>
            <w:tcW w:w="1281" w:type="dxa"/>
            <w:tcBorders>
              <w:top w:val="nil"/>
              <w:left w:val="nil"/>
              <w:bottom w:val="single" w:sz="4" w:space="0" w:color="auto"/>
              <w:right w:val="single" w:sz="4" w:space="0" w:color="auto"/>
            </w:tcBorders>
            <w:shd w:val="clear" w:color="auto" w:fill="FFFFFF"/>
          </w:tcPr>
          <w:p w:rsidR="00254F37" w:rsidRDefault="00254F37" w:rsidP="00492790">
            <w:pPr>
              <w:ind w:firstLine="360"/>
              <w:jc w:val="both"/>
              <w:rPr>
                <w:sz w:val="28"/>
                <w:szCs w:val="28"/>
              </w:rPr>
            </w:pPr>
            <w:r>
              <w:rPr>
                <w:sz w:val="28"/>
                <w:szCs w:val="28"/>
              </w:rPr>
              <w:t>64,31</w:t>
            </w:r>
          </w:p>
        </w:tc>
      </w:tr>
      <w:tr w:rsidR="00254F37" w:rsidTr="00492790">
        <w:trPr>
          <w:trHeight w:val="450"/>
          <w:jc w:val="center"/>
        </w:trPr>
        <w:tc>
          <w:tcPr>
            <w:tcW w:w="2451" w:type="dxa"/>
            <w:tcBorders>
              <w:top w:val="nil"/>
              <w:left w:val="single" w:sz="4" w:space="0" w:color="auto"/>
              <w:bottom w:val="single" w:sz="4" w:space="0" w:color="auto"/>
              <w:right w:val="single" w:sz="4" w:space="0" w:color="auto"/>
            </w:tcBorders>
            <w:shd w:val="clear" w:color="auto" w:fill="FFFFFF"/>
          </w:tcPr>
          <w:p w:rsidR="00254F37" w:rsidRDefault="00254F37" w:rsidP="00492790">
            <w:pPr>
              <w:jc w:val="both"/>
              <w:rPr>
                <w:sz w:val="28"/>
                <w:szCs w:val="28"/>
              </w:rPr>
            </w:pPr>
            <w:r>
              <w:rPr>
                <w:sz w:val="28"/>
                <w:szCs w:val="28"/>
              </w:rPr>
              <w:t>Собственный напитал</w:t>
            </w:r>
          </w:p>
        </w:tc>
        <w:tc>
          <w:tcPr>
            <w:tcW w:w="1700" w:type="dxa"/>
            <w:tcBorders>
              <w:top w:val="nil"/>
              <w:left w:val="nil"/>
              <w:bottom w:val="single" w:sz="4" w:space="0" w:color="auto"/>
              <w:right w:val="single" w:sz="4" w:space="0" w:color="auto"/>
            </w:tcBorders>
            <w:shd w:val="clear" w:color="auto" w:fill="FFFFFF"/>
          </w:tcPr>
          <w:p w:rsidR="00254F37" w:rsidRDefault="00254F37" w:rsidP="00492790">
            <w:pPr>
              <w:ind w:firstLine="360"/>
              <w:jc w:val="both"/>
              <w:rPr>
                <w:sz w:val="28"/>
                <w:szCs w:val="28"/>
              </w:rPr>
            </w:pPr>
            <w:r>
              <w:rPr>
                <w:sz w:val="28"/>
                <w:szCs w:val="28"/>
              </w:rPr>
              <w:t>13,24</w:t>
            </w:r>
          </w:p>
        </w:tc>
        <w:tc>
          <w:tcPr>
            <w:tcW w:w="1326" w:type="dxa"/>
            <w:tcBorders>
              <w:top w:val="nil"/>
              <w:left w:val="nil"/>
              <w:bottom w:val="single" w:sz="4" w:space="0" w:color="auto"/>
              <w:right w:val="single" w:sz="4" w:space="0" w:color="auto"/>
            </w:tcBorders>
            <w:shd w:val="clear" w:color="auto" w:fill="FFFFFF"/>
          </w:tcPr>
          <w:p w:rsidR="00254F37" w:rsidRDefault="00254F37" w:rsidP="00492790">
            <w:pPr>
              <w:ind w:firstLine="360"/>
              <w:jc w:val="both"/>
              <w:rPr>
                <w:sz w:val="28"/>
                <w:szCs w:val="28"/>
              </w:rPr>
            </w:pPr>
            <w:r>
              <w:rPr>
                <w:sz w:val="28"/>
                <w:szCs w:val="28"/>
              </w:rPr>
              <w:t>5,98</w:t>
            </w:r>
          </w:p>
        </w:tc>
        <w:tc>
          <w:tcPr>
            <w:tcW w:w="1281" w:type="dxa"/>
            <w:tcBorders>
              <w:top w:val="nil"/>
              <w:left w:val="nil"/>
              <w:bottom w:val="single" w:sz="4" w:space="0" w:color="auto"/>
              <w:right w:val="single" w:sz="4" w:space="0" w:color="auto"/>
            </w:tcBorders>
            <w:shd w:val="clear" w:color="auto" w:fill="FFFFFF"/>
          </w:tcPr>
          <w:p w:rsidR="00254F37" w:rsidRDefault="00254F37" w:rsidP="00492790">
            <w:pPr>
              <w:ind w:firstLine="360"/>
              <w:jc w:val="both"/>
              <w:rPr>
                <w:sz w:val="28"/>
                <w:szCs w:val="28"/>
              </w:rPr>
            </w:pPr>
            <w:r>
              <w:rPr>
                <w:sz w:val="28"/>
                <w:szCs w:val="28"/>
              </w:rPr>
              <w:t>0,96</w:t>
            </w:r>
          </w:p>
        </w:tc>
      </w:tr>
      <w:tr w:rsidR="00254F37" w:rsidTr="00492790">
        <w:trPr>
          <w:trHeight w:val="315"/>
          <w:jc w:val="center"/>
        </w:trPr>
        <w:tc>
          <w:tcPr>
            <w:tcW w:w="6758" w:type="dxa"/>
            <w:gridSpan w:val="4"/>
            <w:shd w:val="clear" w:color="auto" w:fill="FFFFFF"/>
          </w:tcPr>
          <w:p w:rsidR="00254F37" w:rsidRDefault="00254F37" w:rsidP="00492790">
            <w:pPr>
              <w:ind w:firstLine="360"/>
              <w:jc w:val="both"/>
              <w:rPr>
                <w:sz w:val="28"/>
                <w:szCs w:val="28"/>
              </w:rPr>
            </w:pPr>
            <w:r>
              <w:rPr>
                <w:sz w:val="28"/>
                <w:szCs w:val="28"/>
              </w:rPr>
              <w:t>Источник: Данные Компания "Сувар-Казань".</w:t>
            </w:r>
          </w:p>
        </w:tc>
      </w:tr>
    </w:tbl>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Отрицательное значение показателя собственных оборотных средств (табл. 6), вызвано тем, что Компания финансирует оборотные средства за счет заемного ка</w:t>
      </w:r>
      <w:r>
        <w:rPr>
          <w:sz w:val="28"/>
          <w:szCs w:val="28"/>
        </w:rPr>
        <w:softHyphen/>
        <w:t>питала. Также заметим, что по состоянию на 1 января 2006 г. ликвидность Компании превышала нормативные показатели. Это связано со спецификой рынка, на котором действует Компания: торгово-посредническая деятельность и строительный бизнес характеризуются постоянным наличием де</w:t>
      </w:r>
      <w:r>
        <w:rPr>
          <w:sz w:val="28"/>
          <w:szCs w:val="28"/>
        </w:rPr>
        <w:softHyphen/>
        <w:t>биторской задолженности, что сильно вли</w:t>
      </w:r>
      <w:r>
        <w:rPr>
          <w:sz w:val="28"/>
          <w:szCs w:val="28"/>
        </w:rPr>
        <w:softHyphen/>
        <w:t>яет на коэффициент ликвидности.</w:t>
      </w:r>
    </w:p>
    <w:tbl>
      <w:tblPr>
        <w:tblW w:w="10731" w:type="dxa"/>
        <w:tblInd w:w="-108" w:type="dxa"/>
        <w:tblLook w:val="0000" w:firstRow="0" w:lastRow="0" w:firstColumn="0" w:lastColumn="0" w:noHBand="0" w:noVBand="0"/>
      </w:tblPr>
      <w:tblGrid>
        <w:gridCol w:w="3168"/>
        <w:gridCol w:w="1620"/>
        <w:gridCol w:w="1722"/>
        <w:gridCol w:w="2034"/>
        <w:gridCol w:w="2187"/>
      </w:tblGrid>
      <w:tr w:rsidR="00254F37" w:rsidTr="00492790">
        <w:trPr>
          <w:trHeight w:val="345"/>
        </w:trPr>
        <w:tc>
          <w:tcPr>
            <w:tcW w:w="10731" w:type="dxa"/>
            <w:gridSpan w:val="5"/>
            <w:shd w:val="clear" w:color="auto" w:fill="FFFFFF"/>
          </w:tcPr>
          <w:p w:rsidR="00254F37" w:rsidRDefault="00254F37" w:rsidP="00492790">
            <w:pPr>
              <w:ind w:firstLine="360"/>
              <w:rPr>
                <w:sz w:val="28"/>
                <w:szCs w:val="28"/>
              </w:rPr>
            </w:pPr>
            <w:r w:rsidRPr="001A3736">
              <w:rPr>
                <w:b/>
                <w:bCs/>
                <w:sz w:val="28"/>
                <w:szCs w:val="28"/>
              </w:rPr>
              <w:t>Таблица №6</w:t>
            </w:r>
            <w:r>
              <w:rPr>
                <w:sz w:val="28"/>
                <w:szCs w:val="28"/>
              </w:rPr>
              <w:t xml:space="preserve"> ОБОРОТНЫЕ СРЕДСТВА И ПОКАЗАТЕЛИ ЛИКВИДНОСТИ КОМПАНИИ</w:t>
            </w:r>
          </w:p>
        </w:tc>
      </w:tr>
      <w:tr w:rsidR="00254F37" w:rsidTr="00492790">
        <w:trPr>
          <w:trHeight w:val="315"/>
        </w:trPr>
        <w:tc>
          <w:tcPr>
            <w:tcW w:w="3168" w:type="dxa"/>
            <w:tcBorders>
              <w:top w:val="single" w:sz="4" w:space="0" w:color="auto"/>
              <w:left w:val="single" w:sz="4" w:space="0" w:color="auto"/>
              <w:bottom w:val="single" w:sz="4" w:space="0" w:color="auto"/>
              <w:right w:val="single" w:sz="4" w:space="0" w:color="auto"/>
            </w:tcBorders>
            <w:shd w:val="clear" w:color="auto" w:fill="FFFFFF"/>
          </w:tcPr>
          <w:p w:rsidR="00254F37" w:rsidRDefault="00254F37" w:rsidP="00492790">
            <w:pPr>
              <w:ind w:firstLine="360"/>
              <w:rPr>
                <w:sz w:val="28"/>
                <w:szCs w:val="28"/>
              </w:rPr>
            </w:pPr>
            <w:r>
              <w:rPr>
                <w:sz w:val="28"/>
                <w:szCs w:val="28"/>
              </w:rPr>
              <w:t>Показатель</w:t>
            </w:r>
          </w:p>
        </w:tc>
        <w:tc>
          <w:tcPr>
            <w:tcW w:w="1620" w:type="dxa"/>
            <w:tcBorders>
              <w:top w:val="single" w:sz="4" w:space="0" w:color="auto"/>
              <w:left w:val="nil"/>
              <w:bottom w:val="single" w:sz="4" w:space="0" w:color="auto"/>
              <w:right w:val="single" w:sz="4" w:space="0" w:color="auto"/>
            </w:tcBorders>
            <w:shd w:val="clear" w:color="auto" w:fill="FFFFFF"/>
          </w:tcPr>
          <w:p w:rsidR="00254F37" w:rsidRDefault="00254F37" w:rsidP="00492790">
            <w:pPr>
              <w:ind w:firstLine="360"/>
              <w:rPr>
                <w:sz w:val="28"/>
                <w:szCs w:val="28"/>
              </w:rPr>
            </w:pPr>
            <w:r>
              <w:rPr>
                <w:sz w:val="28"/>
                <w:szCs w:val="28"/>
              </w:rPr>
              <w:t>2003г.</w:t>
            </w:r>
          </w:p>
        </w:tc>
        <w:tc>
          <w:tcPr>
            <w:tcW w:w="1722" w:type="dxa"/>
            <w:tcBorders>
              <w:top w:val="single" w:sz="4" w:space="0" w:color="auto"/>
              <w:left w:val="nil"/>
              <w:bottom w:val="single" w:sz="4" w:space="0" w:color="auto"/>
              <w:right w:val="single" w:sz="4" w:space="0" w:color="auto"/>
            </w:tcBorders>
            <w:shd w:val="clear" w:color="auto" w:fill="FFFFFF"/>
          </w:tcPr>
          <w:p w:rsidR="00254F37" w:rsidRDefault="00254F37" w:rsidP="00492790">
            <w:pPr>
              <w:ind w:firstLine="360"/>
              <w:rPr>
                <w:sz w:val="28"/>
                <w:szCs w:val="28"/>
              </w:rPr>
            </w:pPr>
            <w:r>
              <w:rPr>
                <w:sz w:val="28"/>
                <w:szCs w:val="28"/>
              </w:rPr>
              <w:t>2004г.</w:t>
            </w:r>
          </w:p>
        </w:tc>
        <w:tc>
          <w:tcPr>
            <w:tcW w:w="2034" w:type="dxa"/>
            <w:tcBorders>
              <w:top w:val="single" w:sz="4" w:space="0" w:color="auto"/>
              <w:left w:val="nil"/>
              <w:bottom w:val="single" w:sz="4" w:space="0" w:color="auto"/>
              <w:right w:val="single" w:sz="4" w:space="0" w:color="auto"/>
            </w:tcBorders>
            <w:shd w:val="clear" w:color="auto" w:fill="FFFFFF"/>
          </w:tcPr>
          <w:p w:rsidR="00254F37" w:rsidRDefault="00254F37" w:rsidP="00492790">
            <w:pPr>
              <w:ind w:firstLine="360"/>
              <w:rPr>
                <w:sz w:val="28"/>
                <w:szCs w:val="28"/>
              </w:rPr>
            </w:pPr>
            <w:r>
              <w:rPr>
                <w:sz w:val="28"/>
                <w:szCs w:val="28"/>
              </w:rPr>
              <w:t>2005 г.</w:t>
            </w:r>
          </w:p>
        </w:tc>
        <w:tc>
          <w:tcPr>
            <w:tcW w:w="2187" w:type="dxa"/>
            <w:noWrap/>
            <w:vAlign w:val="bottom"/>
          </w:tcPr>
          <w:p w:rsidR="00254F37" w:rsidRDefault="00254F37" w:rsidP="00492790">
            <w:pPr>
              <w:ind w:firstLine="360"/>
              <w:rPr>
                <w:sz w:val="28"/>
                <w:szCs w:val="28"/>
              </w:rPr>
            </w:pPr>
          </w:p>
        </w:tc>
      </w:tr>
      <w:tr w:rsidR="00254F37" w:rsidTr="00492790">
        <w:trPr>
          <w:trHeight w:val="630"/>
        </w:trPr>
        <w:tc>
          <w:tcPr>
            <w:tcW w:w="3168" w:type="dxa"/>
            <w:tcBorders>
              <w:top w:val="nil"/>
              <w:left w:val="single" w:sz="4" w:space="0" w:color="auto"/>
              <w:bottom w:val="single" w:sz="4" w:space="0" w:color="auto"/>
              <w:right w:val="single" w:sz="4" w:space="0" w:color="auto"/>
            </w:tcBorders>
            <w:shd w:val="clear" w:color="auto" w:fill="FFFFFF"/>
          </w:tcPr>
          <w:p w:rsidR="00254F37" w:rsidRDefault="00254F37" w:rsidP="00492790">
            <w:pPr>
              <w:rPr>
                <w:sz w:val="28"/>
                <w:szCs w:val="28"/>
              </w:rPr>
            </w:pPr>
            <w:r>
              <w:rPr>
                <w:sz w:val="28"/>
                <w:szCs w:val="28"/>
              </w:rPr>
              <w:t>Собственные оборотные средства, тыс. руб.</w:t>
            </w:r>
          </w:p>
        </w:tc>
        <w:tc>
          <w:tcPr>
            <w:tcW w:w="1620" w:type="dxa"/>
            <w:tcBorders>
              <w:top w:val="nil"/>
              <w:left w:val="nil"/>
              <w:bottom w:val="single" w:sz="4" w:space="0" w:color="auto"/>
              <w:right w:val="single" w:sz="4" w:space="0" w:color="auto"/>
            </w:tcBorders>
            <w:shd w:val="clear" w:color="auto" w:fill="FFFFFF"/>
            <w:vAlign w:val="center"/>
          </w:tcPr>
          <w:p w:rsidR="00254F37" w:rsidRDefault="00254F37" w:rsidP="00492790">
            <w:pPr>
              <w:ind w:firstLine="360"/>
              <w:rPr>
                <w:sz w:val="28"/>
                <w:szCs w:val="28"/>
              </w:rPr>
            </w:pPr>
            <w:r>
              <w:rPr>
                <w:sz w:val="28"/>
                <w:szCs w:val="28"/>
              </w:rPr>
              <w:t>-872 836</w:t>
            </w:r>
          </w:p>
        </w:tc>
        <w:tc>
          <w:tcPr>
            <w:tcW w:w="1722" w:type="dxa"/>
            <w:tcBorders>
              <w:top w:val="nil"/>
              <w:left w:val="nil"/>
              <w:bottom w:val="single" w:sz="4" w:space="0" w:color="auto"/>
              <w:right w:val="single" w:sz="4" w:space="0" w:color="auto"/>
            </w:tcBorders>
            <w:shd w:val="clear" w:color="auto" w:fill="FFFFFF"/>
            <w:vAlign w:val="center"/>
          </w:tcPr>
          <w:p w:rsidR="00254F37" w:rsidRDefault="00254F37" w:rsidP="00492790">
            <w:pPr>
              <w:rPr>
                <w:sz w:val="28"/>
                <w:szCs w:val="28"/>
              </w:rPr>
            </w:pPr>
            <w:r>
              <w:rPr>
                <w:sz w:val="28"/>
                <w:szCs w:val="28"/>
              </w:rPr>
              <w:t>-1 932 076</w:t>
            </w:r>
          </w:p>
        </w:tc>
        <w:tc>
          <w:tcPr>
            <w:tcW w:w="2034" w:type="dxa"/>
            <w:tcBorders>
              <w:top w:val="nil"/>
              <w:left w:val="nil"/>
              <w:bottom w:val="single" w:sz="4" w:space="0" w:color="auto"/>
              <w:right w:val="single" w:sz="4" w:space="0" w:color="auto"/>
            </w:tcBorders>
            <w:shd w:val="clear" w:color="auto" w:fill="FFFFFF"/>
            <w:vAlign w:val="center"/>
          </w:tcPr>
          <w:p w:rsidR="00254F37" w:rsidRDefault="00254F37" w:rsidP="00492790">
            <w:pPr>
              <w:ind w:firstLine="360"/>
              <w:rPr>
                <w:sz w:val="28"/>
                <w:szCs w:val="28"/>
              </w:rPr>
            </w:pPr>
            <w:r>
              <w:rPr>
                <w:sz w:val="28"/>
                <w:szCs w:val="28"/>
              </w:rPr>
              <w:t>-3 090 342</w:t>
            </w:r>
          </w:p>
        </w:tc>
        <w:tc>
          <w:tcPr>
            <w:tcW w:w="2187" w:type="dxa"/>
            <w:noWrap/>
            <w:vAlign w:val="bottom"/>
          </w:tcPr>
          <w:p w:rsidR="00254F37" w:rsidRDefault="00254F37" w:rsidP="00492790">
            <w:pPr>
              <w:ind w:firstLine="360"/>
              <w:rPr>
                <w:sz w:val="28"/>
                <w:szCs w:val="28"/>
              </w:rPr>
            </w:pPr>
          </w:p>
        </w:tc>
      </w:tr>
      <w:tr w:rsidR="00254F37" w:rsidTr="00492790">
        <w:trPr>
          <w:trHeight w:val="630"/>
        </w:trPr>
        <w:tc>
          <w:tcPr>
            <w:tcW w:w="3168" w:type="dxa"/>
            <w:tcBorders>
              <w:top w:val="nil"/>
              <w:left w:val="single" w:sz="4" w:space="0" w:color="auto"/>
              <w:bottom w:val="single" w:sz="4" w:space="0" w:color="auto"/>
              <w:right w:val="single" w:sz="4" w:space="0" w:color="auto"/>
            </w:tcBorders>
            <w:shd w:val="clear" w:color="auto" w:fill="FFFFFF"/>
          </w:tcPr>
          <w:p w:rsidR="00254F37" w:rsidRDefault="00254F37" w:rsidP="00492790">
            <w:pPr>
              <w:rPr>
                <w:sz w:val="28"/>
                <w:szCs w:val="28"/>
              </w:rPr>
            </w:pPr>
            <w:r>
              <w:rPr>
                <w:sz w:val="28"/>
                <w:szCs w:val="28"/>
              </w:rPr>
              <w:t>Коэффициент текущей ликвидности</w:t>
            </w:r>
          </w:p>
        </w:tc>
        <w:tc>
          <w:tcPr>
            <w:tcW w:w="1620" w:type="dxa"/>
            <w:tcBorders>
              <w:top w:val="nil"/>
              <w:left w:val="nil"/>
              <w:bottom w:val="single" w:sz="4" w:space="0" w:color="auto"/>
              <w:right w:val="single" w:sz="4" w:space="0" w:color="auto"/>
            </w:tcBorders>
            <w:shd w:val="clear" w:color="auto" w:fill="FFFFFF"/>
            <w:vAlign w:val="center"/>
          </w:tcPr>
          <w:p w:rsidR="00254F37" w:rsidRDefault="00254F37" w:rsidP="00492790">
            <w:pPr>
              <w:ind w:firstLine="360"/>
              <w:rPr>
                <w:sz w:val="28"/>
                <w:szCs w:val="28"/>
              </w:rPr>
            </w:pPr>
            <w:r>
              <w:rPr>
                <w:sz w:val="28"/>
                <w:szCs w:val="28"/>
              </w:rPr>
              <w:t>0,47</w:t>
            </w:r>
          </w:p>
        </w:tc>
        <w:tc>
          <w:tcPr>
            <w:tcW w:w="1722" w:type="dxa"/>
            <w:tcBorders>
              <w:top w:val="nil"/>
              <w:left w:val="nil"/>
              <w:bottom w:val="single" w:sz="4" w:space="0" w:color="auto"/>
              <w:right w:val="single" w:sz="4" w:space="0" w:color="auto"/>
            </w:tcBorders>
            <w:shd w:val="clear" w:color="auto" w:fill="FFFFFF"/>
            <w:vAlign w:val="center"/>
          </w:tcPr>
          <w:p w:rsidR="00254F37" w:rsidRDefault="00254F37" w:rsidP="00492790">
            <w:pPr>
              <w:ind w:firstLine="360"/>
              <w:rPr>
                <w:sz w:val="28"/>
                <w:szCs w:val="28"/>
              </w:rPr>
            </w:pPr>
            <w:r>
              <w:rPr>
                <w:sz w:val="28"/>
                <w:szCs w:val="28"/>
              </w:rPr>
              <w:t>0.83</w:t>
            </w:r>
          </w:p>
        </w:tc>
        <w:tc>
          <w:tcPr>
            <w:tcW w:w="2034" w:type="dxa"/>
            <w:tcBorders>
              <w:top w:val="nil"/>
              <w:left w:val="nil"/>
              <w:bottom w:val="single" w:sz="4" w:space="0" w:color="auto"/>
              <w:right w:val="single" w:sz="4" w:space="0" w:color="auto"/>
            </w:tcBorders>
            <w:shd w:val="clear" w:color="auto" w:fill="FFFFFF"/>
            <w:vAlign w:val="center"/>
          </w:tcPr>
          <w:p w:rsidR="00254F37" w:rsidRDefault="00254F37" w:rsidP="00492790">
            <w:pPr>
              <w:ind w:firstLine="360"/>
              <w:rPr>
                <w:sz w:val="28"/>
                <w:szCs w:val="28"/>
              </w:rPr>
            </w:pPr>
            <w:r>
              <w:rPr>
                <w:sz w:val="28"/>
                <w:szCs w:val="28"/>
              </w:rPr>
              <w:t>2,36</w:t>
            </w:r>
          </w:p>
        </w:tc>
        <w:tc>
          <w:tcPr>
            <w:tcW w:w="2187" w:type="dxa"/>
            <w:noWrap/>
            <w:vAlign w:val="bottom"/>
          </w:tcPr>
          <w:p w:rsidR="00254F37" w:rsidRDefault="00254F37" w:rsidP="00492790">
            <w:pPr>
              <w:ind w:firstLine="360"/>
              <w:rPr>
                <w:sz w:val="28"/>
                <w:szCs w:val="28"/>
              </w:rPr>
            </w:pPr>
          </w:p>
        </w:tc>
      </w:tr>
      <w:tr w:rsidR="00254F37" w:rsidTr="00492790">
        <w:trPr>
          <w:trHeight w:val="630"/>
        </w:trPr>
        <w:tc>
          <w:tcPr>
            <w:tcW w:w="3168" w:type="dxa"/>
            <w:tcBorders>
              <w:top w:val="nil"/>
              <w:left w:val="single" w:sz="4" w:space="0" w:color="auto"/>
              <w:bottom w:val="single" w:sz="4" w:space="0" w:color="auto"/>
              <w:right w:val="single" w:sz="4" w:space="0" w:color="auto"/>
            </w:tcBorders>
            <w:shd w:val="clear" w:color="auto" w:fill="FFFFFF"/>
          </w:tcPr>
          <w:p w:rsidR="00254F37" w:rsidRDefault="00254F37" w:rsidP="00492790">
            <w:pPr>
              <w:rPr>
                <w:sz w:val="28"/>
                <w:szCs w:val="28"/>
              </w:rPr>
            </w:pPr>
            <w:r>
              <w:rPr>
                <w:sz w:val="28"/>
                <w:szCs w:val="28"/>
              </w:rPr>
              <w:t>Коэффициент быстрой ликвидности</w:t>
            </w:r>
          </w:p>
        </w:tc>
        <w:tc>
          <w:tcPr>
            <w:tcW w:w="1620" w:type="dxa"/>
            <w:tcBorders>
              <w:top w:val="nil"/>
              <w:left w:val="nil"/>
              <w:bottom w:val="single" w:sz="4" w:space="0" w:color="auto"/>
              <w:right w:val="single" w:sz="4" w:space="0" w:color="auto"/>
            </w:tcBorders>
            <w:shd w:val="clear" w:color="auto" w:fill="FFFFFF"/>
            <w:vAlign w:val="center"/>
          </w:tcPr>
          <w:p w:rsidR="00254F37" w:rsidRDefault="00254F37" w:rsidP="00492790">
            <w:pPr>
              <w:ind w:firstLine="360"/>
              <w:rPr>
                <w:sz w:val="28"/>
                <w:szCs w:val="28"/>
              </w:rPr>
            </w:pPr>
            <w:r>
              <w:rPr>
                <w:sz w:val="28"/>
                <w:szCs w:val="28"/>
              </w:rPr>
              <w:t>0,45</w:t>
            </w:r>
          </w:p>
        </w:tc>
        <w:tc>
          <w:tcPr>
            <w:tcW w:w="1722" w:type="dxa"/>
            <w:tcBorders>
              <w:top w:val="nil"/>
              <w:left w:val="nil"/>
              <w:bottom w:val="single" w:sz="4" w:space="0" w:color="auto"/>
              <w:right w:val="single" w:sz="4" w:space="0" w:color="auto"/>
            </w:tcBorders>
            <w:shd w:val="clear" w:color="auto" w:fill="FFFFFF"/>
            <w:vAlign w:val="center"/>
          </w:tcPr>
          <w:p w:rsidR="00254F37" w:rsidRDefault="00254F37" w:rsidP="00492790">
            <w:pPr>
              <w:ind w:firstLine="360"/>
              <w:rPr>
                <w:sz w:val="28"/>
                <w:szCs w:val="28"/>
              </w:rPr>
            </w:pPr>
            <w:r>
              <w:rPr>
                <w:sz w:val="28"/>
                <w:szCs w:val="28"/>
              </w:rPr>
              <w:t>0,79</w:t>
            </w:r>
          </w:p>
        </w:tc>
        <w:tc>
          <w:tcPr>
            <w:tcW w:w="2034" w:type="dxa"/>
            <w:tcBorders>
              <w:top w:val="nil"/>
              <w:left w:val="nil"/>
              <w:bottom w:val="single" w:sz="4" w:space="0" w:color="auto"/>
              <w:right w:val="single" w:sz="4" w:space="0" w:color="auto"/>
            </w:tcBorders>
            <w:shd w:val="clear" w:color="auto" w:fill="FFFFFF"/>
            <w:vAlign w:val="center"/>
          </w:tcPr>
          <w:p w:rsidR="00254F37" w:rsidRDefault="00254F37" w:rsidP="00492790">
            <w:pPr>
              <w:ind w:firstLine="360"/>
              <w:rPr>
                <w:sz w:val="28"/>
                <w:szCs w:val="28"/>
              </w:rPr>
            </w:pPr>
            <w:r>
              <w:rPr>
                <w:sz w:val="28"/>
                <w:szCs w:val="28"/>
              </w:rPr>
              <w:t>2,26</w:t>
            </w:r>
          </w:p>
        </w:tc>
        <w:tc>
          <w:tcPr>
            <w:tcW w:w="2187" w:type="dxa"/>
            <w:noWrap/>
            <w:vAlign w:val="bottom"/>
          </w:tcPr>
          <w:p w:rsidR="00254F37" w:rsidRDefault="00254F37" w:rsidP="00492790">
            <w:pPr>
              <w:ind w:firstLine="360"/>
              <w:rPr>
                <w:sz w:val="28"/>
                <w:szCs w:val="28"/>
              </w:rPr>
            </w:pPr>
          </w:p>
        </w:tc>
      </w:tr>
      <w:tr w:rsidR="00254F37" w:rsidTr="00492790">
        <w:trPr>
          <w:trHeight w:val="255"/>
        </w:trPr>
        <w:tc>
          <w:tcPr>
            <w:tcW w:w="10731" w:type="dxa"/>
            <w:gridSpan w:val="5"/>
            <w:shd w:val="clear" w:color="auto" w:fill="FFFFFF"/>
          </w:tcPr>
          <w:p w:rsidR="00254F37" w:rsidRDefault="00254F37" w:rsidP="00492790">
            <w:pPr>
              <w:ind w:firstLine="360"/>
              <w:rPr>
                <w:sz w:val="28"/>
                <w:szCs w:val="28"/>
              </w:rPr>
            </w:pPr>
            <w:r>
              <w:rPr>
                <w:sz w:val="28"/>
                <w:szCs w:val="28"/>
              </w:rPr>
              <w:t>Источник Данные 000 «Компания"Сувар-Казань'</w:t>
            </w:r>
          </w:p>
        </w:tc>
      </w:tr>
    </w:tbl>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54F37" w:rsidRPr="002F08D2"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b/>
          <w:bCs/>
          <w:sz w:val="28"/>
          <w:szCs w:val="28"/>
        </w:rPr>
      </w:pPr>
      <w:r>
        <w:rPr>
          <w:b/>
          <w:bCs/>
          <w:sz w:val="28"/>
          <w:szCs w:val="28"/>
        </w:rPr>
        <w:br w:type="page"/>
        <w:t>§2.4. Инвестиционные проекты.</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Кредитный портфель Компании на се</w:t>
      </w:r>
      <w:r>
        <w:rPr>
          <w:sz w:val="28"/>
          <w:szCs w:val="28"/>
        </w:rPr>
        <w:softHyphen/>
        <w:t>годняшний момент составляет 4 млрд. руб., а на конец 2006 г. планируется уве</w:t>
      </w:r>
      <w:r>
        <w:rPr>
          <w:sz w:val="28"/>
          <w:szCs w:val="28"/>
        </w:rPr>
        <w:softHyphen/>
        <w:t>личение его до 5,1 млрд. руб., в том числе за счет размещения облигационного зай</w:t>
      </w:r>
      <w:r>
        <w:rPr>
          <w:sz w:val="28"/>
          <w:szCs w:val="28"/>
        </w:rPr>
        <w:softHyphen/>
        <w:t>ма (табл. 7). На 1 января 2006 г. долг со</w:t>
      </w:r>
      <w:r>
        <w:rPr>
          <w:sz w:val="28"/>
          <w:szCs w:val="28"/>
        </w:rPr>
        <w:softHyphen/>
        <w:t>ставлял 83% от суммарных активов; его структура на 89% состоит из текущих дол</w:t>
      </w:r>
      <w:r>
        <w:rPr>
          <w:sz w:val="28"/>
          <w:szCs w:val="28"/>
        </w:rPr>
        <w:softHyphen/>
        <w:t>госрочных кредитов.</w:t>
      </w:r>
    </w:p>
    <w:tbl>
      <w:tblPr>
        <w:tblW w:w="10100" w:type="dxa"/>
        <w:tblInd w:w="-14" w:type="dxa"/>
        <w:tblLook w:val="0000" w:firstRow="0" w:lastRow="0" w:firstColumn="0" w:lastColumn="0" w:noHBand="0" w:noVBand="0"/>
      </w:tblPr>
      <w:tblGrid>
        <w:gridCol w:w="2560"/>
        <w:gridCol w:w="7540"/>
      </w:tblGrid>
      <w:tr w:rsidR="00254F37" w:rsidTr="00492790">
        <w:trPr>
          <w:trHeight w:val="315"/>
        </w:trPr>
        <w:tc>
          <w:tcPr>
            <w:tcW w:w="10100" w:type="dxa"/>
            <w:gridSpan w:val="2"/>
            <w:tcBorders>
              <w:top w:val="nil"/>
              <w:left w:val="nil"/>
              <w:bottom w:val="nil"/>
              <w:right w:val="nil"/>
            </w:tcBorders>
            <w:noWrap/>
            <w:vAlign w:val="bottom"/>
          </w:tcPr>
          <w:p w:rsidR="00254F37" w:rsidRPr="00BF73E5" w:rsidRDefault="00254F37" w:rsidP="00492790">
            <w:pPr>
              <w:rPr>
                <w:sz w:val="28"/>
                <w:szCs w:val="28"/>
              </w:rPr>
            </w:pPr>
            <w:r w:rsidRPr="001A3736">
              <w:rPr>
                <w:b/>
                <w:bCs/>
                <w:sz w:val="28"/>
                <w:szCs w:val="28"/>
              </w:rPr>
              <w:t>Таблица №7</w:t>
            </w:r>
            <w:r w:rsidRPr="00BF73E5">
              <w:rPr>
                <w:sz w:val="28"/>
                <w:szCs w:val="28"/>
              </w:rPr>
              <w:t xml:space="preserve"> СТРУКТУРА ОБЛИГАЦИОННОГО ЗАЙМА</w:t>
            </w:r>
          </w:p>
        </w:tc>
      </w:tr>
      <w:tr w:rsidR="00254F37" w:rsidTr="00492790">
        <w:trPr>
          <w:trHeight w:val="495"/>
        </w:trPr>
        <w:tc>
          <w:tcPr>
            <w:tcW w:w="2560" w:type="dxa"/>
            <w:vMerge w:val="restart"/>
            <w:tcBorders>
              <w:top w:val="single" w:sz="4" w:space="0" w:color="auto"/>
              <w:left w:val="single" w:sz="4" w:space="0" w:color="auto"/>
              <w:bottom w:val="single" w:sz="4" w:space="0" w:color="auto"/>
              <w:right w:val="single" w:sz="4" w:space="0" w:color="auto"/>
            </w:tcBorders>
            <w:shd w:val="clear" w:color="auto" w:fill="FFFFFF"/>
          </w:tcPr>
          <w:p w:rsidR="00254F37" w:rsidRPr="003E4074" w:rsidRDefault="00254F37" w:rsidP="00492790">
            <w:pPr>
              <w:rPr>
                <w:sz w:val="28"/>
                <w:szCs w:val="28"/>
              </w:rPr>
            </w:pPr>
            <w:r w:rsidRPr="003E4074">
              <w:rPr>
                <w:sz w:val="28"/>
                <w:szCs w:val="28"/>
              </w:rPr>
              <w:t>Параметры</w:t>
            </w:r>
          </w:p>
        </w:tc>
        <w:tc>
          <w:tcPr>
            <w:tcW w:w="7540" w:type="dxa"/>
            <w:vMerge w:val="restart"/>
            <w:tcBorders>
              <w:top w:val="single" w:sz="4" w:space="0" w:color="auto"/>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Показатель</w:t>
            </w:r>
          </w:p>
        </w:tc>
      </w:tr>
      <w:tr w:rsidR="00254F37" w:rsidTr="00492790">
        <w:trPr>
          <w:trHeight w:val="322"/>
        </w:trPr>
        <w:tc>
          <w:tcPr>
            <w:tcW w:w="2560" w:type="dxa"/>
            <w:vMerge/>
            <w:tcBorders>
              <w:top w:val="single" w:sz="4" w:space="0" w:color="auto"/>
              <w:left w:val="single" w:sz="4" w:space="0" w:color="auto"/>
              <w:bottom w:val="single" w:sz="4" w:space="0" w:color="auto"/>
              <w:right w:val="single" w:sz="4" w:space="0" w:color="auto"/>
            </w:tcBorders>
            <w:vAlign w:val="center"/>
          </w:tcPr>
          <w:p w:rsidR="00254F37" w:rsidRPr="003E4074" w:rsidRDefault="00254F37" w:rsidP="00492790">
            <w:pPr>
              <w:rPr>
                <w:sz w:val="28"/>
                <w:szCs w:val="28"/>
              </w:rPr>
            </w:pPr>
          </w:p>
        </w:tc>
        <w:tc>
          <w:tcPr>
            <w:tcW w:w="7540" w:type="dxa"/>
            <w:vMerge/>
            <w:tcBorders>
              <w:top w:val="single" w:sz="4" w:space="0" w:color="auto"/>
              <w:left w:val="single" w:sz="4" w:space="0" w:color="auto"/>
              <w:bottom w:val="single" w:sz="4" w:space="0" w:color="auto"/>
              <w:right w:val="single" w:sz="4" w:space="0" w:color="auto"/>
            </w:tcBorders>
            <w:vAlign w:val="center"/>
          </w:tcPr>
          <w:p w:rsidR="00254F37" w:rsidRPr="003E4074" w:rsidRDefault="00254F37" w:rsidP="00492790">
            <w:pPr>
              <w:rPr>
                <w:color w:val="000000"/>
                <w:sz w:val="28"/>
                <w:szCs w:val="28"/>
              </w:rPr>
            </w:pPr>
          </w:p>
        </w:tc>
      </w:tr>
      <w:tr w:rsidR="00254F37" w:rsidTr="00492790">
        <w:trPr>
          <w:trHeight w:val="900"/>
        </w:trPr>
        <w:tc>
          <w:tcPr>
            <w:tcW w:w="2560" w:type="dxa"/>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Вид ценных бумаг</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Облигации процентные неконвертируемые документарные на предъявителя серии 01 с обязательным централизованным хранением</w:t>
            </w:r>
          </w:p>
        </w:tc>
      </w:tr>
      <w:tr w:rsidR="00254F37" w:rsidTr="00492790">
        <w:trPr>
          <w:trHeight w:val="315"/>
        </w:trPr>
        <w:tc>
          <w:tcPr>
            <w:tcW w:w="2560" w:type="dxa"/>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Объем эмиссии</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900 млн. руб.</w:t>
            </w:r>
          </w:p>
        </w:tc>
      </w:tr>
      <w:tr w:rsidR="00254F37" w:rsidTr="00492790">
        <w:trPr>
          <w:trHeight w:val="315"/>
        </w:trPr>
        <w:tc>
          <w:tcPr>
            <w:tcW w:w="2560" w:type="dxa"/>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Срок обращения</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3 года (1092 дня с даты начала размещения)</w:t>
            </w:r>
          </w:p>
        </w:tc>
      </w:tr>
      <w:tr w:rsidR="00254F37" w:rsidTr="00492790">
        <w:trPr>
          <w:trHeight w:val="315"/>
        </w:trPr>
        <w:tc>
          <w:tcPr>
            <w:tcW w:w="2560" w:type="dxa"/>
            <w:vMerge w:val="restart"/>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Условия досрочного выкупа (оферта)</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Через 1 год (100% от номинала);</w:t>
            </w:r>
          </w:p>
        </w:tc>
      </w:tr>
      <w:tr w:rsidR="00254F37" w:rsidTr="00492790">
        <w:trPr>
          <w:trHeight w:val="315"/>
        </w:trPr>
        <w:tc>
          <w:tcPr>
            <w:tcW w:w="2560" w:type="dxa"/>
            <w:vMerge/>
            <w:tcBorders>
              <w:top w:val="nil"/>
              <w:left w:val="single" w:sz="4" w:space="0" w:color="auto"/>
              <w:bottom w:val="single" w:sz="4" w:space="0" w:color="auto"/>
              <w:right w:val="single" w:sz="4" w:space="0" w:color="auto"/>
            </w:tcBorders>
            <w:vAlign w:val="center"/>
          </w:tcPr>
          <w:p w:rsidR="00254F37" w:rsidRPr="003E4074" w:rsidRDefault="00254F37" w:rsidP="00492790">
            <w:pPr>
              <w:rPr>
                <w:color w:val="000000"/>
                <w:sz w:val="28"/>
                <w:szCs w:val="28"/>
              </w:rPr>
            </w:pP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через 2 года (100% от номинала)</w:t>
            </w:r>
          </w:p>
        </w:tc>
      </w:tr>
      <w:tr w:rsidR="00254F37" w:rsidTr="00492790">
        <w:trPr>
          <w:trHeight w:val="315"/>
        </w:trPr>
        <w:tc>
          <w:tcPr>
            <w:tcW w:w="2560" w:type="dxa"/>
            <w:tcBorders>
              <w:top w:val="nil"/>
              <w:left w:val="single" w:sz="4" w:space="0" w:color="auto"/>
              <w:bottom w:val="nil"/>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Ставка купона</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Ставка 1-го купона - 13% годовых (64,82 руб./на одну облигацию);</w:t>
            </w:r>
          </w:p>
        </w:tc>
      </w:tr>
      <w:tr w:rsidR="00254F37" w:rsidTr="00492790">
        <w:trPr>
          <w:trHeight w:val="315"/>
        </w:trPr>
        <w:tc>
          <w:tcPr>
            <w:tcW w:w="2560" w:type="dxa"/>
            <w:tcBorders>
              <w:top w:val="nil"/>
              <w:left w:val="single" w:sz="4" w:space="0" w:color="auto"/>
              <w:bottom w:val="nil"/>
              <w:right w:val="single" w:sz="4" w:space="0" w:color="auto"/>
            </w:tcBorders>
          </w:tcPr>
          <w:p w:rsidR="00254F37" w:rsidRPr="003E4074" w:rsidRDefault="00254F37" w:rsidP="00492790">
            <w:pPr>
              <w:rPr>
                <w:rFonts w:ascii="Arial CYR" w:hAnsi="Arial CYR" w:cs="Arial CYR"/>
                <w:sz w:val="28"/>
                <w:szCs w:val="28"/>
              </w:rPr>
            </w:pPr>
            <w:r w:rsidRPr="003E4074">
              <w:rPr>
                <w:rFonts w:ascii="Arial CYR" w:hAnsi="Arial CYR" w:cs="Arial CYR"/>
                <w:sz w:val="28"/>
                <w:szCs w:val="28"/>
              </w:rPr>
              <w:t> </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ставка 2-го купона равна ставке 1-го купона;</w:t>
            </w:r>
          </w:p>
        </w:tc>
      </w:tr>
      <w:tr w:rsidR="00254F37" w:rsidTr="00492790">
        <w:trPr>
          <w:trHeight w:val="630"/>
        </w:trPr>
        <w:tc>
          <w:tcPr>
            <w:tcW w:w="2560" w:type="dxa"/>
            <w:tcBorders>
              <w:top w:val="nil"/>
              <w:left w:val="single" w:sz="4" w:space="0" w:color="auto"/>
              <w:bottom w:val="nil"/>
              <w:right w:val="single" w:sz="4" w:space="0" w:color="auto"/>
            </w:tcBorders>
          </w:tcPr>
          <w:p w:rsidR="00254F37" w:rsidRPr="003E4074" w:rsidRDefault="00254F37" w:rsidP="00492790">
            <w:pPr>
              <w:rPr>
                <w:rFonts w:ascii="Arial CYR" w:hAnsi="Arial CYR" w:cs="Arial CYR"/>
                <w:sz w:val="28"/>
                <w:szCs w:val="28"/>
              </w:rPr>
            </w:pPr>
            <w:r w:rsidRPr="003E4074">
              <w:rPr>
                <w:rFonts w:ascii="Arial CYR" w:hAnsi="Arial CYR" w:cs="Arial CYR"/>
                <w:sz w:val="28"/>
                <w:szCs w:val="28"/>
              </w:rPr>
              <w:t> </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ставки 3-го и 5-го купонов определяются решением общего собрания участников эмитента;</w:t>
            </w:r>
          </w:p>
        </w:tc>
      </w:tr>
      <w:tr w:rsidR="00254F37" w:rsidTr="00492790">
        <w:trPr>
          <w:trHeight w:val="630"/>
        </w:trPr>
        <w:tc>
          <w:tcPr>
            <w:tcW w:w="2560" w:type="dxa"/>
            <w:tcBorders>
              <w:top w:val="nil"/>
              <w:left w:val="single" w:sz="4" w:space="0" w:color="auto"/>
              <w:bottom w:val="nil"/>
              <w:right w:val="single" w:sz="4" w:space="0" w:color="auto"/>
            </w:tcBorders>
          </w:tcPr>
          <w:p w:rsidR="00254F37" w:rsidRPr="003E4074" w:rsidRDefault="00254F37" w:rsidP="00492790">
            <w:pPr>
              <w:rPr>
                <w:rFonts w:ascii="Arial CYR" w:hAnsi="Arial CYR" w:cs="Arial CYR"/>
                <w:sz w:val="28"/>
                <w:szCs w:val="28"/>
              </w:rPr>
            </w:pPr>
            <w:r w:rsidRPr="003E4074">
              <w:rPr>
                <w:rFonts w:ascii="Arial CYR" w:hAnsi="Arial CYR" w:cs="Arial CYR"/>
                <w:sz w:val="28"/>
                <w:szCs w:val="28"/>
              </w:rPr>
              <w:t> </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ставки 4-го и 6-го купонов равны ставкам 3-го и 5-го купонов соответственно</w:t>
            </w:r>
          </w:p>
        </w:tc>
      </w:tr>
      <w:tr w:rsidR="00254F37" w:rsidTr="00492790">
        <w:trPr>
          <w:trHeight w:val="315"/>
        </w:trPr>
        <w:tc>
          <w:tcPr>
            <w:tcW w:w="2560" w:type="dxa"/>
            <w:tcBorders>
              <w:top w:val="single" w:sz="4" w:space="0" w:color="auto"/>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Купонный период</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2 раза в год</w:t>
            </w:r>
          </w:p>
        </w:tc>
      </w:tr>
      <w:tr w:rsidR="00254F37" w:rsidTr="00492790">
        <w:trPr>
          <w:trHeight w:val="315"/>
        </w:trPr>
        <w:tc>
          <w:tcPr>
            <w:tcW w:w="2560" w:type="dxa"/>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Поручитель</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ООО «Строительная компания "Оримекс-Сувар"»</w:t>
            </w:r>
          </w:p>
        </w:tc>
      </w:tr>
      <w:tr w:rsidR="00254F37" w:rsidTr="00492790">
        <w:trPr>
          <w:trHeight w:val="315"/>
        </w:trPr>
        <w:tc>
          <w:tcPr>
            <w:tcW w:w="2560" w:type="dxa"/>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Организатор</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ОАО «АК БАРС БАНК», «Банк ЗЕНИТ»</w:t>
            </w:r>
          </w:p>
        </w:tc>
      </w:tr>
      <w:tr w:rsidR="00254F37" w:rsidTr="00492790">
        <w:trPr>
          <w:trHeight w:val="630"/>
        </w:trPr>
        <w:tc>
          <w:tcPr>
            <w:tcW w:w="2560" w:type="dxa"/>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Андеррайтер</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ОАО «АК БАРС БАНК», ОАО «МДМ-Банк», АКБ «СОЮЗ», АКБ «Энергобанк»</w:t>
            </w:r>
          </w:p>
        </w:tc>
      </w:tr>
      <w:tr w:rsidR="00254F37" w:rsidTr="00492790">
        <w:trPr>
          <w:trHeight w:val="315"/>
        </w:trPr>
        <w:tc>
          <w:tcPr>
            <w:tcW w:w="2560" w:type="dxa"/>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Pr>
                <w:color w:val="000000"/>
                <w:sz w:val="28"/>
                <w:szCs w:val="28"/>
              </w:rPr>
              <w:t>Организатор</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КИТФинанс Инвестиционный банкДатИнК</w:t>
            </w:r>
          </w:p>
        </w:tc>
      </w:tr>
      <w:tr w:rsidR="00254F37" w:rsidTr="00492790">
        <w:trPr>
          <w:trHeight w:val="315"/>
        </w:trPr>
        <w:tc>
          <w:tcPr>
            <w:tcW w:w="2560" w:type="dxa"/>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Платежный агент</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ОАО «АК БАРС БАНК»</w:t>
            </w:r>
          </w:p>
        </w:tc>
      </w:tr>
      <w:tr w:rsidR="00254F37" w:rsidTr="00492790">
        <w:trPr>
          <w:trHeight w:val="315"/>
        </w:trPr>
        <w:tc>
          <w:tcPr>
            <w:tcW w:w="2560" w:type="dxa"/>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Депозитарий</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НДЦ</w:t>
            </w:r>
          </w:p>
        </w:tc>
      </w:tr>
      <w:tr w:rsidR="00254F37" w:rsidTr="00492790">
        <w:trPr>
          <w:trHeight w:val="480"/>
        </w:trPr>
        <w:tc>
          <w:tcPr>
            <w:tcW w:w="2560" w:type="dxa"/>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Первичное размещение</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ЗАО «ФБ ММВБ»                                                        _</w:t>
            </w:r>
          </w:p>
        </w:tc>
      </w:tr>
      <w:tr w:rsidR="00254F37" w:rsidTr="00492790">
        <w:trPr>
          <w:trHeight w:val="630"/>
        </w:trPr>
        <w:tc>
          <w:tcPr>
            <w:tcW w:w="2560" w:type="dxa"/>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Цена при первичном размещении</w:t>
            </w:r>
          </w:p>
        </w:tc>
        <w:tc>
          <w:tcPr>
            <w:tcW w:w="7540" w:type="dxa"/>
            <w:tcBorders>
              <w:top w:val="nil"/>
              <w:left w:val="nil"/>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100% от номинала</w:t>
            </w:r>
          </w:p>
        </w:tc>
      </w:tr>
      <w:tr w:rsidR="00254F37" w:rsidTr="00492790">
        <w:trPr>
          <w:trHeight w:val="322"/>
        </w:trPr>
        <w:tc>
          <w:tcPr>
            <w:tcW w:w="2560" w:type="dxa"/>
            <w:vMerge w:val="restart"/>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Вторичное обращение</w:t>
            </w:r>
          </w:p>
        </w:tc>
        <w:tc>
          <w:tcPr>
            <w:tcW w:w="7540" w:type="dxa"/>
            <w:vMerge w:val="restart"/>
            <w:tcBorders>
              <w:top w:val="nil"/>
              <w:left w:val="single" w:sz="4" w:space="0" w:color="auto"/>
              <w:bottom w:val="single" w:sz="4" w:space="0" w:color="auto"/>
              <w:right w:val="single" w:sz="4" w:space="0" w:color="auto"/>
            </w:tcBorders>
            <w:shd w:val="clear" w:color="auto" w:fill="FFFFFF"/>
          </w:tcPr>
          <w:p w:rsidR="00254F37" w:rsidRPr="003E4074" w:rsidRDefault="00254F37" w:rsidP="00492790">
            <w:pPr>
              <w:rPr>
                <w:color w:val="000000"/>
                <w:sz w:val="28"/>
                <w:szCs w:val="28"/>
              </w:rPr>
            </w:pPr>
            <w:r w:rsidRPr="003E4074">
              <w:rPr>
                <w:color w:val="000000"/>
                <w:sz w:val="28"/>
                <w:szCs w:val="28"/>
              </w:rPr>
              <w:t>ММВБ и внебиржевой рынок</w:t>
            </w:r>
          </w:p>
        </w:tc>
      </w:tr>
      <w:tr w:rsidR="00254F37" w:rsidTr="00492790">
        <w:trPr>
          <w:trHeight w:val="276"/>
        </w:trPr>
        <w:tc>
          <w:tcPr>
            <w:tcW w:w="2560" w:type="dxa"/>
            <w:vMerge/>
            <w:tcBorders>
              <w:top w:val="nil"/>
              <w:left w:val="single" w:sz="4" w:space="0" w:color="auto"/>
              <w:bottom w:val="single" w:sz="4" w:space="0" w:color="auto"/>
              <w:right w:val="single" w:sz="4" w:space="0" w:color="auto"/>
            </w:tcBorders>
            <w:vAlign w:val="center"/>
          </w:tcPr>
          <w:p w:rsidR="00254F37" w:rsidRDefault="00254F37" w:rsidP="00492790">
            <w:pPr>
              <w:rPr>
                <w:color w:val="000000"/>
              </w:rPr>
            </w:pPr>
          </w:p>
        </w:tc>
        <w:tc>
          <w:tcPr>
            <w:tcW w:w="7540" w:type="dxa"/>
            <w:vMerge/>
            <w:tcBorders>
              <w:top w:val="nil"/>
              <w:left w:val="single" w:sz="4" w:space="0" w:color="auto"/>
              <w:bottom w:val="single" w:sz="4" w:space="0" w:color="auto"/>
              <w:right w:val="single" w:sz="4" w:space="0" w:color="auto"/>
            </w:tcBorders>
            <w:vAlign w:val="center"/>
          </w:tcPr>
          <w:p w:rsidR="00254F37" w:rsidRDefault="00254F37" w:rsidP="00492790">
            <w:pPr>
              <w:rPr>
                <w:color w:val="000000"/>
              </w:rPr>
            </w:pPr>
          </w:p>
        </w:tc>
      </w:tr>
    </w:tbl>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В 2006-2007 гг. Компания планирует строительство уникального развлекатель</w:t>
      </w:r>
      <w:r>
        <w:rPr>
          <w:sz w:val="28"/>
          <w:szCs w:val="28"/>
        </w:rPr>
        <w:softHyphen/>
        <w:t>ного комплекса, включающего в себя гостиницу, фитнес-центр, аквапарк и ки</w:t>
      </w:r>
      <w:r>
        <w:rPr>
          <w:sz w:val="28"/>
          <w:szCs w:val="28"/>
        </w:rPr>
        <w:softHyphen/>
        <w:t>нотеатр IМАХ. Общая площадь комплекса около 54 986 кв. м. Также в планы Компании входит строительство 5 фитнес-центров, социально ориентированных на средний класс и семью, в доступном це</w:t>
      </w:r>
      <w:r>
        <w:rPr>
          <w:sz w:val="28"/>
          <w:szCs w:val="28"/>
        </w:rPr>
        <w:softHyphen/>
        <w:t>новом сегменте.</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В ближайшем будущем Компания пла</w:t>
      </w:r>
      <w:r>
        <w:rPr>
          <w:sz w:val="28"/>
          <w:szCs w:val="28"/>
        </w:rPr>
        <w:softHyphen/>
        <w:t>нирует освоить направление строительст</w:t>
      </w:r>
      <w:r>
        <w:rPr>
          <w:sz w:val="28"/>
          <w:szCs w:val="28"/>
        </w:rPr>
        <w:softHyphen/>
        <w:t>ва доступного жилья в Казани с привлече</w:t>
      </w:r>
      <w:r>
        <w:rPr>
          <w:sz w:val="28"/>
          <w:szCs w:val="28"/>
        </w:rPr>
        <w:softHyphen/>
        <w:t>нием различных схем, включая банков</w:t>
      </w:r>
      <w:r>
        <w:rPr>
          <w:sz w:val="28"/>
          <w:szCs w:val="28"/>
        </w:rPr>
        <w:softHyphen/>
        <w:t>скую ипотеку. В 2006 г. Компания начнет строительство коттеджей в формате 200-250 кв. м на участках 800-1000 кв. м с полной чистовой отделкой, сантехникой и благоустройством территории, позволяю</w:t>
      </w:r>
      <w:r>
        <w:rPr>
          <w:sz w:val="28"/>
          <w:szCs w:val="28"/>
        </w:rPr>
        <w:softHyphen/>
        <w:t>щих въехать в жилье сразу после приобре</w:t>
      </w:r>
      <w:r>
        <w:rPr>
          <w:sz w:val="28"/>
          <w:szCs w:val="28"/>
        </w:rPr>
        <w:softHyphen/>
        <w:t>тения.</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Также планируется расширение дея</w:t>
      </w:r>
      <w:r>
        <w:rPr>
          <w:sz w:val="28"/>
          <w:szCs w:val="28"/>
        </w:rPr>
        <w:softHyphen/>
        <w:t>тельности Компании за пределами Республики Татарстан - в городах Уфа, Ижевск, Кемерово.</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По прогнозам, рыночная оценка компании к 2009 г. возрастет до 10 млрд. руб. при объеме заемных средств не более 6 млрд. руб. Совокупная выручка по группе компаний будет составлять около 6,5 млрд. руб. в год, объемы строительства будут до</w:t>
      </w:r>
      <w:r>
        <w:rPr>
          <w:sz w:val="28"/>
          <w:szCs w:val="28"/>
        </w:rPr>
        <w:softHyphen/>
        <w:t>ведены до 150 тыс. кв. м жилья в год. В планах 000 «Компания "Сувар-Казань"» значится акционирование в бли</w:t>
      </w:r>
      <w:r>
        <w:rPr>
          <w:sz w:val="28"/>
          <w:szCs w:val="28"/>
        </w:rPr>
        <w:softHyphen/>
        <w:t>жайшие 2,5-3 года и выход на публич</w:t>
      </w:r>
      <w:r>
        <w:rPr>
          <w:sz w:val="28"/>
          <w:szCs w:val="28"/>
        </w:rPr>
        <w:softHyphen/>
        <w:t xml:space="preserve">ный рынок акций. С помощью продажи деблокирующего пакета акций Компания рассчитывает сократить долю заемных средств до 25%. </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Компания планирует не останавливаться в своем развитии и поступательно расширять свою деятельность, о чем свидетельствует ее финансово-экномические показатели. Она стремиться использовать различные  виды финансирования с целью диверсификации кредитного портфеля и дальнейшего снижения процентной ставки.</w:t>
      </w:r>
      <w:r>
        <w:rPr>
          <w:rStyle w:val="a6"/>
          <w:sz w:val="28"/>
          <w:szCs w:val="28"/>
        </w:rPr>
        <w:footnoteReference w:id="4"/>
      </w:r>
    </w:p>
    <w:p w:rsidR="00254F37" w:rsidRDefault="00254F37" w:rsidP="00254F3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b/>
          <w:bCs/>
          <w:sz w:val="28"/>
          <w:szCs w:val="28"/>
        </w:rPr>
      </w:pPr>
      <w:r>
        <w:rPr>
          <w:sz w:val="28"/>
          <w:szCs w:val="28"/>
        </w:rPr>
        <w:br w:type="page"/>
      </w:r>
      <w:r w:rsidRPr="00F4557E">
        <w:rPr>
          <w:b/>
          <w:bCs/>
          <w:sz w:val="28"/>
          <w:szCs w:val="28"/>
        </w:rPr>
        <w:t>Заключение.</w:t>
      </w:r>
    </w:p>
    <w:p w:rsidR="00254F37" w:rsidRPr="003110D6" w:rsidRDefault="00254F37" w:rsidP="00254F3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 xml:space="preserve">В заключение </w:t>
      </w:r>
      <w:r w:rsidRPr="003110D6">
        <w:rPr>
          <w:sz w:val="28"/>
          <w:szCs w:val="28"/>
        </w:rPr>
        <w:t xml:space="preserve"> хотелось бы еще раз остановиться на основных моментах работы.</w:t>
      </w:r>
    </w:p>
    <w:p w:rsidR="00254F37" w:rsidRDefault="00254F37" w:rsidP="00254F3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sidRPr="003110D6">
        <w:rPr>
          <w:sz w:val="28"/>
          <w:szCs w:val="28"/>
        </w:rPr>
        <w:t>Инвестирование представляет собой один из наиболее ва</w:t>
      </w:r>
      <w:r>
        <w:rPr>
          <w:sz w:val="28"/>
          <w:szCs w:val="28"/>
        </w:rPr>
        <w:t>жных аспектов деятельности любого динамично развивающегося предприятия</w:t>
      </w:r>
      <w:r w:rsidRPr="003110D6">
        <w:rPr>
          <w:sz w:val="28"/>
          <w:szCs w:val="28"/>
        </w:rPr>
        <w:t xml:space="preserve"> </w:t>
      </w:r>
      <w:r>
        <w:rPr>
          <w:sz w:val="28"/>
          <w:szCs w:val="28"/>
        </w:rPr>
        <w:t>(</w:t>
      </w:r>
      <w:r w:rsidRPr="003110D6">
        <w:rPr>
          <w:sz w:val="28"/>
          <w:szCs w:val="28"/>
        </w:rPr>
        <w:t>организации</w:t>
      </w:r>
      <w:r>
        <w:rPr>
          <w:sz w:val="28"/>
          <w:szCs w:val="28"/>
        </w:rPr>
        <w:t>)</w:t>
      </w:r>
      <w:r w:rsidRPr="003110D6">
        <w:rPr>
          <w:sz w:val="28"/>
          <w:szCs w:val="28"/>
        </w:rPr>
        <w:t>.</w:t>
      </w:r>
    </w:p>
    <w:p w:rsidR="00254F37" w:rsidRPr="00633A23" w:rsidRDefault="00254F37" w:rsidP="00254F37">
      <w:pPr>
        <w:spacing w:line="360" w:lineRule="auto"/>
        <w:jc w:val="both"/>
        <w:rPr>
          <w:sz w:val="28"/>
          <w:szCs w:val="28"/>
        </w:rPr>
      </w:pPr>
      <w:r w:rsidRPr="00633A23">
        <w:rPr>
          <w:sz w:val="28"/>
          <w:szCs w:val="28"/>
        </w:rPr>
        <w:t>Инвестиции обеспечивают динамичное развитие предприятия и позволяют решать следующие задачи:</w:t>
      </w:r>
    </w:p>
    <w:p w:rsidR="00254F37" w:rsidRDefault="00254F37" w:rsidP="00254F37">
      <w:pPr>
        <w:numPr>
          <w:ilvl w:val="0"/>
          <w:numId w:val="8"/>
        </w:numPr>
        <w:spacing w:line="360" w:lineRule="auto"/>
        <w:jc w:val="both"/>
        <w:rPr>
          <w:sz w:val="28"/>
          <w:szCs w:val="28"/>
        </w:rPr>
      </w:pPr>
      <w:r>
        <w:rPr>
          <w:sz w:val="28"/>
          <w:szCs w:val="28"/>
        </w:rPr>
        <w:t xml:space="preserve">расширение собственной предпринимательской деятельности за счет накопления финансовых и материальных ресурсов; </w:t>
      </w:r>
    </w:p>
    <w:p w:rsidR="00254F37" w:rsidRDefault="00254F37" w:rsidP="00254F37">
      <w:pPr>
        <w:numPr>
          <w:ilvl w:val="0"/>
          <w:numId w:val="8"/>
        </w:numPr>
        <w:spacing w:line="360" w:lineRule="auto"/>
        <w:jc w:val="both"/>
        <w:rPr>
          <w:sz w:val="28"/>
          <w:szCs w:val="28"/>
        </w:rPr>
      </w:pPr>
      <w:r>
        <w:rPr>
          <w:sz w:val="28"/>
          <w:szCs w:val="28"/>
        </w:rPr>
        <w:t xml:space="preserve">приобретение новых предприятий; </w:t>
      </w:r>
    </w:p>
    <w:p w:rsidR="00254F37" w:rsidRDefault="00254F37" w:rsidP="00254F37">
      <w:pPr>
        <w:numPr>
          <w:ilvl w:val="0"/>
          <w:numId w:val="8"/>
        </w:numPr>
        <w:spacing w:line="360" w:lineRule="auto"/>
        <w:jc w:val="both"/>
        <w:rPr>
          <w:sz w:val="28"/>
          <w:szCs w:val="28"/>
        </w:rPr>
      </w:pPr>
      <w:r>
        <w:rPr>
          <w:sz w:val="28"/>
          <w:szCs w:val="28"/>
        </w:rPr>
        <w:t xml:space="preserve">диверсификация (освоение новых областей бизнеса, стратегическая ориентация на создание многопрофильного производства). </w:t>
      </w:r>
    </w:p>
    <w:p w:rsidR="00254F37" w:rsidRDefault="00254F37" w:rsidP="00254F3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sidRPr="003110D6">
        <w:rPr>
          <w:sz w:val="28"/>
          <w:szCs w:val="28"/>
        </w:rPr>
        <w:t>Для планирования и осуществления инвестиционной деятельности особую важность имеет предварительный анализ, который проводится на стадии разработки инвестиционных проектов и способствует принятию разумных и обоснованных управленческих решений.</w:t>
      </w:r>
    </w:p>
    <w:p w:rsidR="00254F37" w:rsidRDefault="00254F37" w:rsidP="00254F3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 xml:space="preserve">Из определений инвестиционной политики мы видим, что  каждый автор  трактует его по–разному, но главная идея одна: инвестиционная политика необходима для повышения производственного потенциала. </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При разработке инвестиционной политики рекомендуется определить общий объем инвестиций, способы рационального использования собственных средств возможности привлечения дополнительных  денежных  ресурсов  с  кредитного и фондового рынков.</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both"/>
        <w:rPr>
          <w:sz w:val="28"/>
          <w:szCs w:val="28"/>
        </w:rPr>
      </w:pPr>
      <w:r>
        <w:rPr>
          <w:sz w:val="28"/>
          <w:szCs w:val="28"/>
        </w:rPr>
        <w:t>В расчетах показателей финансовой эффективности используются чистый приведенный доход (</w:t>
      </w:r>
      <w:r>
        <w:rPr>
          <w:sz w:val="28"/>
          <w:szCs w:val="28"/>
          <w:lang w:val="en-US"/>
        </w:rPr>
        <w:t>NPV</w:t>
      </w:r>
      <w:r w:rsidRPr="00221805">
        <w:rPr>
          <w:sz w:val="28"/>
          <w:szCs w:val="28"/>
        </w:rPr>
        <w:t>)</w:t>
      </w:r>
      <w:r>
        <w:rPr>
          <w:sz w:val="28"/>
          <w:szCs w:val="28"/>
        </w:rPr>
        <w:t xml:space="preserve"> и внутренняя норма доходности</w:t>
      </w:r>
      <w:r w:rsidRPr="00221805">
        <w:rPr>
          <w:sz w:val="28"/>
          <w:szCs w:val="28"/>
        </w:rPr>
        <w:t xml:space="preserve"> (</w:t>
      </w:r>
      <w:r>
        <w:rPr>
          <w:sz w:val="28"/>
          <w:szCs w:val="28"/>
          <w:lang w:val="en-US"/>
        </w:rPr>
        <w:t>IRR</w:t>
      </w:r>
      <w:r w:rsidRPr="00221805">
        <w:rPr>
          <w:sz w:val="28"/>
          <w:szCs w:val="28"/>
        </w:rPr>
        <w:t>)</w:t>
      </w:r>
      <w:r>
        <w:rPr>
          <w:sz w:val="28"/>
          <w:szCs w:val="28"/>
        </w:rPr>
        <w:t xml:space="preserve">. </w:t>
      </w:r>
    </w:p>
    <w:p w:rsidR="00254F37" w:rsidRDefault="00254F37" w:rsidP="00254F3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rPr>
          <w:sz w:val="28"/>
          <w:szCs w:val="28"/>
        </w:rPr>
      </w:pPr>
      <w:r>
        <w:rPr>
          <w:sz w:val="28"/>
          <w:szCs w:val="28"/>
        </w:rPr>
        <w:t>Инвестиционная политика играет ключевую роль в развитии предприятия и влияет на финансовые результаты деятельности компании.</w:t>
      </w:r>
    </w:p>
    <w:p w:rsidR="00254F37" w:rsidRPr="00675ED5" w:rsidRDefault="00254F37" w:rsidP="00254F3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rPr>
          <w:b/>
          <w:bCs/>
          <w:sz w:val="28"/>
          <w:szCs w:val="28"/>
        </w:rPr>
      </w:pPr>
      <w:r>
        <w:rPr>
          <w:sz w:val="28"/>
          <w:szCs w:val="28"/>
        </w:rPr>
        <w:t xml:space="preserve">На примере компании «Сувар-Казань», мы увидели снижение чистой прибыли компании, которая была обусловлена спецификой инвестирования средств в сфере недвижимости. По окончанию этапа инвестирования в объект рентабельность капитала возрастает, что ведет к увеличению прибыли компании и стоимости активов. </w:t>
      </w:r>
      <w:r w:rsidRPr="001A3736">
        <w:rPr>
          <w:sz w:val="28"/>
          <w:szCs w:val="28"/>
        </w:rPr>
        <w:br w:type="page"/>
      </w:r>
      <w:r>
        <w:rPr>
          <w:b/>
          <w:bCs/>
          <w:sz w:val="28"/>
          <w:szCs w:val="28"/>
        </w:rPr>
        <w:t>Приложение 1.</w:t>
      </w:r>
    </w:p>
    <w:tbl>
      <w:tblPr>
        <w:tblW w:w="12420" w:type="dxa"/>
        <w:tblInd w:w="-360" w:type="dxa"/>
        <w:tblLook w:val="0000" w:firstRow="0" w:lastRow="0" w:firstColumn="0" w:lastColumn="0" w:noHBand="0" w:noVBand="0"/>
      </w:tblPr>
      <w:tblGrid>
        <w:gridCol w:w="5580"/>
        <w:gridCol w:w="610"/>
        <w:gridCol w:w="290"/>
        <w:gridCol w:w="485"/>
        <w:gridCol w:w="415"/>
        <w:gridCol w:w="360"/>
        <w:gridCol w:w="540"/>
        <w:gridCol w:w="236"/>
        <w:gridCol w:w="976"/>
        <w:gridCol w:w="976"/>
        <w:gridCol w:w="976"/>
        <w:gridCol w:w="976"/>
      </w:tblGrid>
      <w:tr w:rsidR="00254F37" w:rsidTr="00492790">
        <w:trPr>
          <w:trHeight w:val="255"/>
        </w:trPr>
        <w:tc>
          <w:tcPr>
            <w:tcW w:w="8280" w:type="dxa"/>
            <w:gridSpan w:val="7"/>
            <w:tcBorders>
              <w:top w:val="nil"/>
              <w:left w:val="nil"/>
              <w:bottom w:val="single" w:sz="4" w:space="0" w:color="auto"/>
              <w:right w:val="nil"/>
            </w:tcBorders>
            <w:noWrap/>
            <w:vAlign w:val="bottom"/>
          </w:tcPr>
          <w:p w:rsidR="00254F37" w:rsidRDefault="00254F37" w:rsidP="00492790">
            <w:pPr>
              <w:jc w:val="center"/>
              <w:rPr>
                <w:rFonts w:ascii="Arial CYR" w:hAnsi="Arial CYR" w:cs="Arial CYR"/>
                <w:sz w:val="20"/>
                <w:szCs w:val="20"/>
              </w:rPr>
            </w:pPr>
            <w:r>
              <w:rPr>
                <w:rFonts w:ascii="Arial CYR" w:hAnsi="Arial CYR" w:cs="Arial CYR"/>
                <w:sz w:val="20"/>
                <w:szCs w:val="20"/>
              </w:rPr>
              <w:t>Структура инвестиции (в %)</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nil"/>
              <w:left w:val="single" w:sz="4" w:space="0" w:color="auto"/>
              <w:bottom w:val="single" w:sz="4" w:space="0" w:color="auto"/>
              <w:right w:val="single" w:sz="4" w:space="0" w:color="auto"/>
            </w:tcBorders>
            <w:noWrap/>
            <w:vAlign w:val="bottom"/>
          </w:tcPr>
          <w:p w:rsidR="00254F37" w:rsidRDefault="00254F37" w:rsidP="00492790">
            <w:pPr>
              <w:rPr>
                <w:rFonts w:ascii="Arial CYR" w:hAnsi="Arial CYR" w:cs="Arial CYR"/>
                <w:sz w:val="20"/>
                <w:szCs w:val="20"/>
              </w:rPr>
            </w:pPr>
            <w:r>
              <w:rPr>
                <w:rFonts w:ascii="Arial CYR" w:hAnsi="Arial CYR" w:cs="Arial CYR"/>
                <w:sz w:val="20"/>
                <w:szCs w:val="20"/>
              </w:rPr>
              <w:t> </w:t>
            </w:r>
          </w:p>
        </w:tc>
        <w:tc>
          <w:tcPr>
            <w:tcW w:w="2700" w:type="dxa"/>
            <w:gridSpan w:val="6"/>
            <w:tcBorders>
              <w:top w:val="single" w:sz="4" w:space="0" w:color="auto"/>
              <w:left w:val="nil"/>
              <w:bottom w:val="single" w:sz="4" w:space="0" w:color="auto"/>
              <w:right w:val="single" w:sz="4" w:space="0" w:color="000000"/>
            </w:tcBorders>
            <w:noWrap/>
            <w:vAlign w:val="bottom"/>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Январь - сентябрь</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nil"/>
              <w:left w:val="single" w:sz="4" w:space="0" w:color="auto"/>
              <w:bottom w:val="single" w:sz="4" w:space="0" w:color="auto"/>
              <w:right w:val="single" w:sz="4" w:space="0" w:color="auto"/>
            </w:tcBorders>
            <w:noWrap/>
            <w:vAlign w:val="bottom"/>
          </w:tcPr>
          <w:p w:rsidR="00254F37" w:rsidRDefault="00254F37" w:rsidP="00492790">
            <w:pPr>
              <w:rPr>
                <w:rFonts w:ascii="Arial CYR" w:hAnsi="Arial CYR" w:cs="Arial CYR"/>
                <w:sz w:val="20"/>
                <w:szCs w:val="20"/>
              </w:rPr>
            </w:pPr>
            <w:r>
              <w:rPr>
                <w:rFonts w:ascii="Arial CYR" w:hAnsi="Arial CYR" w:cs="Arial CYR"/>
                <w:sz w:val="20"/>
                <w:szCs w:val="20"/>
              </w:rPr>
              <w:t> </w:t>
            </w:r>
          </w:p>
        </w:tc>
        <w:tc>
          <w:tcPr>
            <w:tcW w:w="900" w:type="dxa"/>
            <w:gridSpan w:val="2"/>
            <w:tcBorders>
              <w:top w:val="nil"/>
              <w:left w:val="nil"/>
              <w:bottom w:val="single" w:sz="4" w:space="0" w:color="auto"/>
              <w:right w:val="single" w:sz="4" w:space="0" w:color="auto"/>
            </w:tcBorders>
            <w:noWrap/>
            <w:vAlign w:val="bottom"/>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2003 г.</w:t>
            </w:r>
          </w:p>
        </w:tc>
        <w:tc>
          <w:tcPr>
            <w:tcW w:w="900" w:type="dxa"/>
            <w:gridSpan w:val="2"/>
            <w:tcBorders>
              <w:top w:val="nil"/>
              <w:left w:val="nil"/>
              <w:bottom w:val="single" w:sz="4" w:space="0" w:color="auto"/>
              <w:right w:val="single" w:sz="4" w:space="0" w:color="auto"/>
            </w:tcBorders>
            <w:noWrap/>
            <w:vAlign w:val="bottom"/>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2004 г.</w:t>
            </w:r>
          </w:p>
        </w:tc>
        <w:tc>
          <w:tcPr>
            <w:tcW w:w="900" w:type="dxa"/>
            <w:gridSpan w:val="2"/>
            <w:tcBorders>
              <w:top w:val="nil"/>
              <w:left w:val="nil"/>
              <w:bottom w:val="single" w:sz="4" w:space="0" w:color="auto"/>
              <w:right w:val="single" w:sz="4" w:space="0" w:color="auto"/>
            </w:tcBorders>
            <w:noWrap/>
            <w:vAlign w:val="bottom"/>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2005 г.</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510"/>
        </w:trPr>
        <w:tc>
          <w:tcPr>
            <w:tcW w:w="5580" w:type="dxa"/>
            <w:tcBorders>
              <w:top w:val="nil"/>
              <w:left w:val="single" w:sz="4" w:space="0" w:color="auto"/>
              <w:bottom w:val="nil"/>
              <w:right w:val="single" w:sz="4" w:space="0" w:color="auto"/>
            </w:tcBorders>
            <w:vAlign w:val="bottom"/>
          </w:tcPr>
          <w:p w:rsidR="00254F37" w:rsidRDefault="00254F37" w:rsidP="00492790">
            <w:pPr>
              <w:rPr>
                <w:rFonts w:ascii="Arial CYR" w:hAnsi="Arial CYR" w:cs="Arial CYR"/>
                <w:b/>
                <w:bCs/>
                <w:sz w:val="20"/>
                <w:szCs w:val="20"/>
              </w:rPr>
            </w:pPr>
            <w:r>
              <w:rPr>
                <w:rFonts w:ascii="Arial CYR" w:hAnsi="Arial CYR" w:cs="Arial CYR"/>
                <w:b/>
                <w:bCs/>
                <w:sz w:val="20"/>
                <w:szCs w:val="20"/>
              </w:rPr>
              <w:t>Финансовые вложения организаций (без субъектов малого предпринимательства)</w:t>
            </w:r>
          </w:p>
        </w:tc>
        <w:tc>
          <w:tcPr>
            <w:tcW w:w="900" w:type="dxa"/>
            <w:gridSpan w:val="2"/>
            <w:tcBorders>
              <w:top w:val="nil"/>
              <w:left w:val="nil"/>
              <w:bottom w:val="nil"/>
              <w:right w:val="single" w:sz="4" w:space="0" w:color="auto"/>
            </w:tcBorders>
            <w:noWrap/>
            <w:vAlign w:val="center"/>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100,0</w:t>
            </w:r>
          </w:p>
        </w:tc>
        <w:tc>
          <w:tcPr>
            <w:tcW w:w="900" w:type="dxa"/>
            <w:gridSpan w:val="2"/>
            <w:tcBorders>
              <w:top w:val="nil"/>
              <w:left w:val="nil"/>
              <w:bottom w:val="nil"/>
              <w:right w:val="single" w:sz="4" w:space="0" w:color="auto"/>
            </w:tcBorders>
            <w:noWrap/>
            <w:vAlign w:val="center"/>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100,0</w:t>
            </w:r>
          </w:p>
        </w:tc>
        <w:tc>
          <w:tcPr>
            <w:tcW w:w="900" w:type="dxa"/>
            <w:gridSpan w:val="2"/>
            <w:tcBorders>
              <w:top w:val="nil"/>
              <w:left w:val="nil"/>
              <w:bottom w:val="nil"/>
              <w:right w:val="single" w:sz="4" w:space="0" w:color="auto"/>
            </w:tcBorders>
            <w:noWrap/>
            <w:vAlign w:val="center"/>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100,0</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single" w:sz="4" w:space="0" w:color="auto"/>
              <w:left w:val="single" w:sz="4" w:space="0" w:color="auto"/>
              <w:bottom w:val="nil"/>
              <w:right w:val="single" w:sz="4" w:space="0" w:color="auto"/>
            </w:tcBorders>
            <w:noWrap/>
            <w:vAlign w:val="bottom"/>
          </w:tcPr>
          <w:p w:rsidR="00254F37" w:rsidRDefault="00254F37" w:rsidP="00492790">
            <w:pPr>
              <w:rPr>
                <w:rFonts w:ascii="Arial CYR" w:hAnsi="Arial CYR" w:cs="Arial CYR"/>
                <w:sz w:val="20"/>
                <w:szCs w:val="20"/>
              </w:rPr>
            </w:pPr>
            <w:r>
              <w:rPr>
                <w:rFonts w:ascii="Arial CYR" w:hAnsi="Arial CYR" w:cs="Arial CYR"/>
                <w:sz w:val="20"/>
                <w:szCs w:val="20"/>
              </w:rPr>
              <w:t xml:space="preserve">в то числе </w:t>
            </w:r>
          </w:p>
        </w:tc>
        <w:tc>
          <w:tcPr>
            <w:tcW w:w="900" w:type="dxa"/>
            <w:gridSpan w:val="2"/>
            <w:tcBorders>
              <w:top w:val="single" w:sz="4" w:space="0" w:color="auto"/>
              <w:left w:val="nil"/>
              <w:bottom w:val="nil"/>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 </w:t>
            </w:r>
          </w:p>
        </w:tc>
        <w:tc>
          <w:tcPr>
            <w:tcW w:w="900" w:type="dxa"/>
            <w:gridSpan w:val="2"/>
            <w:tcBorders>
              <w:top w:val="single" w:sz="4" w:space="0" w:color="auto"/>
              <w:left w:val="nil"/>
              <w:bottom w:val="nil"/>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 </w:t>
            </w:r>
          </w:p>
        </w:tc>
        <w:tc>
          <w:tcPr>
            <w:tcW w:w="900" w:type="dxa"/>
            <w:gridSpan w:val="2"/>
            <w:tcBorders>
              <w:top w:val="single" w:sz="4" w:space="0" w:color="auto"/>
              <w:left w:val="nil"/>
              <w:bottom w:val="nil"/>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 </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nil"/>
              <w:left w:val="single" w:sz="4" w:space="0" w:color="auto"/>
              <w:bottom w:val="single" w:sz="4" w:space="0" w:color="auto"/>
              <w:right w:val="single" w:sz="4" w:space="0" w:color="auto"/>
            </w:tcBorders>
            <w:noWrap/>
            <w:vAlign w:val="bottom"/>
          </w:tcPr>
          <w:p w:rsidR="00254F37" w:rsidRDefault="00254F37" w:rsidP="009B3A52">
            <w:pPr>
              <w:ind w:firstLineChars="200" w:firstLine="400"/>
              <w:rPr>
                <w:rFonts w:ascii="Arial CYR" w:hAnsi="Arial CYR" w:cs="Arial CYR"/>
                <w:sz w:val="20"/>
                <w:szCs w:val="20"/>
              </w:rPr>
            </w:pPr>
            <w:r>
              <w:rPr>
                <w:rFonts w:ascii="Arial CYR" w:hAnsi="Arial CYR" w:cs="Arial CYR"/>
                <w:sz w:val="20"/>
                <w:szCs w:val="20"/>
              </w:rPr>
              <w:t>долгосрочные инвестиции</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26,3</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19,4</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24,2</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nil"/>
              <w:left w:val="single" w:sz="4" w:space="0" w:color="auto"/>
              <w:bottom w:val="single" w:sz="4" w:space="0" w:color="auto"/>
              <w:right w:val="single" w:sz="4" w:space="0" w:color="auto"/>
            </w:tcBorders>
            <w:noWrap/>
            <w:vAlign w:val="bottom"/>
          </w:tcPr>
          <w:p w:rsidR="00254F37" w:rsidRDefault="00254F37" w:rsidP="009B3A52">
            <w:pPr>
              <w:ind w:firstLineChars="200" w:firstLine="400"/>
              <w:rPr>
                <w:rFonts w:ascii="Arial CYR" w:hAnsi="Arial CYR" w:cs="Arial CYR"/>
                <w:sz w:val="20"/>
                <w:szCs w:val="20"/>
              </w:rPr>
            </w:pPr>
            <w:r>
              <w:rPr>
                <w:rFonts w:ascii="Arial CYR" w:hAnsi="Arial CYR" w:cs="Arial CYR"/>
                <w:sz w:val="20"/>
                <w:szCs w:val="20"/>
              </w:rPr>
              <w:t>краткосрочные инвестиции</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73,7</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80,6</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75,8</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510"/>
        </w:trPr>
        <w:tc>
          <w:tcPr>
            <w:tcW w:w="5580" w:type="dxa"/>
            <w:tcBorders>
              <w:top w:val="nil"/>
              <w:left w:val="single" w:sz="4" w:space="0" w:color="auto"/>
              <w:bottom w:val="nil"/>
              <w:right w:val="single" w:sz="4" w:space="0" w:color="auto"/>
            </w:tcBorders>
            <w:vAlign w:val="bottom"/>
          </w:tcPr>
          <w:p w:rsidR="00254F37" w:rsidRDefault="00254F37" w:rsidP="00492790">
            <w:pPr>
              <w:rPr>
                <w:rFonts w:ascii="Arial CYR" w:hAnsi="Arial CYR" w:cs="Arial CYR"/>
                <w:b/>
                <w:bCs/>
                <w:sz w:val="20"/>
                <w:szCs w:val="20"/>
              </w:rPr>
            </w:pPr>
            <w:r>
              <w:rPr>
                <w:rFonts w:ascii="Arial CYR" w:hAnsi="Arial CYR" w:cs="Arial CYR"/>
                <w:b/>
                <w:bCs/>
                <w:sz w:val="20"/>
                <w:szCs w:val="20"/>
              </w:rPr>
              <w:t>Инвестиции в нефинансовые активы* (без субъектов малого предпринимательства)</w:t>
            </w:r>
          </w:p>
        </w:tc>
        <w:tc>
          <w:tcPr>
            <w:tcW w:w="900" w:type="dxa"/>
            <w:gridSpan w:val="2"/>
            <w:tcBorders>
              <w:top w:val="nil"/>
              <w:left w:val="nil"/>
              <w:bottom w:val="nil"/>
              <w:right w:val="single" w:sz="4" w:space="0" w:color="auto"/>
            </w:tcBorders>
            <w:noWrap/>
            <w:vAlign w:val="center"/>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100,0</w:t>
            </w:r>
          </w:p>
        </w:tc>
        <w:tc>
          <w:tcPr>
            <w:tcW w:w="900" w:type="dxa"/>
            <w:gridSpan w:val="2"/>
            <w:tcBorders>
              <w:top w:val="nil"/>
              <w:left w:val="nil"/>
              <w:bottom w:val="nil"/>
              <w:right w:val="single" w:sz="4" w:space="0" w:color="auto"/>
            </w:tcBorders>
            <w:noWrap/>
            <w:vAlign w:val="center"/>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100,0</w:t>
            </w:r>
          </w:p>
        </w:tc>
        <w:tc>
          <w:tcPr>
            <w:tcW w:w="900" w:type="dxa"/>
            <w:gridSpan w:val="2"/>
            <w:tcBorders>
              <w:top w:val="nil"/>
              <w:left w:val="nil"/>
              <w:bottom w:val="nil"/>
              <w:right w:val="single" w:sz="4" w:space="0" w:color="auto"/>
            </w:tcBorders>
            <w:noWrap/>
            <w:vAlign w:val="center"/>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100,0</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nil"/>
              <w:left w:val="single" w:sz="4" w:space="0" w:color="auto"/>
              <w:bottom w:val="nil"/>
              <w:right w:val="single" w:sz="4" w:space="0" w:color="auto"/>
            </w:tcBorders>
            <w:noWrap/>
            <w:vAlign w:val="bottom"/>
          </w:tcPr>
          <w:p w:rsidR="00254F37" w:rsidRDefault="00254F37" w:rsidP="00492790">
            <w:pPr>
              <w:rPr>
                <w:rFonts w:ascii="Arial CYR" w:hAnsi="Arial CYR" w:cs="Arial CYR"/>
                <w:sz w:val="20"/>
                <w:szCs w:val="20"/>
              </w:rPr>
            </w:pPr>
            <w:r>
              <w:rPr>
                <w:rFonts w:ascii="Arial CYR" w:hAnsi="Arial CYR" w:cs="Arial CYR"/>
                <w:sz w:val="20"/>
                <w:szCs w:val="20"/>
              </w:rPr>
              <w:t xml:space="preserve">в то числе </w:t>
            </w:r>
          </w:p>
        </w:tc>
        <w:tc>
          <w:tcPr>
            <w:tcW w:w="900" w:type="dxa"/>
            <w:gridSpan w:val="2"/>
            <w:tcBorders>
              <w:top w:val="single" w:sz="4" w:space="0" w:color="auto"/>
              <w:left w:val="nil"/>
              <w:bottom w:val="nil"/>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 </w:t>
            </w:r>
          </w:p>
        </w:tc>
        <w:tc>
          <w:tcPr>
            <w:tcW w:w="900" w:type="dxa"/>
            <w:gridSpan w:val="2"/>
            <w:tcBorders>
              <w:top w:val="single" w:sz="4" w:space="0" w:color="auto"/>
              <w:left w:val="nil"/>
              <w:bottom w:val="nil"/>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 </w:t>
            </w:r>
          </w:p>
        </w:tc>
        <w:tc>
          <w:tcPr>
            <w:tcW w:w="900" w:type="dxa"/>
            <w:gridSpan w:val="2"/>
            <w:tcBorders>
              <w:top w:val="single" w:sz="4" w:space="0" w:color="auto"/>
              <w:left w:val="nil"/>
              <w:bottom w:val="nil"/>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 </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nil"/>
              <w:left w:val="single" w:sz="4" w:space="0" w:color="auto"/>
              <w:bottom w:val="nil"/>
              <w:right w:val="single" w:sz="4" w:space="0" w:color="auto"/>
            </w:tcBorders>
            <w:noWrap/>
            <w:vAlign w:val="bottom"/>
          </w:tcPr>
          <w:p w:rsidR="00254F37" w:rsidRDefault="00254F37" w:rsidP="009B3A52">
            <w:pPr>
              <w:ind w:firstLineChars="200" w:firstLine="400"/>
              <w:rPr>
                <w:rFonts w:ascii="Arial CYR" w:hAnsi="Arial CYR" w:cs="Arial CYR"/>
                <w:sz w:val="20"/>
                <w:szCs w:val="20"/>
              </w:rPr>
            </w:pPr>
            <w:r>
              <w:rPr>
                <w:rFonts w:ascii="Arial CYR" w:hAnsi="Arial CYR" w:cs="Arial CYR"/>
                <w:sz w:val="20"/>
                <w:szCs w:val="20"/>
              </w:rPr>
              <w:t>инвестиции в основной капитал</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98,7</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99,0</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97,8</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nil"/>
              <w:left w:val="single" w:sz="4" w:space="0" w:color="auto"/>
              <w:bottom w:val="single" w:sz="4" w:space="0" w:color="auto"/>
              <w:right w:val="single" w:sz="4" w:space="0" w:color="auto"/>
            </w:tcBorders>
            <w:noWrap/>
            <w:vAlign w:val="bottom"/>
          </w:tcPr>
          <w:p w:rsidR="00254F37" w:rsidRDefault="00254F37" w:rsidP="009B3A52">
            <w:pPr>
              <w:ind w:firstLineChars="200" w:firstLine="400"/>
              <w:rPr>
                <w:rFonts w:ascii="Arial CYR" w:hAnsi="Arial CYR" w:cs="Arial CYR"/>
                <w:sz w:val="20"/>
                <w:szCs w:val="20"/>
              </w:rPr>
            </w:pPr>
            <w:r>
              <w:rPr>
                <w:rFonts w:ascii="Arial CYR" w:hAnsi="Arial CYR" w:cs="Arial CYR"/>
                <w:sz w:val="20"/>
                <w:szCs w:val="20"/>
              </w:rPr>
              <w:t>инвестиции в нематериальный активы</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0,5</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0,5</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1,1</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nil"/>
              <w:left w:val="single" w:sz="4" w:space="0" w:color="auto"/>
              <w:bottom w:val="single" w:sz="4" w:space="0" w:color="auto"/>
              <w:right w:val="single" w:sz="4" w:space="0" w:color="auto"/>
            </w:tcBorders>
            <w:noWrap/>
            <w:vAlign w:val="bottom"/>
          </w:tcPr>
          <w:p w:rsidR="00254F37" w:rsidRDefault="00254F37" w:rsidP="009B3A52">
            <w:pPr>
              <w:ind w:firstLineChars="200" w:firstLine="400"/>
              <w:rPr>
                <w:rFonts w:ascii="Arial CYR" w:hAnsi="Arial CYR" w:cs="Arial CYR"/>
                <w:sz w:val="20"/>
                <w:szCs w:val="20"/>
              </w:rPr>
            </w:pPr>
            <w:r>
              <w:rPr>
                <w:rFonts w:ascii="Arial CYR" w:hAnsi="Arial CYR" w:cs="Arial CYR"/>
                <w:sz w:val="20"/>
                <w:szCs w:val="20"/>
              </w:rPr>
              <w:t>инвестиции в другие нефинансовые активы</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0,8</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0,5</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0,7</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510"/>
        </w:trPr>
        <w:tc>
          <w:tcPr>
            <w:tcW w:w="5580" w:type="dxa"/>
            <w:tcBorders>
              <w:top w:val="nil"/>
              <w:left w:val="single" w:sz="4" w:space="0" w:color="auto"/>
              <w:bottom w:val="single" w:sz="4" w:space="0" w:color="auto"/>
              <w:right w:val="single" w:sz="4" w:space="0" w:color="auto"/>
            </w:tcBorders>
            <w:vAlign w:val="bottom"/>
          </w:tcPr>
          <w:p w:rsidR="00254F37" w:rsidRDefault="00254F37" w:rsidP="00492790">
            <w:pPr>
              <w:rPr>
                <w:rFonts w:ascii="Arial CYR" w:hAnsi="Arial CYR" w:cs="Arial CYR"/>
                <w:sz w:val="20"/>
                <w:szCs w:val="20"/>
              </w:rPr>
            </w:pPr>
            <w:r>
              <w:rPr>
                <w:rFonts w:ascii="Arial CYR" w:hAnsi="Arial CYR" w:cs="Arial CYR"/>
                <w:sz w:val="20"/>
                <w:szCs w:val="20"/>
              </w:rPr>
              <w:t>затраты на научно-исследовательское, опытно-конструкторские и технологические работы</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 </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 </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0,4</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510"/>
        </w:trPr>
        <w:tc>
          <w:tcPr>
            <w:tcW w:w="5580" w:type="dxa"/>
            <w:tcBorders>
              <w:top w:val="nil"/>
              <w:left w:val="single" w:sz="4" w:space="0" w:color="auto"/>
              <w:bottom w:val="nil"/>
              <w:right w:val="single" w:sz="4" w:space="0" w:color="auto"/>
            </w:tcBorders>
            <w:vAlign w:val="bottom"/>
          </w:tcPr>
          <w:p w:rsidR="00254F37" w:rsidRDefault="00254F37" w:rsidP="00492790">
            <w:pPr>
              <w:rPr>
                <w:rFonts w:ascii="Arial CYR" w:hAnsi="Arial CYR" w:cs="Arial CYR"/>
                <w:b/>
                <w:bCs/>
                <w:sz w:val="20"/>
                <w:szCs w:val="20"/>
              </w:rPr>
            </w:pPr>
            <w:r>
              <w:rPr>
                <w:rFonts w:ascii="Arial CYR" w:hAnsi="Arial CYR" w:cs="Arial CYR"/>
                <w:b/>
                <w:bCs/>
                <w:sz w:val="20"/>
                <w:szCs w:val="20"/>
              </w:rPr>
              <w:t>Инвестиции российских организаций за рубежом**</w:t>
            </w:r>
          </w:p>
        </w:tc>
        <w:tc>
          <w:tcPr>
            <w:tcW w:w="900" w:type="dxa"/>
            <w:gridSpan w:val="2"/>
            <w:tcBorders>
              <w:top w:val="nil"/>
              <w:left w:val="nil"/>
              <w:bottom w:val="nil"/>
              <w:right w:val="single" w:sz="4" w:space="0" w:color="auto"/>
            </w:tcBorders>
            <w:noWrap/>
            <w:vAlign w:val="center"/>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100,0</w:t>
            </w:r>
          </w:p>
        </w:tc>
        <w:tc>
          <w:tcPr>
            <w:tcW w:w="900" w:type="dxa"/>
            <w:gridSpan w:val="2"/>
            <w:tcBorders>
              <w:top w:val="nil"/>
              <w:left w:val="nil"/>
              <w:bottom w:val="nil"/>
              <w:right w:val="single" w:sz="4" w:space="0" w:color="auto"/>
            </w:tcBorders>
            <w:noWrap/>
            <w:vAlign w:val="center"/>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100,0</w:t>
            </w:r>
          </w:p>
        </w:tc>
        <w:tc>
          <w:tcPr>
            <w:tcW w:w="900" w:type="dxa"/>
            <w:gridSpan w:val="2"/>
            <w:tcBorders>
              <w:top w:val="nil"/>
              <w:left w:val="nil"/>
              <w:bottom w:val="nil"/>
              <w:right w:val="single" w:sz="4" w:space="0" w:color="auto"/>
            </w:tcBorders>
            <w:noWrap/>
            <w:vAlign w:val="center"/>
          </w:tcPr>
          <w:p w:rsidR="00254F37" w:rsidRDefault="00254F37" w:rsidP="00492790">
            <w:pPr>
              <w:jc w:val="center"/>
              <w:rPr>
                <w:rFonts w:ascii="Arial CYR" w:hAnsi="Arial CYR" w:cs="Arial CYR"/>
                <w:b/>
                <w:bCs/>
                <w:sz w:val="20"/>
                <w:szCs w:val="20"/>
              </w:rPr>
            </w:pPr>
            <w:r>
              <w:rPr>
                <w:rFonts w:ascii="Arial CYR" w:hAnsi="Arial CYR" w:cs="Arial CYR"/>
                <w:b/>
                <w:bCs/>
                <w:sz w:val="20"/>
                <w:szCs w:val="20"/>
              </w:rPr>
              <w:t>100,0</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single" w:sz="4" w:space="0" w:color="auto"/>
              <w:left w:val="single" w:sz="4" w:space="0" w:color="auto"/>
              <w:bottom w:val="nil"/>
              <w:right w:val="single" w:sz="4" w:space="0" w:color="auto"/>
            </w:tcBorders>
            <w:noWrap/>
            <w:vAlign w:val="bottom"/>
          </w:tcPr>
          <w:p w:rsidR="00254F37" w:rsidRDefault="00254F37" w:rsidP="00492790">
            <w:pPr>
              <w:rPr>
                <w:rFonts w:ascii="Arial CYR" w:hAnsi="Arial CYR" w:cs="Arial CYR"/>
                <w:sz w:val="20"/>
                <w:szCs w:val="20"/>
              </w:rPr>
            </w:pPr>
            <w:r>
              <w:rPr>
                <w:rFonts w:ascii="Arial CYR" w:hAnsi="Arial CYR" w:cs="Arial CYR"/>
                <w:sz w:val="20"/>
                <w:szCs w:val="20"/>
              </w:rPr>
              <w:t xml:space="preserve">в то числе </w:t>
            </w:r>
          </w:p>
        </w:tc>
        <w:tc>
          <w:tcPr>
            <w:tcW w:w="900" w:type="dxa"/>
            <w:gridSpan w:val="2"/>
            <w:tcBorders>
              <w:top w:val="single" w:sz="4" w:space="0" w:color="auto"/>
              <w:left w:val="nil"/>
              <w:bottom w:val="nil"/>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 </w:t>
            </w:r>
          </w:p>
        </w:tc>
        <w:tc>
          <w:tcPr>
            <w:tcW w:w="900" w:type="dxa"/>
            <w:gridSpan w:val="2"/>
            <w:tcBorders>
              <w:top w:val="single" w:sz="4" w:space="0" w:color="auto"/>
              <w:left w:val="nil"/>
              <w:bottom w:val="nil"/>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 </w:t>
            </w:r>
          </w:p>
        </w:tc>
        <w:tc>
          <w:tcPr>
            <w:tcW w:w="900" w:type="dxa"/>
            <w:gridSpan w:val="2"/>
            <w:tcBorders>
              <w:top w:val="single" w:sz="4" w:space="0" w:color="auto"/>
              <w:left w:val="nil"/>
              <w:bottom w:val="nil"/>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 </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nil"/>
              <w:left w:val="single" w:sz="4" w:space="0" w:color="auto"/>
              <w:bottom w:val="single" w:sz="4" w:space="0" w:color="auto"/>
              <w:right w:val="single" w:sz="4" w:space="0" w:color="auto"/>
            </w:tcBorders>
            <w:noWrap/>
            <w:vAlign w:val="bottom"/>
          </w:tcPr>
          <w:p w:rsidR="00254F37" w:rsidRDefault="00254F37" w:rsidP="009B3A52">
            <w:pPr>
              <w:ind w:firstLineChars="200" w:firstLine="400"/>
              <w:rPr>
                <w:rFonts w:ascii="Arial CYR" w:hAnsi="Arial CYR" w:cs="Arial CYR"/>
                <w:sz w:val="20"/>
                <w:szCs w:val="20"/>
              </w:rPr>
            </w:pPr>
            <w:r>
              <w:rPr>
                <w:rFonts w:ascii="Arial CYR" w:hAnsi="Arial CYR" w:cs="Arial CYR"/>
                <w:sz w:val="20"/>
                <w:szCs w:val="20"/>
              </w:rPr>
              <w:t>прямые</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1,1</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7,6</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2,2</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nil"/>
              <w:left w:val="single" w:sz="4" w:space="0" w:color="auto"/>
              <w:bottom w:val="single" w:sz="4" w:space="0" w:color="auto"/>
              <w:right w:val="single" w:sz="4" w:space="0" w:color="auto"/>
            </w:tcBorders>
            <w:noWrap/>
            <w:vAlign w:val="bottom"/>
          </w:tcPr>
          <w:p w:rsidR="00254F37" w:rsidRDefault="00254F37" w:rsidP="009B3A52">
            <w:pPr>
              <w:ind w:firstLineChars="200" w:firstLine="400"/>
              <w:rPr>
                <w:rFonts w:ascii="Arial CYR" w:hAnsi="Arial CYR" w:cs="Arial CYR"/>
                <w:sz w:val="20"/>
                <w:szCs w:val="20"/>
              </w:rPr>
            </w:pPr>
            <w:r>
              <w:rPr>
                <w:rFonts w:ascii="Arial CYR" w:hAnsi="Arial CYR" w:cs="Arial CYR"/>
                <w:sz w:val="20"/>
                <w:szCs w:val="20"/>
              </w:rPr>
              <w:t>портфельные</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0,0</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0,0</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1,7</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nil"/>
              <w:left w:val="single" w:sz="4" w:space="0" w:color="auto"/>
              <w:bottom w:val="single" w:sz="4" w:space="0" w:color="auto"/>
              <w:right w:val="single" w:sz="4" w:space="0" w:color="auto"/>
            </w:tcBorders>
            <w:noWrap/>
            <w:vAlign w:val="bottom"/>
          </w:tcPr>
          <w:p w:rsidR="00254F37" w:rsidRDefault="00254F37" w:rsidP="009B3A52">
            <w:pPr>
              <w:ind w:firstLineChars="200" w:firstLine="400"/>
              <w:rPr>
                <w:rFonts w:ascii="Arial CYR" w:hAnsi="Arial CYR" w:cs="Arial CYR"/>
                <w:sz w:val="20"/>
                <w:szCs w:val="20"/>
              </w:rPr>
            </w:pPr>
            <w:r>
              <w:rPr>
                <w:rFonts w:ascii="Arial CYR" w:hAnsi="Arial CYR" w:cs="Arial CYR"/>
                <w:sz w:val="20"/>
                <w:szCs w:val="20"/>
              </w:rPr>
              <w:t>прочие</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98,9</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92,4</w:t>
            </w:r>
          </w:p>
        </w:tc>
        <w:tc>
          <w:tcPr>
            <w:tcW w:w="900" w:type="dxa"/>
            <w:gridSpan w:val="2"/>
            <w:tcBorders>
              <w:top w:val="nil"/>
              <w:left w:val="nil"/>
              <w:bottom w:val="single" w:sz="4" w:space="0" w:color="auto"/>
              <w:right w:val="single" w:sz="4" w:space="0" w:color="auto"/>
            </w:tcBorders>
            <w:noWrap/>
            <w:vAlign w:val="center"/>
          </w:tcPr>
          <w:p w:rsidR="00254F37" w:rsidRDefault="00254F37" w:rsidP="00492790">
            <w:pPr>
              <w:jc w:val="center"/>
              <w:rPr>
                <w:rFonts w:ascii="Arial CYR" w:hAnsi="Arial CYR" w:cs="Arial CYR"/>
                <w:sz w:val="20"/>
                <w:szCs w:val="20"/>
              </w:rPr>
            </w:pPr>
            <w:r>
              <w:rPr>
                <w:rFonts w:ascii="Arial CYR" w:hAnsi="Arial CYR" w:cs="Arial CYR"/>
                <w:sz w:val="20"/>
                <w:szCs w:val="20"/>
              </w:rPr>
              <w:t>96,1</w:t>
            </w: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5580"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00"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00"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00"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1212"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r w:rsidR="00254F37" w:rsidTr="00492790">
        <w:trPr>
          <w:trHeight w:val="255"/>
        </w:trPr>
        <w:tc>
          <w:tcPr>
            <w:tcW w:w="12420" w:type="dxa"/>
            <w:gridSpan w:val="12"/>
            <w:tcBorders>
              <w:top w:val="nil"/>
              <w:left w:val="nil"/>
              <w:bottom w:val="nil"/>
              <w:right w:val="nil"/>
            </w:tcBorders>
            <w:noWrap/>
            <w:vAlign w:val="bottom"/>
          </w:tcPr>
          <w:p w:rsidR="00254F37" w:rsidRDefault="00254F37" w:rsidP="00492790">
            <w:pPr>
              <w:rPr>
                <w:rFonts w:ascii="Arial CYR" w:hAnsi="Arial CYR" w:cs="Arial CYR"/>
                <w:sz w:val="20"/>
                <w:szCs w:val="20"/>
              </w:rPr>
            </w:pPr>
            <w:r>
              <w:rPr>
                <w:rFonts w:ascii="Arial CYR" w:hAnsi="Arial CYR" w:cs="Arial CYR"/>
                <w:sz w:val="20"/>
                <w:szCs w:val="20"/>
              </w:rPr>
              <w:t>* Без учета инвестиций в прирост запасов материальных оборотных средств и без учета неформальной деятельности</w:t>
            </w:r>
          </w:p>
        </w:tc>
      </w:tr>
      <w:tr w:rsidR="00254F37" w:rsidTr="00492790">
        <w:trPr>
          <w:trHeight w:val="255"/>
        </w:trPr>
        <w:tc>
          <w:tcPr>
            <w:tcW w:w="12420" w:type="dxa"/>
            <w:gridSpan w:val="12"/>
            <w:tcBorders>
              <w:top w:val="nil"/>
              <w:left w:val="nil"/>
              <w:bottom w:val="nil"/>
              <w:right w:val="nil"/>
            </w:tcBorders>
            <w:noWrap/>
            <w:vAlign w:val="bottom"/>
          </w:tcPr>
          <w:p w:rsidR="00254F37" w:rsidRDefault="00254F37" w:rsidP="00492790">
            <w:pPr>
              <w:rPr>
                <w:rFonts w:ascii="Arial CYR" w:hAnsi="Arial CYR" w:cs="Arial CYR"/>
                <w:sz w:val="20"/>
                <w:szCs w:val="20"/>
              </w:rPr>
            </w:pPr>
            <w:r>
              <w:rPr>
                <w:rFonts w:ascii="Arial CYR" w:hAnsi="Arial CYR" w:cs="Arial CYR"/>
                <w:sz w:val="20"/>
                <w:szCs w:val="20"/>
              </w:rPr>
              <w:t>** Общий объем инвестиций без учета банковской сферы, включая рублевые инвестиции, пересчитанные в доллары</w:t>
            </w:r>
          </w:p>
        </w:tc>
      </w:tr>
      <w:tr w:rsidR="00254F37" w:rsidTr="00492790">
        <w:trPr>
          <w:trHeight w:val="255"/>
        </w:trPr>
        <w:tc>
          <w:tcPr>
            <w:tcW w:w="6190"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775"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775"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776" w:type="dxa"/>
            <w:gridSpan w:val="2"/>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c>
          <w:tcPr>
            <w:tcW w:w="976" w:type="dxa"/>
            <w:tcBorders>
              <w:top w:val="nil"/>
              <w:left w:val="nil"/>
              <w:bottom w:val="nil"/>
              <w:right w:val="nil"/>
            </w:tcBorders>
            <w:noWrap/>
            <w:vAlign w:val="bottom"/>
          </w:tcPr>
          <w:p w:rsidR="00254F37" w:rsidRDefault="00254F37" w:rsidP="00492790">
            <w:pPr>
              <w:rPr>
                <w:rFonts w:ascii="Arial CYR" w:hAnsi="Arial CYR" w:cs="Arial CYR"/>
                <w:sz w:val="20"/>
                <w:szCs w:val="20"/>
              </w:rPr>
            </w:pPr>
          </w:p>
        </w:tc>
      </w:tr>
    </w:tbl>
    <w:p w:rsidR="00254F37" w:rsidRDefault="00254F37" w:rsidP="00254F3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jc w:val="center"/>
        <w:rPr>
          <w:b/>
          <w:bCs/>
          <w:sz w:val="28"/>
          <w:szCs w:val="28"/>
        </w:rPr>
      </w:pPr>
      <w:r>
        <w:rPr>
          <w:sz w:val="28"/>
          <w:szCs w:val="28"/>
        </w:rPr>
        <w:br w:type="page"/>
      </w:r>
      <w:r>
        <w:rPr>
          <w:b/>
          <w:bCs/>
          <w:sz w:val="28"/>
          <w:szCs w:val="28"/>
        </w:rPr>
        <w:t>Список литературы:</w:t>
      </w:r>
    </w:p>
    <w:p w:rsidR="00254F37" w:rsidRDefault="00254F37" w:rsidP="00254F3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360"/>
        <w:rPr>
          <w:sz w:val="28"/>
          <w:szCs w:val="28"/>
        </w:rPr>
      </w:pPr>
      <w:r>
        <w:rPr>
          <w:sz w:val="28"/>
          <w:szCs w:val="28"/>
        </w:rPr>
        <w:t>К.Э. Лайкам, И.П. Горячева. «Финансы России»/Стат.сб./Росстат-М., 2004г.-332с.</w:t>
      </w:r>
    </w:p>
    <w:p w:rsidR="00254F37" w:rsidRDefault="00254F37" w:rsidP="00254F3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360"/>
        <w:rPr>
          <w:sz w:val="28"/>
          <w:szCs w:val="28"/>
        </w:rPr>
      </w:pPr>
      <w:r>
        <w:rPr>
          <w:sz w:val="28"/>
          <w:szCs w:val="28"/>
        </w:rPr>
        <w:t>Олег Карпаев  "Сувар-Казань" выходит на рынок облигаций//Рынок Ценных Бумаг, №9, 2006г.</w:t>
      </w:r>
      <w:r w:rsidRPr="00BA3435">
        <w:rPr>
          <w:sz w:val="28"/>
          <w:szCs w:val="28"/>
        </w:rPr>
        <w:t xml:space="preserve"> </w:t>
      </w:r>
    </w:p>
    <w:p w:rsidR="00254F37" w:rsidRDefault="00254F37" w:rsidP="00254F3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360"/>
        <w:rPr>
          <w:sz w:val="28"/>
          <w:szCs w:val="28"/>
        </w:rPr>
      </w:pPr>
      <w:r w:rsidRPr="00BA3435">
        <w:rPr>
          <w:sz w:val="28"/>
          <w:szCs w:val="28"/>
        </w:rPr>
        <w:t xml:space="preserve"> </w:t>
      </w:r>
      <w:r>
        <w:rPr>
          <w:sz w:val="28"/>
          <w:szCs w:val="28"/>
        </w:rPr>
        <w:t>А.Г. Хайруллин Управление финансовыми результатами деятельности организации.// «Экономический анализ»,№10, 2006г.</w:t>
      </w:r>
    </w:p>
    <w:p w:rsidR="00254F37" w:rsidRDefault="00254F37" w:rsidP="00254F3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360"/>
        <w:rPr>
          <w:sz w:val="28"/>
          <w:szCs w:val="28"/>
        </w:rPr>
      </w:pPr>
      <w:r>
        <w:rPr>
          <w:i/>
          <w:iCs/>
          <w:color w:val="000000"/>
          <w:sz w:val="28"/>
          <w:szCs w:val="28"/>
        </w:rPr>
        <w:t xml:space="preserve">Ендовицкий Д.А. </w:t>
      </w:r>
      <w:r>
        <w:rPr>
          <w:color w:val="000000"/>
          <w:sz w:val="28"/>
          <w:szCs w:val="28"/>
        </w:rPr>
        <w:t xml:space="preserve">Формирование и анализ показателей прибыли организации // Экономический анализ: теория и практика. — 2004,— № 11 (26). </w:t>
      </w:r>
    </w:p>
    <w:p w:rsidR="00254F37" w:rsidRDefault="00254F37" w:rsidP="00254F3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360"/>
        <w:rPr>
          <w:sz w:val="28"/>
          <w:szCs w:val="28"/>
        </w:rPr>
      </w:pPr>
      <w:r>
        <w:rPr>
          <w:i/>
          <w:iCs/>
          <w:color w:val="000000"/>
          <w:sz w:val="28"/>
          <w:szCs w:val="28"/>
        </w:rPr>
        <w:t xml:space="preserve">Донцова Л. В., Никифорова Н.А. </w:t>
      </w:r>
      <w:r>
        <w:rPr>
          <w:color w:val="000000"/>
          <w:sz w:val="28"/>
          <w:szCs w:val="28"/>
        </w:rPr>
        <w:t>Анализ финансовой отчетности: учебное пособие. — М Издательство</w:t>
      </w:r>
      <w:r>
        <w:rPr>
          <w:sz w:val="28"/>
          <w:szCs w:val="28"/>
        </w:rPr>
        <w:t xml:space="preserve"> </w:t>
      </w:r>
      <w:r>
        <w:rPr>
          <w:color w:val="000000"/>
          <w:sz w:val="28"/>
          <w:szCs w:val="28"/>
        </w:rPr>
        <w:t>«Дело м Сервис», 2003. — 336 с.</w:t>
      </w:r>
    </w:p>
    <w:p w:rsidR="00254F37" w:rsidRDefault="00254F37" w:rsidP="00254F3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360"/>
        <w:rPr>
          <w:sz w:val="28"/>
          <w:szCs w:val="28"/>
        </w:rPr>
      </w:pPr>
      <w:r>
        <w:rPr>
          <w:i/>
          <w:iCs/>
          <w:color w:val="000000"/>
          <w:sz w:val="28"/>
          <w:szCs w:val="28"/>
        </w:rPr>
        <w:t xml:space="preserve">Любушин Н. П. </w:t>
      </w:r>
      <w:r>
        <w:rPr>
          <w:color w:val="000000"/>
          <w:sz w:val="28"/>
          <w:szCs w:val="28"/>
        </w:rPr>
        <w:t>Комплексный экономический анализ хозяйственной деятельности: Учеб. пособие.</w:t>
      </w:r>
      <w:r>
        <w:rPr>
          <w:sz w:val="28"/>
          <w:szCs w:val="28"/>
        </w:rPr>
        <w:t xml:space="preserve"> </w:t>
      </w:r>
      <w:r>
        <w:rPr>
          <w:color w:val="000000"/>
          <w:sz w:val="28"/>
          <w:szCs w:val="28"/>
        </w:rPr>
        <w:t>- 2-е изд., перераб. и доп. - М.: ЮНИТИ -ДАНА, 2005. - 448с</w:t>
      </w:r>
    </w:p>
    <w:p w:rsidR="00254F37" w:rsidRDefault="00254F37" w:rsidP="00254F3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360"/>
        <w:rPr>
          <w:sz w:val="28"/>
          <w:szCs w:val="28"/>
        </w:rPr>
      </w:pPr>
      <w:r>
        <w:rPr>
          <w:i/>
          <w:iCs/>
          <w:color w:val="000000"/>
          <w:sz w:val="28"/>
          <w:szCs w:val="28"/>
        </w:rPr>
        <w:t xml:space="preserve">Хорин А.Н., Михалева Ж. Г. </w:t>
      </w:r>
      <w:r>
        <w:rPr>
          <w:color w:val="000000"/>
          <w:sz w:val="28"/>
          <w:szCs w:val="28"/>
        </w:rPr>
        <w:t>Принцип временной определенности в системе бухгалтерского учета//Аудит и финансовый анализ. — 2003. — № 4. — С. 35 — 109</w:t>
      </w:r>
    </w:p>
    <w:p w:rsidR="00254F37" w:rsidRDefault="00254F37" w:rsidP="00254F3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360"/>
        <w:rPr>
          <w:sz w:val="28"/>
          <w:szCs w:val="28"/>
        </w:rPr>
      </w:pPr>
      <w:r>
        <w:rPr>
          <w:sz w:val="28"/>
          <w:szCs w:val="28"/>
        </w:rPr>
        <w:t xml:space="preserve">Сайт </w:t>
      </w:r>
      <w:r>
        <w:rPr>
          <w:sz w:val="28"/>
          <w:szCs w:val="28"/>
          <w:lang w:val="en-US"/>
        </w:rPr>
        <w:t>www.</w:t>
      </w:r>
      <w:r>
        <w:rPr>
          <w:sz w:val="28"/>
          <w:szCs w:val="28"/>
        </w:rPr>
        <w:t>rudiplom.ru</w:t>
      </w:r>
    </w:p>
    <w:p w:rsidR="00254F37" w:rsidRDefault="00254F37" w:rsidP="00254F37">
      <w:pPr>
        <w:numPr>
          <w:ilvl w:val="0"/>
          <w:numId w:val="9"/>
        </w:numPr>
        <w:tabs>
          <w:tab w:val="clear" w:pos="1440"/>
          <w:tab w:val="num" w:pos="0"/>
        </w:tabs>
        <w:spacing w:line="360" w:lineRule="auto"/>
        <w:ind w:left="0" w:firstLine="360"/>
        <w:jc w:val="both"/>
        <w:rPr>
          <w:sz w:val="28"/>
          <w:szCs w:val="28"/>
        </w:rPr>
      </w:pPr>
      <w:r w:rsidRPr="00755355">
        <w:rPr>
          <w:sz w:val="28"/>
          <w:szCs w:val="28"/>
        </w:rPr>
        <w:t>П.Л</w:t>
      </w:r>
      <w:r>
        <w:rPr>
          <w:sz w:val="28"/>
          <w:szCs w:val="28"/>
        </w:rPr>
        <w:t xml:space="preserve"> </w:t>
      </w:r>
      <w:r w:rsidRPr="00755355">
        <w:rPr>
          <w:sz w:val="28"/>
          <w:szCs w:val="28"/>
        </w:rPr>
        <w:t>Виленский, В.Н.</w:t>
      </w:r>
      <w:r>
        <w:rPr>
          <w:sz w:val="28"/>
          <w:szCs w:val="28"/>
        </w:rPr>
        <w:t xml:space="preserve"> </w:t>
      </w:r>
      <w:r w:rsidRPr="00755355">
        <w:rPr>
          <w:sz w:val="28"/>
          <w:szCs w:val="28"/>
        </w:rPr>
        <w:t>Лившиц, Смоляк С.А. Оценка эф</w:t>
      </w:r>
      <w:r w:rsidRPr="00755355">
        <w:rPr>
          <w:sz w:val="28"/>
          <w:szCs w:val="28"/>
        </w:rPr>
        <w:softHyphen/>
        <w:t>фективности инвестиционных проектов. М.: Дело, 200</w:t>
      </w:r>
      <w:r>
        <w:rPr>
          <w:sz w:val="28"/>
          <w:szCs w:val="28"/>
        </w:rPr>
        <w:t>3</w:t>
      </w:r>
      <w:r w:rsidRPr="00755355">
        <w:rPr>
          <w:sz w:val="28"/>
          <w:szCs w:val="28"/>
        </w:rPr>
        <w:t>.</w:t>
      </w:r>
    </w:p>
    <w:p w:rsidR="00254F37" w:rsidRDefault="00254F37" w:rsidP="00254F37">
      <w:pPr>
        <w:numPr>
          <w:ilvl w:val="0"/>
          <w:numId w:val="9"/>
        </w:numPr>
        <w:tabs>
          <w:tab w:val="clear" w:pos="1440"/>
          <w:tab w:val="num" w:pos="0"/>
          <w:tab w:val="left" w:pos="720"/>
          <w:tab w:val="left" w:pos="1080"/>
        </w:tabs>
        <w:spacing w:line="360" w:lineRule="auto"/>
        <w:ind w:left="0" w:firstLine="360"/>
        <w:jc w:val="both"/>
        <w:rPr>
          <w:sz w:val="28"/>
          <w:szCs w:val="28"/>
        </w:rPr>
      </w:pPr>
      <w:r>
        <w:rPr>
          <w:sz w:val="28"/>
          <w:szCs w:val="28"/>
        </w:rPr>
        <w:t xml:space="preserve"> Б. А. Райзберг, Л. Ш. Лозовский, Современный экономический словарь. – М. ИНФРА-М, 2005</w:t>
      </w:r>
    </w:p>
    <w:p w:rsidR="00254F37" w:rsidRDefault="00254F37" w:rsidP="0025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rsidR="00254F37" w:rsidRDefault="00254F37" w:rsidP="00254F37"/>
    <w:p w:rsidR="007074FA" w:rsidRDefault="007074FA" w:rsidP="00F74823">
      <w:bookmarkStart w:id="0" w:name="_GoBack"/>
      <w:bookmarkEnd w:id="0"/>
    </w:p>
    <w:sectPr w:rsidR="007074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A52" w:rsidRDefault="009B3A52">
      <w:r>
        <w:separator/>
      </w:r>
    </w:p>
  </w:endnote>
  <w:endnote w:type="continuationSeparator" w:id="0">
    <w:p w:rsidR="009B3A52" w:rsidRDefault="009B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A52" w:rsidRDefault="009B3A52">
      <w:r>
        <w:separator/>
      </w:r>
    </w:p>
  </w:footnote>
  <w:footnote w:type="continuationSeparator" w:id="0">
    <w:p w:rsidR="009B3A52" w:rsidRDefault="009B3A52">
      <w:r>
        <w:continuationSeparator/>
      </w:r>
    </w:p>
  </w:footnote>
  <w:footnote w:id="1">
    <w:p w:rsidR="009B3A52" w:rsidRDefault="003363A3" w:rsidP="003363A3">
      <w:pPr>
        <w:pStyle w:val="a4"/>
      </w:pPr>
      <w:r>
        <w:rPr>
          <w:rStyle w:val="a6"/>
        </w:rPr>
        <w:footnoteRef/>
      </w:r>
      <w:r>
        <w:t xml:space="preserve"> Любушин Н. П.-Комплексный экономический анализ хозяйственной деятельности. – М.:ЮНИТИ-ДАНА, стр. 249</w:t>
      </w:r>
    </w:p>
  </w:footnote>
  <w:footnote w:id="2">
    <w:p w:rsidR="009B3A52" w:rsidRDefault="003363A3" w:rsidP="003363A3">
      <w:pPr>
        <w:pStyle w:val="a4"/>
      </w:pPr>
      <w:r>
        <w:rPr>
          <w:rStyle w:val="a6"/>
        </w:rPr>
        <w:footnoteRef/>
      </w:r>
      <w:r>
        <w:t xml:space="preserve"> Сайт </w:t>
      </w:r>
      <w:r>
        <w:rPr>
          <w:lang w:val="en-US"/>
        </w:rPr>
        <w:t>www</w:t>
      </w:r>
      <w:r w:rsidRPr="007A4CF1">
        <w:t>.</w:t>
      </w:r>
      <w:r>
        <w:rPr>
          <w:lang w:val="en-US"/>
        </w:rPr>
        <w:t>eup</w:t>
      </w:r>
      <w:r w:rsidRPr="007A4CF1">
        <w:t>.</w:t>
      </w:r>
      <w:r>
        <w:rPr>
          <w:lang w:val="en-US"/>
        </w:rPr>
        <w:t>ru</w:t>
      </w:r>
    </w:p>
  </w:footnote>
  <w:footnote w:id="3">
    <w:p w:rsidR="009B3A52" w:rsidRDefault="007074FA" w:rsidP="007074FA">
      <w:pPr>
        <w:pStyle w:val="a4"/>
      </w:pPr>
      <w:r>
        <w:rPr>
          <w:rStyle w:val="a6"/>
        </w:rPr>
        <w:footnoteRef/>
      </w:r>
      <w:r>
        <w:t xml:space="preserve"> А. Г. Хайруллин, Управление финансовыми результатами деятельности организации//Экономический анализ, №10 2006г.</w:t>
      </w:r>
    </w:p>
  </w:footnote>
  <w:footnote w:id="4">
    <w:p w:rsidR="009B3A52" w:rsidRDefault="00254F37" w:rsidP="00254F37">
      <w:pPr>
        <w:pStyle w:val="a4"/>
      </w:pPr>
      <w:r>
        <w:rPr>
          <w:rStyle w:val="a6"/>
        </w:rPr>
        <w:footnoteRef/>
      </w:r>
      <w:r>
        <w:t xml:space="preserve"> Олег Карпаев «Сувар-Казань» выходит на рынок облигаций//РЦБ, №9,2006г.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6180"/>
    <w:multiLevelType w:val="hybridMultilevel"/>
    <w:tmpl w:val="79924F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F721A8"/>
    <w:multiLevelType w:val="hybridMultilevel"/>
    <w:tmpl w:val="B5E81D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E37352A"/>
    <w:multiLevelType w:val="hybridMultilevel"/>
    <w:tmpl w:val="6F661BB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F157B3A"/>
    <w:multiLevelType w:val="hybridMultilevel"/>
    <w:tmpl w:val="D9D452FC"/>
    <w:lvl w:ilvl="0" w:tplc="70281C68">
      <w:start w:val="1"/>
      <w:numFmt w:val="bullet"/>
      <w:lvlText w:val=""/>
      <w:lvlJc w:val="left"/>
      <w:pPr>
        <w:tabs>
          <w:tab w:val="num" w:pos="1333"/>
        </w:tabs>
        <w:ind w:left="1333" w:hanging="397"/>
      </w:pPr>
      <w:rPr>
        <w:rFonts w:ascii="Wingdings" w:hAnsi="Wingdings" w:cs="Wingdings" w:hint="default"/>
      </w:rPr>
    </w:lvl>
    <w:lvl w:ilvl="1" w:tplc="0419000F">
      <w:start w:val="1"/>
      <w:numFmt w:val="decimal"/>
      <w:lvlText w:val="%2."/>
      <w:lvlJc w:val="left"/>
      <w:pPr>
        <w:tabs>
          <w:tab w:val="num" w:pos="2149"/>
        </w:tabs>
        <w:ind w:left="2149" w:hanging="360"/>
      </w:pPr>
    </w:lvl>
    <w:lvl w:ilvl="2" w:tplc="EED4DA20">
      <w:start w:val="1"/>
      <w:numFmt w:val="decimal"/>
      <w:lvlText w:val="%3)"/>
      <w:lvlJc w:val="left"/>
      <w:pPr>
        <w:tabs>
          <w:tab w:val="num" w:pos="2869"/>
        </w:tabs>
        <w:ind w:left="2869"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5BC24C5"/>
    <w:multiLevelType w:val="hybridMultilevel"/>
    <w:tmpl w:val="C93ED14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FA02075"/>
    <w:multiLevelType w:val="hybridMultilevel"/>
    <w:tmpl w:val="B44E97B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5DD7422"/>
    <w:multiLevelType w:val="hybridMultilevel"/>
    <w:tmpl w:val="2B14F1AE"/>
    <w:lvl w:ilvl="0" w:tplc="0419000B">
      <w:start w:val="1"/>
      <w:numFmt w:val="bullet"/>
      <w:lvlText w:val=""/>
      <w:lvlJc w:val="left"/>
      <w:pPr>
        <w:tabs>
          <w:tab w:val="num" w:pos="1155"/>
        </w:tabs>
        <w:ind w:left="1155" w:hanging="360"/>
      </w:pPr>
      <w:rPr>
        <w:rFonts w:ascii="Wingdings" w:hAnsi="Wingdings" w:cs="Wingdings"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Symbol" w:hAnsi="Symbol" w:cs="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Symbol" w:hAnsi="Symbol" w:cs="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cs="Wingdings" w:hint="default"/>
      </w:rPr>
    </w:lvl>
  </w:abstractNum>
  <w:abstractNum w:abstractNumId="7">
    <w:nsid w:val="537574D4"/>
    <w:multiLevelType w:val="hybridMultilevel"/>
    <w:tmpl w:val="7564216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A176F30"/>
    <w:multiLevelType w:val="hybridMultilevel"/>
    <w:tmpl w:val="9712240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90C"/>
    <w:rsid w:val="001A3736"/>
    <w:rsid w:val="00221805"/>
    <w:rsid w:val="002523DF"/>
    <w:rsid w:val="00254F37"/>
    <w:rsid w:val="00281C2C"/>
    <w:rsid w:val="002F08D2"/>
    <w:rsid w:val="00300952"/>
    <w:rsid w:val="003110D6"/>
    <w:rsid w:val="00331EC4"/>
    <w:rsid w:val="003363A3"/>
    <w:rsid w:val="003413AB"/>
    <w:rsid w:val="003E4074"/>
    <w:rsid w:val="003F015F"/>
    <w:rsid w:val="0041690C"/>
    <w:rsid w:val="00492790"/>
    <w:rsid w:val="004F5D71"/>
    <w:rsid w:val="0055428C"/>
    <w:rsid w:val="00633A23"/>
    <w:rsid w:val="00646F55"/>
    <w:rsid w:val="00675ED5"/>
    <w:rsid w:val="006C6520"/>
    <w:rsid w:val="007074FA"/>
    <w:rsid w:val="00755355"/>
    <w:rsid w:val="007A4CF1"/>
    <w:rsid w:val="0087424C"/>
    <w:rsid w:val="00947BFF"/>
    <w:rsid w:val="009B3A52"/>
    <w:rsid w:val="009E136D"/>
    <w:rsid w:val="00A15E9A"/>
    <w:rsid w:val="00AE2DC0"/>
    <w:rsid w:val="00B71A8E"/>
    <w:rsid w:val="00BA3435"/>
    <w:rsid w:val="00BF73E5"/>
    <w:rsid w:val="00C108E5"/>
    <w:rsid w:val="00C97CD0"/>
    <w:rsid w:val="00CA7382"/>
    <w:rsid w:val="00CC7F88"/>
    <w:rsid w:val="00D325BF"/>
    <w:rsid w:val="00D426DB"/>
    <w:rsid w:val="00DE04B0"/>
    <w:rsid w:val="00E0315E"/>
    <w:rsid w:val="00E21FC0"/>
    <w:rsid w:val="00EC07EB"/>
    <w:rsid w:val="00EC57D6"/>
    <w:rsid w:val="00ED28C8"/>
    <w:rsid w:val="00F33DF0"/>
    <w:rsid w:val="00F4557E"/>
    <w:rsid w:val="00F74823"/>
    <w:rsid w:val="00F91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FD883DE5-105A-41B3-9678-A3912F84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DF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C7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33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4">
    <w:name w:val="footnote text"/>
    <w:basedOn w:val="a"/>
    <w:link w:val="a5"/>
    <w:uiPriority w:val="99"/>
    <w:semiHidden/>
    <w:rsid w:val="003363A3"/>
    <w:rPr>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3363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4306</Words>
  <Characters>24547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САНКТ ПЕТЕРБУРГСКАЯ АКАДЕМИЯ УПРАВЛЕНИЯ И ЭКОНОМИКИ</vt:lpstr>
    </vt:vector>
  </TitlesOfParts>
  <Company>p.person</Company>
  <LinksUpToDate>false</LinksUpToDate>
  <CharactersWithSpaces>28796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 ПЕТЕРБУРГСКАЯ АКАДЕМИЯ УПРАВЛЕНИЯ И ЭКОНОМИКИ</dc:title>
  <dc:subject/>
  <dc:creator>Александр</dc:creator>
  <cp:keywords/>
  <dc:description/>
  <cp:lastModifiedBy>admin</cp:lastModifiedBy>
  <cp:revision>2</cp:revision>
  <dcterms:created xsi:type="dcterms:W3CDTF">2014-04-18T16:34:00Z</dcterms:created>
  <dcterms:modified xsi:type="dcterms:W3CDTF">2014-04-18T16:34:00Z</dcterms:modified>
</cp:coreProperties>
</file>