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D9" w:rsidRDefault="00D22DD9" w:rsidP="00D22DD9">
      <w:pPr>
        <w:pStyle w:val="9"/>
        <w:spacing w:line="360" w:lineRule="auto"/>
        <w:ind w:left="-284" w:right="284" w:firstLine="567"/>
      </w:pPr>
      <w:r>
        <w:t>РЕФЕРАТ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Дипломный проект посвящен решению некоторых вопросов реконструкции компрессорного цеха КС-4 Полянского ЛПУ МГ. В проекте приведено описание устройств и принципов работы технологического оборудования и систем автоматики. Общий объем дипломного проекта составляет  страниц пояснительной записки, в том числе 34 таблицы, 27 рисунков и 8 листов графического материала.</w:t>
      </w: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</w:pPr>
      <w:r>
        <w:t xml:space="preserve">В технологической части дипломного проекта рассмотрена характеристика компрессорной станции, газопроводов, турбин и нагнетателей, основные и вспомогательные объекты компрессорной станции. В расчетной части приведен расчет режима работы компрессорного цеха. </w:t>
      </w: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</w:pPr>
      <w:r>
        <w:t>В разделе контрольно–измерительные приборы (КИП) и автоматика рассмотрена система автоматики агрегата ГПА-16Р «УФА» фирмы “ССС”. Приведена  функциональная схема системы, дано ее описание и принцип работы.</w:t>
      </w: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</w:pPr>
      <w:r>
        <w:t>В разделе безопасность и экологичность проекта рассмотрены аспекты безопасности возможных чрезвычайных ситуаций, имеющих место при реконструкции, приведены схемы ликвидации последствий аварий на компрессорной станции, мероприятия по сокращению  воздействий шума и уменьшения загрязняющих выбросов, также рассмотрены меры безопасности при сварочно-монтажных работах.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 xml:space="preserve">В экономической части рассмотрены вопросы продолжительности реконструкции, выполнен расчет экономической эффективности реконструкции, сделаны выводы о целесообразности реконструкции КС-4 Полянского ЛПУ МГ. </w:t>
      </w:r>
    </w:p>
    <w:p w:rsidR="00D22DD9" w:rsidRDefault="00D22DD9" w:rsidP="00D22DD9">
      <w:pPr>
        <w:pStyle w:val="9"/>
        <w:spacing w:line="360" w:lineRule="auto"/>
        <w:ind w:left="-284" w:right="283" w:firstLine="568"/>
        <w:jc w:val="both"/>
      </w:pPr>
      <w:r>
        <w:rPr>
          <w:b w:val="0"/>
        </w:rPr>
        <w:t>В проекте основное внимание уделено рассмотрению вопросов целесообразности реконструкции КЦ №4.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D22DD9" w:rsidRDefault="00D22DD9" w:rsidP="00D22DD9"/>
    <w:p w:rsidR="00D22DD9" w:rsidRDefault="00D22DD9" w:rsidP="00D22DD9"/>
    <w:p w:rsidR="00D22DD9" w:rsidRDefault="00D22DD9" w:rsidP="00D22DD9"/>
    <w:p w:rsidR="00D22DD9" w:rsidRDefault="00D22DD9" w:rsidP="00D22DD9"/>
    <w:p w:rsidR="00D22DD9" w:rsidRDefault="00D22DD9" w:rsidP="00D22DD9"/>
    <w:p w:rsidR="00D22DD9" w:rsidRDefault="00D22DD9" w:rsidP="00D22DD9"/>
    <w:p w:rsidR="00D22DD9" w:rsidRDefault="00D22DD9" w:rsidP="00D22DD9"/>
    <w:p w:rsidR="00D22DD9" w:rsidRDefault="00D22DD9" w:rsidP="00D22DD9"/>
    <w:p w:rsidR="00D22DD9" w:rsidRDefault="00D22DD9" w:rsidP="00D22DD9"/>
    <w:p w:rsidR="00D22DD9" w:rsidRDefault="00D22DD9" w:rsidP="00D22DD9"/>
    <w:p w:rsidR="00D22DD9" w:rsidRDefault="00D22DD9" w:rsidP="00D22DD9">
      <w:pPr>
        <w:pStyle w:val="9"/>
        <w:spacing w:line="360" w:lineRule="auto"/>
        <w:ind w:left="-284" w:right="283" w:firstLine="568"/>
        <w:jc w:val="both"/>
      </w:pPr>
      <w:r>
        <w:t>Список использованных обозначений и сокращений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b/>
          <w:sz w:val="28"/>
        </w:rPr>
      </w:pPr>
    </w:p>
    <w:p w:rsidR="00D22DD9" w:rsidRDefault="00D22DD9" w:rsidP="00D22DD9">
      <w:pPr>
        <w:spacing w:line="360" w:lineRule="auto"/>
        <w:ind w:left="-142" w:right="283" w:firstLine="709"/>
        <w:jc w:val="both"/>
        <w:rPr>
          <w:sz w:val="28"/>
        </w:rPr>
      </w:pPr>
      <w:r>
        <w:rPr>
          <w:sz w:val="28"/>
        </w:rPr>
        <w:t>ЛПУ МГ – линейно-производственное управление магистральных газопроводов;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 xml:space="preserve">КС – компрессорная станция; 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ГРС – газораспределительная станция;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 xml:space="preserve">КЦ – компрессорный цех; 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ГКС – газокомпрессорная служба;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 xml:space="preserve">ГП – газопровод; 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ГПА – газоперекачивающий агрегат;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ГТУ – газотурбинная установка;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ЦН – центробежный нагнетатель;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БТПГ – блок подготовки топливного и пускового газа;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АВО – аппарат воздушного охлаждения;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КВД – компрессор высокого давления;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КНД – компрессор низкого давления;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ТВД – турбина высокого давления;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ТНД – турбина низкого давления;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ЭХЗ – элетрохимическая защита;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ЭВС – электроводоснабжение;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СРТО – Северный район Тюменской области.</w:t>
      </w:r>
    </w:p>
    <w:p w:rsidR="00D22DD9" w:rsidRDefault="00D22DD9" w:rsidP="00D22DD9">
      <w:pPr>
        <w:spacing w:line="360" w:lineRule="auto"/>
        <w:ind w:left="-284" w:right="283" w:firstLine="710"/>
        <w:jc w:val="both"/>
        <w:rPr>
          <w:sz w:val="28"/>
        </w:rPr>
      </w:pPr>
      <w:r>
        <w:rPr>
          <w:sz w:val="28"/>
        </w:rPr>
        <w:t>ФСА – функциональная схема автоматизации</w:t>
      </w:r>
    </w:p>
    <w:p w:rsidR="00D22DD9" w:rsidRDefault="00D22DD9" w:rsidP="00D22DD9">
      <w:pPr>
        <w:spacing w:line="360" w:lineRule="auto"/>
        <w:ind w:left="-284" w:right="283" w:firstLine="568"/>
        <w:jc w:val="both"/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rFonts w:ascii="Arial" w:hAnsi="Arial"/>
          <w:spacing w:val="-20"/>
        </w:rPr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rFonts w:ascii="Arial" w:hAnsi="Arial"/>
          <w:spacing w:val="-20"/>
        </w:rPr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rFonts w:ascii="Arial" w:hAnsi="Arial"/>
          <w:spacing w:val="-20"/>
        </w:rPr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b/>
          <w:caps/>
          <w:spacing w:val="-20"/>
        </w:rPr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b/>
          <w:caps/>
          <w:spacing w:val="-20"/>
        </w:rPr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b/>
          <w:caps/>
          <w:spacing w:val="-20"/>
        </w:rPr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b/>
          <w:caps/>
          <w:spacing w:val="-20"/>
        </w:rPr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b/>
          <w:caps/>
          <w:spacing w:val="-20"/>
        </w:rPr>
      </w:pP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  <w:rPr>
          <w:b/>
          <w:caps/>
          <w:spacing w:val="-20"/>
        </w:rPr>
      </w:pPr>
      <w:r>
        <w:rPr>
          <w:b/>
          <w:caps/>
          <w:spacing w:val="-20"/>
        </w:rPr>
        <w:t>Введение</w:t>
      </w:r>
    </w:p>
    <w:p w:rsidR="00D22DD9" w:rsidRDefault="00D22DD9" w:rsidP="00D22DD9">
      <w:pPr>
        <w:spacing w:line="360" w:lineRule="auto"/>
        <w:ind w:left="-284" w:right="283" w:firstLine="568"/>
        <w:jc w:val="both"/>
      </w:pP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В нашей стране подача газа на значительные расстояния осуществляется по магистральным газопроводам больших диаметров, представляющих собой     сложную систему сооружений, включающую линейные сооружения, компрессорные и газораспределительные станции, установки для подготовки газа, лупинги, отводы, свечи, ЛЭП, дома обходчиков, конденсатосборники, линии связи и предназначенных для подачи газа на дальние расстояния.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Магистральный газопровод характеризует высокое давление (до 10 МПа), поддерживаемое в системе, большой диаметр труб (1020, 1220, 1420 мм) и значительная протяженность (сотни и тысячи километров).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По характеру линейной части различают следующие магистральные газопроводы: простые с постоянным диаметром труб от головных сооружений до конечной газораспределительной станции (ГРС), без отводов к попутным потребителям и без дополнительного приема газа по пути следования; с различным диаметром труб по трассе; многониточные, когда параллельно основной нитке в одном коридоре проложены дополнительно одна или несколько ниток газопроводов того же или иного диаметра; кольцевые, создаваемые вокруг крупных городов для увеличения надежности газоснабжения.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Объекты магистрального газопровода подразделяются на следующие группы: головные сооружения; линейная часть, или собственно газопровод; компрессорные станции (КС); ГРС; подземные хранилища газа (ПХГ); объекты ремонтно-эксплуатационной службы; устройства линейной и станционной связи; системы автоматизации и телемеханизации; система электрохимзащиты сооружений газопровода от почвенной коррозии; вспомогательные сооружения, обеспечивающие бесперебойную работу системы газопровода.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При значительной протяженности газопровода возникает необходимость восполнения потерь давления газа в нем путем сооружения промежуточных (линейных) КС. Расстояние между КС зависит от пропускной способности газопровода, максимального давления, характеристики перекачивающих агрегатов и местных условий (рельефа, инженерно-геологической характеристик трассы, наличия источников энерговодоснабжения и др.). Расстояние между КС (обычно 120-150 км) определяют гидравлическим расчетом газопроводов.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Помимо основной задачи – компримирования газа, на промежуточных КС выполняют такие важные технологические операции, как попутная очистка газа от твердых и жидких примесей и охлаждение.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 xml:space="preserve">К обслуживанию оборудования КС допускается персонал, прошедший специальное обучение в технических училищах, вузах или учебно-курсовых комбинатах и твердо усвоивший приемы и методы его безопасного обслуживания. </w:t>
      </w:r>
    </w:p>
    <w:p w:rsidR="00D22DD9" w:rsidRDefault="00D22DD9" w:rsidP="00D22DD9">
      <w:pPr>
        <w:pStyle w:val="a3"/>
        <w:spacing w:line="360" w:lineRule="auto"/>
        <w:ind w:left="-284" w:right="283" w:firstLine="568"/>
        <w:jc w:val="both"/>
      </w:pPr>
      <w:r>
        <w:t>Компрессорная станция “Полянская” находится в Благовещенском районе республики Башкортостан. Ближайшие населенные пункты: д. Танайка -3 км,  п. Павловка -15 км.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 xml:space="preserve">Климатический район - </w:t>
      </w:r>
      <w:r>
        <w:rPr>
          <w:sz w:val="28"/>
          <w:lang w:val="en-US"/>
        </w:rPr>
        <w:t>II</w:t>
      </w:r>
      <w:r>
        <w:rPr>
          <w:sz w:val="28"/>
        </w:rPr>
        <w:t xml:space="preserve">в. 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Абсолютная минимальная температура минус 50 градусов.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Абсолютная максимальная температура плюс 36 градусов.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 xml:space="preserve">Нормативная снеговая нагрузка для </w:t>
      </w:r>
      <w:r>
        <w:rPr>
          <w:sz w:val="28"/>
          <w:lang w:val="en-US"/>
        </w:rPr>
        <w:t>IV</w:t>
      </w:r>
      <w:r>
        <w:rPr>
          <w:sz w:val="28"/>
        </w:rPr>
        <w:t xml:space="preserve"> района  - 150кгс/м'.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 xml:space="preserve">Нормативная ветровая нагрузка для </w:t>
      </w:r>
      <w:r>
        <w:rPr>
          <w:sz w:val="28"/>
          <w:lang w:val="en-US"/>
        </w:rPr>
        <w:t>II</w:t>
      </w:r>
      <w:r>
        <w:rPr>
          <w:sz w:val="28"/>
        </w:rPr>
        <w:t xml:space="preserve"> района  - 30кгс/м'.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 xml:space="preserve">Минимальная и максимальная высотные отметки - 259…268,5 м соответственно. </w:t>
      </w:r>
    </w:p>
    <w:p w:rsidR="00D22DD9" w:rsidRDefault="00D22DD9" w:rsidP="00D22DD9">
      <w:pPr>
        <w:spacing w:line="360" w:lineRule="auto"/>
        <w:ind w:left="-142" w:right="283" w:firstLine="568"/>
        <w:jc w:val="both"/>
        <w:rPr>
          <w:sz w:val="28"/>
        </w:rPr>
      </w:pPr>
      <w:r>
        <w:rPr>
          <w:sz w:val="28"/>
        </w:rPr>
        <w:t>Для обслуживания КС «Полянская», линейной части магистральных газопроводов и вспомогательного оборудования в ЛПУ МГ имеются следующие линейные службы и участки:</w:t>
      </w:r>
    </w:p>
    <w:p w:rsidR="00D22DD9" w:rsidRDefault="00D22DD9" w:rsidP="00D22DD9">
      <w:pPr>
        <w:spacing w:line="360" w:lineRule="auto"/>
        <w:ind w:right="283"/>
        <w:jc w:val="both"/>
        <w:rPr>
          <w:sz w:val="28"/>
        </w:rPr>
      </w:pPr>
      <w:r>
        <w:rPr>
          <w:sz w:val="28"/>
        </w:rPr>
        <w:t xml:space="preserve">    - газокомпрессорная служба;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линейно-эксплуатационная служба;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группа по ЭХЗ;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служба по профилактике и ремонту ГРС;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служба КИП и А и телемеханике, АСУ;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служба энерговодоснабжения;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автотранспортное хозяйство;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ремонтно-механические мастерские;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служба ЖКХ;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газовый участок;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ремонтно-строительный участок;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химическая лаборатория;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функциональные службы;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диспетчерская служба;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служба управлением персоналом и трудовыми отношениями;</w:t>
      </w:r>
      <w:r>
        <w:rPr>
          <w:sz w:val="28"/>
        </w:rPr>
        <w:tab/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>- служба охраны труда и техника безопасности с участком по зарядке огнетушителей;</w:t>
      </w:r>
    </w:p>
    <w:p w:rsidR="00D22DD9" w:rsidRDefault="00D22DD9" w:rsidP="00D22DD9">
      <w:pPr>
        <w:numPr>
          <w:ilvl w:val="0"/>
          <w:numId w:val="1"/>
        </w:numPr>
        <w:spacing w:line="360" w:lineRule="auto"/>
        <w:ind w:right="283"/>
        <w:jc w:val="both"/>
        <w:rPr>
          <w:sz w:val="28"/>
        </w:rPr>
      </w:pPr>
      <w:r>
        <w:rPr>
          <w:sz w:val="28"/>
        </w:rPr>
        <w:t>бухгалтерия.</w:t>
      </w: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</w:pPr>
      <w:r>
        <w:t xml:space="preserve">В разделе контрольно–измерительные приборы  и автоматика рассмотрена система автоматики агрегата ГПА-16Р «УФА» фирмы “ССС”. Приведена  функциональная схема системы, дано ее описание и принцип работы. Рассмотрены модуль антипомпажного регулирования </w:t>
      </w:r>
      <w:r>
        <w:rPr>
          <w:lang w:val="en-US"/>
        </w:rPr>
        <w:t>UIC</w:t>
      </w:r>
      <w:r>
        <w:t xml:space="preserve">, модуль распределения нагрузки </w:t>
      </w:r>
      <w:r>
        <w:rPr>
          <w:lang w:val="en-US"/>
        </w:rPr>
        <w:t>LSIC</w:t>
      </w:r>
      <w:r>
        <w:t xml:space="preserve"> и модуль управления расходом топлива </w:t>
      </w:r>
      <w:r>
        <w:rPr>
          <w:lang w:val="en-US"/>
        </w:rPr>
        <w:t>SIC</w:t>
      </w:r>
      <w:r>
        <w:t xml:space="preserve">.  </w:t>
      </w: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</w:pPr>
      <w:r>
        <w:t>В разделе безопасность и экологичность проекта рассмотрены аспекты безопасности возможных чрезвычайных ситуаций, имеющих место при реконструкции, приведены схемы ликвидации последствий аварий на компрессорной станции, мероприятия по сокращению  воздействий шума и уменьшения загрязняющих выбросов, также рассмотрены меры безопасности при сварочно-монтажных работах.</w:t>
      </w:r>
    </w:p>
    <w:p w:rsidR="00D22DD9" w:rsidRDefault="00D22DD9" w:rsidP="00D22DD9">
      <w:pPr>
        <w:pStyle w:val="a4"/>
        <w:spacing w:line="360" w:lineRule="auto"/>
        <w:ind w:left="-284" w:right="283" w:firstLine="568"/>
        <w:jc w:val="both"/>
      </w:pP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  <w:r>
        <w:rPr>
          <w:sz w:val="28"/>
        </w:rPr>
        <w:t xml:space="preserve">В экономической части рассмотрены вопросы продолжительности реконструкции, выполнен расчет экономической эффективности реконструкции, сделаны выводы о целесообразности реконструкции КС-4 Полянского ЛПУ МГ. </w:t>
      </w:r>
    </w:p>
    <w:p w:rsidR="00D22DD9" w:rsidRDefault="00D22DD9" w:rsidP="00D22DD9">
      <w:pPr>
        <w:spacing w:line="360" w:lineRule="auto"/>
        <w:ind w:left="-284" w:right="283" w:firstLine="568"/>
        <w:jc w:val="both"/>
        <w:rPr>
          <w:sz w:val="28"/>
        </w:rPr>
      </w:pPr>
    </w:p>
    <w:p w:rsidR="000831C6" w:rsidRDefault="000831C6">
      <w:bookmarkStart w:id="0" w:name="_GoBack"/>
      <w:bookmarkEnd w:id="0"/>
    </w:p>
    <w:sectPr w:rsidR="0008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C78E7"/>
    <w:multiLevelType w:val="singleLevel"/>
    <w:tmpl w:val="F4DACFEA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4AD"/>
    <w:rsid w:val="000831C6"/>
    <w:rsid w:val="006B76C1"/>
    <w:rsid w:val="009F14AD"/>
    <w:rsid w:val="00CE0189"/>
    <w:rsid w:val="00D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3D97D-A5BA-4336-AE3A-486BFC7D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D9"/>
  </w:style>
  <w:style w:type="paragraph" w:styleId="9">
    <w:name w:val="heading 9"/>
    <w:basedOn w:val="a"/>
    <w:next w:val="a"/>
    <w:qFormat/>
    <w:rsid w:val="00D22DD9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2DD9"/>
    <w:rPr>
      <w:sz w:val="28"/>
    </w:rPr>
  </w:style>
  <w:style w:type="paragraph" w:styleId="a4">
    <w:name w:val="Body Text Indent"/>
    <w:basedOn w:val="a"/>
    <w:rsid w:val="00D22DD9"/>
    <w:pPr>
      <w:snapToGrid w:val="0"/>
      <w:spacing w:line="300" w:lineRule="auto"/>
      <w:ind w:left="284" w:firstLine="56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УГНТУ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Irina</cp:lastModifiedBy>
  <cp:revision>2</cp:revision>
  <dcterms:created xsi:type="dcterms:W3CDTF">2014-09-04T21:25:00Z</dcterms:created>
  <dcterms:modified xsi:type="dcterms:W3CDTF">2014-09-04T21:25:00Z</dcterms:modified>
</cp:coreProperties>
</file>