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A1" w:rsidRDefault="007C6EA1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3CF3" w:rsidRPr="005C38B2" w:rsidRDefault="008A3CF3" w:rsidP="005C38B2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8B2">
        <w:rPr>
          <w:rFonts w:ascii="Times New Roman" w:hAnsi="Times New Roman"/>
          <w:b/>
          <w:sz w:val="28"/>
          <w:szCs w:val="28"/>
        </w:rPr>
        <w:t>Содержание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…………………………………………………………………………...3</w:t>
      </w:r>
      <w:r w:rsidRPr="00E4177A">
        <w:rPr>
          <w:rFonts w:ascii="Times New Roman" w:hAnsi="Times New Roman"/>
          <w:sz w:val="28"/>
          <w:szCs w:val="28"/>
        </w:rPr>
        <w:t xml:space="preserve"> 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1. Значение внешнеэкономичес</w:t>
      </w:r>
      <w:r>
        <w:rPr>
          <w:rFonts w:ascii="Times New Roman" w:hAnsi="Times New Roman"/>
          <w:sz w:val="28"/>
          <w:szCs w:val="28"/>
        </w:rPr>
        <w:t>ких связей для экономики России……………4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2. Перспе</w:t>
      </w:r>
      <w:r>
        <w:rPr>
          <w:rFonts w:ascii="Times New Roman" w:hAnsi="Times New Roman"/>
          <w:sz w:val="28"/>
          <w:szCs w:val="28"/>
        </w:rPr>
        <w:t>ктивы развития внешней торговли……………………………………9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……………………………………………………………………….10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литературы…………………………………………...11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Pr="00E4177A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77A">
        <w:rPr>
          <w:rFonts w:ascii="Times New Roman" w:hAnsi="Times New Roman"/>
          <w:b/>
          <w:sz w:val="28"/>
          <w:szCs w:val="28"/>
        </w:rPr>
        <w:t>Введение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77A">
        <w:rPr>
          <w:rFonts w:ascii="Times New Roman" w:hAnsi="Times New Roman"/>
          <w:sz w:val="28"/>
          <w:szCs w:val="28"/>
        </w:rPr>
        <w:t xml:space="preserve"> XXI века внешнеэкономические связи России переживают сложный период глубоких качественных преобразований, связанных с осуществлением реформ и поиском путей интегрирования в систему мирохозяйственных отношений.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Изучение и творческое осмысливание процессов и тенденций, характеризующих внешнеэкономическое развитие нашей страны на этом переломном этапе, составляют важную задачу экономической науки. Анализ этих процессов предполагает широкий и комплексный подход к оценке многих явлений современности, возникающих как в мировом хозяйстве и международных отношениях, так и внутри страны, связанных с изменениями в состоянии отечественной экономики и перспективами ее развития.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Эти явления, бесспорно, многообразны. Среди них наиболее актуальным сегодня представляется процесс вхождения России в постоянно развивающуюся мировую экономику при сохранении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77A">
        <w:rPr>
          <w:rFonts w:ascii="Times New Roman" w:hAnsi="Times New Roman"/>
          <w:sz w:val="28"/>
          <w:szCs w:val="28"/>
        </w:rPr>
        <w:t xml:space="preserve">национальной безопасности и наращивании конкурентоспособности своей продукции, как на международном, так и на внутреннем рынках. Не менее важно также предвидеть, как те или иные варианты развития событий могут повлиять на место России в будущем многополюсном мире, стремясь к реализации наиболее предпочтительного для нас варианта.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3B4DE9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E4177A" w:rsidRDefault="008A3CF3" w:rsidP="00E4177A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77A">
        <w:rPr>
          <w:rFonts w:ascii="Times New Roman" w:hAnsi="Times New Roman"/>
          <w:b/>
          <w:sz w:val="28"/>
          <w:szCs w:val="28"/>
        </w:rPr>
        <w:t>1. Значение внешнеэкономических связей для экономики России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г., как </w:t>
      </w:r>
      <w:r>
        <w:rPr>
          <w:rFonts w:ascii="Times New Roman" w:hAnsi="Times New Roman"/>
          <w:sz w:val="28"/>
          <w:szCs w:val="28"/>
        </w:rPr>
        <w:t>и в 200</w:t>
      </w:r>
      <w:r w:rsidRPr="00E4177A">
        <w:rPr>
          <w:rFonts w:ascii="Times New Roman" w:hAnsi="Times New Roman"/>
          <w:sz w:val="28"/>
          <w:szCs w:val="28"/>
        </w:rPr>
        <w:t xml:space="preserve">8 г., сократился объем внешнеторгового товарооборота России. Это произошло исключительно из-за уменьшения импорта, объем которого был наименьшим за все годы реформ. Если товарооборот (в текущих ценах) уменьшился за год на 13,4 % (в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 г. - на 17,7 %), то импорт - на 30,5 % (в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 г. - на 19,8 %). Стоит отметить, однако, что с сентября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объем импорта вновь стал расти, причем темпами, близкими к 20 %, если сравнивать месячные показатели с аналогичными показателями годовой давности.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Весьма схожая картина наблюдалась и в динамике экспорта, который начал устойчиво расширяться с середины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Но поскольку в первом полугодии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он не сократился так сильно, как импорт, в целом за год его величина оказалась равной прошлогодней (100,2 %), тогда как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 г. экспорт сократился на 15,9 %.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Высокие показатели динамики экспорта и импорта в четвертом квартале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не должны, однако, вводить в заблуждение - расширение торговли действительно началось, но его реальные темпы на самом деле не так уж велики.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Дело в том, что как раз в последние месяцы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 г., который является базовым при статистических сопоставлениях, произошло особенно резкое падение объемов торговли. Если сравнивать, например, с четвертым кварталом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>7 г., то о</w:t>
      </w:r>
      <w:r>
        <w:rPr>
          <w:rFonts w:ascii="Times New Roman" w:hAnsi="Times New Roman"/>
          <w:sz w:val="28"/>
          <w:szCs w:val="28"/>
        </w:rPr>
        <w:t>кажется, что в октябре-декабре 200</w:t>
      </w:r>
      <w:r w:rsidRPr="00E4177A">
        <w:rPr>
          <w:rFonts w:ascii="Times New Roman" w:hAnsi="Times New Roman"/>
          <w:sz w:val="28"/>
          <w:szCs w:val="28"/>
        </w:rPr>
        <w:t xml:space="preserve">9г. объемы и экспорта, и импорта его уровня не достигли (экспорт был меньше на 8 %, импорт - на 48 %).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Кроме того, оценивая динамику внешней торговли, не следует забывать, что все вышеприведенные расчеты основаны на текущих ценах. По физическому объему, т. е. с учетом изменения цен (экспортные цены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в среднем возросли, а импортные понизились), экспорт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все-таки сократился, а понижение импорта было примерно наполовину меньшим, чем при расчете по стоимости.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Положительное сальдо торгового баланса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достигло рекордного за весь период реформ уровня - более 33 млрд. дол., причем наиболее значительный его рост произошел в последнем квартале года.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По отношению к объему произведенной в России промышленной и сельскохозяйственной продукции (это соотношение более показательно) экспорт вырос с 36,2 %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 г. до 50,6 %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 г. В товарных ресурсах на внутреннем рынке (объем производства минус экспорт плюс импорт) удельный вес импорта повысился с 31,3 % до 36,1 %. Эти цифры носят, конечно, приблизительный характер, тем не менее, они показывают исключительно сильную зависимость российской экономики от внешней торговли и внешних рынков, которая не может не создавать определенные проблемы с точки зрения экономической безопасности государства и устойчивости экономического развития в том числе.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На развитие внешней торговли в последние полтора года значительно повлияли три основных фактора, действовавших разнонаправлено: девальвация рубля, повышение мировых цен на ключевые товары российского экспорта, сокращение внутреннего спроса. Но в долгосрочном плане это развитие продолжало определяться, прежде всего, крайне неблагоприятной структурой внешней торговли, причем это особенно относится к экспорту.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 экспорте России преобладают товары, отличающиеся низкой ценовой эластичностью (т. е. спрос на них слабо меняется при изменении цен), неустойчивостью ценовой динамики, наличием — в долгосрочном плане - тенденции к понижению цен и довольно медленными темпами расширения спроса. К тому же рынки некоторых таких товаров не являются свободными. Так, рынок нефти и нефтепродуктов находится под контролем стран ОПЕК, рынок черных металлов уже давно регулируется крупнейшими западными странами (с помощью квот и антидемпинговых мер), сбыт природного газа ограничивается наличием и проводимостью трубопроводной сети.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Ничтожен удельный вес в российском экспорте машин и оборудования, являющихся по всем параметрам самой перспективной категорией товаров в мировой торговле (особенно это относится к высокотехнологичной продукции, которой в экспорте РФ, если не считать военной техники, почти нет). Доля машин и оборудования в экспорте России примерно в 5 раз ниже, чем в экспорте «средней» высокоразвитой западной страны, и в 2—2,5 раза ниже аналогичного показателя в развивающихся странах.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 импорте России слишком большое место занимают продовольственные товары и сельскохозяйственное сырье, спрос на которые остается высоким даже в условиях повышения цен и падения доходов населения. При данном состоянии сферы материального производства Россия попала в значительную зависимость от зарубежных поставок и по многим простейшим промышленным товарам, не говоря уже о высокотехнологичной, наукоемкой продукции.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В географической структуре внешней торговли сохраняется тенден</w:t>
      </w:r>
      <w:r>
        <w:rPr>
          <w:rFonts w:ascii="Times New Roman" w:hAnsi="Times New Roman"/>
          <w:sz w:val="28"/>
          <w:szCs w:val="28"/>
        </w:rPr>
        <w:t>ция к ослаблению роли стран СНГ</w:t>
      </w:r>
      <w:r w:rsidRPr="00E4177A">
        <w:rPr>
          <w:rFonts w:ascii="Times New Roman" w:hAnsi="Times New Roman"/>
          <w:sz w:val="28"/>
          <w:szCs w:val="28"/>
        </w:rPr>
        <w:t xml:space="preserve">, действующая вопреки особому режиму торговли, существующему в рамках Содружества. Емкость рынков и платежеспособность партнеров по СНГ сейчас невелики, а их возможности участия в производственной кооперации, особенно если речь идет о создании высокотехнологичной продукции, в настоящее время ограниченны. Удельный вес стран Содружества во всем российском товарообороте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понизился до самого низкого за последние 6 лет уровня. Их доля в экспорте РФ также упала, причем до самого низкого за весь период реформ уровня, доля в импорте - за счет продовольственных товаров и некоторых видов сырья - немного повысилась.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Состав основных торговых партнеров России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не изменился. В десятку первых входят Германия, США, Украина, Белоруссия, Италия, Китай, Нидерланды, Швейцария, Великобритания и Финляндия. Но надо оговориться, что данные о торговле по странам даются Государственным таможенным комитетом (ГТК) и Госкомстатом без учета официально не регистрируемой торговли, что сильно сказывается на показателях развития торговли (особенно импорта) с некоторыми из стран. С учетом этой торговли в десятку крупнейших торговых партнеров России, вполне возможно, вошли бы Польша и Турция.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 товарной структуре внешней торговли также никаких принципиальных изменений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не произошло. Значительное повышение экспортных цен и доходности экспортных операций почти не сказалось на объемах поставок за границу целого ряда ключевых товаров российского экспорта.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Как по физическому объему, так и по стоимости уменьшился (соответственно на 32 и 33 %) экспорт автомобильного бензина, нехватка которого в стране привела в середине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к так называемому «бензиновому кризису». На 8 % сократился объем экспортных поставок дизельного топлива, но их стоимость увеличилась на 11 %. Экспорт мазута возрос как по объему (на 3 %), так и по стоимости (на 36 %). 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Примерно таковы же и масштабы изменений, которые произошли в экспорте этих товаров в страны дальнего зарубежья. А вот поставки сырой нефти в страны СНГ сократились и в натуральных показателях (на 3 %), и по стоимости (на 14 %). С оплатой этих поставок все время возникают проблемы - при том что среднегодовая цена нефти при экспорте в эти страны остается более низкой, чем при экспорте в прочие государства (в 1999 г. 68 дол. за тонну против 111 дол.). По нефтепродуктам такой большой разницы в ценах при поставках в страны той и другой категории не наблюдалось (автомобильный бензин продавался в страны СНГ даже дороже, чем в дальнее зарубежье), и, возможно, поэтому экспорт всех трех основных нефтепродуктов в страны Содружества по физическому объему возрос: бензина - на 30 %, дизельного топлива - на 24, мазута - на 21 %.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Экспорт природного газа (205 млрд. куб. м стоимостью около 11 млрд. дол.) увеличился всего на 1 %. Перспективы расширения этой статьи экспорта связаны с планами осуществления проекта «Голубой поток», имеющего целью увеличить поставки в Турцию. Большой потенциал спроса на газ существует в странах СНГ, но их платежеспособность очень низкая. Правда, в ряде районов и самой России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9г. ощущалась нехватка газа. Вообще, для расширения производства и сбыта энергоносителей, потребность в которых должна возрасти в условиях возобновившегося роста экономики, фактически требуются не только новые рынки, но и серьезные инвестиции в развитие производственно-технической базы, запущенной в последние годы. Это касается и угля, экспорт которого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>9 г. возрос в натуральных по</w:t>
      </w:r>
      <w:r>
        <w:rPr>
          <w:rFonts w:ascii="Times New Roman" w:hAnsi="Times New Roman"/>
          <w:sz w:val="28"/>
          <w:szCs w:val="28"/>
        </w:rPr>
        <w:t xml:space="preserve">казателях на 15 %. </w:t>
      </w:r>
    </w:p>
    <w:p w:rsidR="008A3CF3" w:rsidRPr="003B4DE9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Среди импортируемых товаров по темпам роста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>9 г. выделяются зерновые (увеличение в 2,5 раза), в том числе пшеница (в 4,1 раза) и кукуруза (в 7,5 раза). Высокие темпы роста их импорта в значительной мере связаны с поступлением части этих товаров в Россию в рамках американской программы сельскохозяйственной помощи, предусматривающей прямые бесплатные поставки на сумму в 625 млн. дол. и предоставление целевого льготного кредита на закупку американских товаров еще на 400 млн. дол. В конце прошлого года российское правит</w:t>
      </w:r>
      <w:r>
        <w:rPr>
          <w:rFonts w:ascii="Times New Roman" w:hAnsi="Times New Roman"/>
          <w:sz w:val="28"/>
          <w:szCs w:val="28"/>
        </w:rPr>
        <w:t>ельство просило США выделить</w:t>
      </w:r>
      <w:r w:rsidRPr="00E4177A">
        <w:rPr>
          <w:rFonts w:ascii="Times New Roman" w:hAnsi="Times New Roman"/>
          <w:sz w:val="28"/>
          <w:szCs w:val="28"/>
        </w:rPr>
        <w:t xml:space="preserve"> еще один крупный «пакет» такой помощи, который должен включать 1 млн. т продовольственной пшеницы, 1,5 млн. т фуражного зерна, 1,5 млн. т кукурузы, 500 тыс. т соевых бобов и т. д. Пока США выразили готовность предоставить России в порядке гуманитарной помощи только 300 тыс. т продовольственной пшеницы, 200 тыс. т готовых продовольственных товаров и 20 тыс. т семян (соглашение об этом уже подписано). Остальную часть необходимой продукции России предложено закупить на условиях льготного долгосрочного кредита. </w:t>
      </w:r>
    </w:p>
    <w:p w:rsidR="008A3CF3" w:rsidRPr="00E4177A" w:rsidRDefault="008A3CF3" w:rsidP="00E4177A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Доля в импорте машин и оборудования понизилась, причем преимущественно из-за сокращения ввоза из стран дальнего зарубежья, на 38 % (импорт из стран СНГ уменьшился на 27 %). </w:t>
      </w:r>
    </w:p>
    <w:p w:rsidR="008A3CF3" w:rsidRDefault="008A3CF3" w:rsidP="0019389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Default="008A3CF3" w:rsidP="0019389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CF3" w:rsidRPr="00193891" w:rsidRDefault="008A3CF3" w:rsidP="0019389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91">
        <w:rPr>
          <w:rFonts w:ascii="Times New Roman" w:hAnsi="Times New Roman"/>
          <w:b/>
          <w:sz w:val="28"/>
          <w:szCs w:val="28"/>
        </w:rPr>
        <w:t>2. Перспе</w:t>
      </w:r>
      <w:r>
        <w:rPr>
          <w:rFonts w:ascii="Times New Roman" w:hAnsi="Times New Roman"/>
          <w:b/>
          <w:sz w:val="28"/>
          <w:szCs w:val="28"/>
        </w:rPr>
        <w:t>ктивы развития внешней торговли.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Оценивать перспективы развития отдельных отраслей промышленности России пока еще сложно, но определенные тенденции можно отметить уже сейчас. С учетом необходимости развития всего хозяйства относительно успешно должны развиваться следующие сферы экономики: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- отрасли, связанные со стройиндустрией, если только они перестроят свое производство в соответствии с требованиями спроса и качества;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- фирмы, которые с открытием границ начали специализироваться на спрос мирового рынка, например, отдельные фирмы по производству специального оборудования, точной механики и оптики.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последующие годы</w:t>
      </w:r>
      <w:r w:rsidRPr="00E4177A">
        <w:rPr>
          <w:rFonts w:ascii="Times New Roman" w:hAnsi="Times New Roman"/>
          <w:sz w:val="28"/>
          <w:szCs w:val="28"/>
        </w:rPr>
        <w:t xml:space="preserve"> можно ожидать умеренного увеличения стоимостных объемов экспорта. Хотя в его структуре по-прежнему будут преобладать топливно-энергетические товары, черные и цветные металлы, лесобумажные товары, химические товары и удобрения. На динамику стоимостных объемов российского импорта будут оказывать влияние развитие процесса импортозамещения, сохранение ориентации на закупки за рубежом более дешевых товаров народного потребления. Острая потребность в модернизации производственной базы российской промышленности будет способствовать увеличению импорта инвестиционного оборудования и технологий.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>Объем внешнеторгового оборота (без учета неорганизованной торговли) оценивается в 107 млрд. долларов, в том числе со странами дальнего зарубежья - 86 млрд. долларов</w:t>
      </w:r>
      <w:r>
        <w:rPr>
          <w:rFonts w:ascii="Times New Roman" w:hAnsi="Times New Roman"/>
          <w:sz w:val="28"/>
          <w:szCs w:val="28"/>
        </w:rPr>
        <w:t>,</w:t>
      </w:r>
      <w:r w:rsidRPr="00E4177A">
        <w:rPr>
          <w:rFonts w:ascii="Times New Roman" w:hAnsi="Times New Roman"/>
          <w:sz w:val="28"/>
          <w:szCs w:val="28"/>
        </w:rPr>
        <w:t xml:space="preserve"> со странами СНГ - 21 млрд. долларов.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Объем экспорта России составит 74 млрд. долларов, а объем импорта - 33 млрд. долларов. Оборот «челночной» торговли прогнозируется в размере 11 млрд. долларов. 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193891" w:rsidRDefault="008A3CF3" w:rsidP="0019389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91">
        <w:rPr>
          <w:rFonts w:ascii="Times New Roman" w:hAnsi="Times New Roman"/>
          <w:b/>
          <w:sz w:val="28"/>
          <w:szCs w:val="28"/>
        </w:rPr>
        <w:t>Заключение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77A">
        <w:rPr>
          <w:rFonts w:ascii="Times New Roman" w:hAnsi="Times New Roman"/>
          <w:sz w:val="28"/>
          <w:szCs w:val="28"/>
        </w:rPr>
        <w:t xml:space="preserve"> XXI век</w:t>
      </w:r>
      <w:r>
        <w:rPr>
          <w:rFonts w:ascii="Times New Roman" w:hAnsi="Times New Roman"/>
          <w:sz w:val="28"/>
          <w:szCs w:val="28"/>
        </w:rPr>
        <w:t>е</w:t>
      </w:r>
      <w:r w:rsidRPr="00E4177A">
        <w:rPr>
          <w:rFonts w:ascii="Times New Roman" w:hAnsi="Times New Roman"/>
          <w:sz w:val="28"/>
          <w:szCs w:val="28"/>
        </w:rPr>
        <w:t xml:space="preserve"> ВЭС России переживают сложный период глубоких качественных преобразований, связанных с осуществлением реформ и поиском путей интегрирования в систему мирохозяйственных отношений.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Сейчас внешнеторговая деятельность в России осуществляется на принципиально новых, отличных от эпохи государственного монополизма, принципах.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Все это является мощным стимулом для развития внешнеэкономических связей. Многие республики, края и области в рамках своих полномочий активно занимаются установлением контактов с зарубежными партнерами, нарабатывают свою нормативно-правовую базу, совершенствуют инфраструктуру, повышают экспортный потенциал.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Однако спад промышленного производства, ухудшение конъюнктуры мирового рынка, отсутствие последовательной государственной экспортной политики, непостоянность валютного курса рубля отрицательно влияют на структуру и динамику экспорта в стране. Ужесточение таможенной и налоговой политики, задолженность государства иностранным партнерам вызвало сокращение удельного веса оборудования и технологий в импорте.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Еще не до конца доработано Российское законодательство, где были бы определены полномочия регионов, возможность их участия во внешнеэкономических связях, разграничение собственности отдельных субъектов, определения статуса природных ресурсов в регионах, распределение доходов от экспортных и импортных пошлин между Федерацией и ее субъектами. Все это является сильным тормозом в развитии внешнеэкономических связей, а значит, развития экономики страны в целом. </w:t>
      </w:r>
    </w:p>
    <w:p w:rsidR="008A3CF3" w:rsidRPr="00E4177A" w:rsidRDefault="008A3CF3" w:rsidP="00193891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Тем не менее, не смотря на возникающие трудности, товарооборот России с внешними странами растет. Что говорит о некотором улучшении экономической ситуации в стране, а также о развитии и укреплении внешнеэкономических связей России.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A3CF3" w:rsidRPr="00193891" w:rsidRDefault="008A3CF3" w:rsidP="0019389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91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1. Экспорт из России основных товаров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8. //Внешняя торговля. –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 xml:space="preserve">8. - </w:t>
      </w:r>
      <w:r>
        <w:rPr>
          <w:rFonts w:ascii="Times New Roman" w:hAnsi="Times New Roman"/>
          <w:sz w:val="28"/>
          <w:szCs w:val="28"/>
        </w:rPr>
        <w:t xml:space="preserve">№ 7. </w:t>
      </w:r>
      <w:r w:rsidRPr="00E4177A">
        <w:rPr>
          <w:rFonts w:ascii="Times New Roman" w:hAnsi="Times New Roman"/>
          <w:sz w:val="28"/>
          <w:szCs w:val="28"/>
        </w:rPr>
        <w:t xml:space="preserve"> </w:t>
      </w: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4177A">
        <w:rPr>
          <w:rFonts w:ascii="Times New Roman" w:hAnsi="Times New Roman"/>
          <w:sz w:val="28"/>
          <w:szCs w:val="28"/>
        </w:rPr>
        <w:t xml:space="preserve">2. Безруков В. Внешнеэкономическая деятельность в </w:t>
      </w:r>
      <w:r>
        <w:rPr>
          <w:rFonts w:ascii="Times New Roman" w:hAnsi="Times New Roman"/>
          <w:sz w:val="28"/>
          <w:szCs w:val="28"/>
        </w:rPr>
        <w:t>200</w:t>
      </w:r>
      <w:r w:rsidRPr="00E4177A">
        <w:rPr>
          <w:rFonts w:ascii="Times New Roman" w:hAnsi="Times New Roman"/>
          <w:sz w:val="28"/>
          <w:szCs w:val="28"/>
        </w:rPr>
        <w:t>9. // Экономист. – 200</w:t>
      </w:r>
      <w:r>
        <w:rPr>
          <w:rFonts w:ascii="Times New Roman" w:hAnsi="Times New Roman"/>
          <w:sz w:val="28"/>
          <w:szCs w:val="28"/>
        </w:rPr>
        <w:t>9</w:t>
      </w:r>
      <w:r w:rsidRPr="00E4177A">
        <w:rPr>
          <w:rFonts w:ascii="Times New Roman" w:hAnsi="Times New Roman"/>
          <w:sz w:val="28"/>
          <w:szCs w:val="28"/>
        </w:rPr>
        <w:t xml:space="preserve">. - № 7. </w:t>
      </w:r>
    </w:p>
    <w:p w:rsidR="008A3CF3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4177A">
        <w:rPr>
          <w:rFonts w:ascii="Times New Roman" w:hAnsi="Times New Roman"/>
          <w:sz w:val="28"/>
          <w:szCs w:val="28"/>
        </w:rPr>
        <w:t>. Буристов В.Н. Внешняя торговля РФ. – М.</w:t>
      </w:r>
      <w:r>
        <w:rPr>
          <w:rFonts w:ascii="Times New Roman" w:hAnsi="Times New Roman"/>
          <w:sz w:val="28"/>
          <w:szCs w:val="28"/>
        </w:rPr>
        <w:t>,</w:t>
      </w:r>
      <w:r w:rsidRPr="00E4177A">
        <w:rPr>
          <w:rFonts w:ascii="Times New Roman" w:hAnsi="Times New Roman"/>
          <w:sz w:val="28"/>
          <w:szCs w:val="28"/>
        </w:rPr>
        <w:t xml:space="preserve"> МО, 200</w:t>
      </w:r>
      <w:r>
        <w:rPr>
          <w:rFonts w:ascii="Times New Roman" w:hAnsi="Times New Roman"/>
          <w:sz w:val="28"/>
          <w:szCs w:val="28"/>
        </w:rPr>
        <w:t>5</w:t>
      </w:r>
      <w:r w:rsidRPr="00E4177A">
        <w:rPr>
          <w:rFonts w:ascii="Times New Roman" w:hAnsi="Times New Roman"/>
          <w:sz w:val="28"/>
          <w:szCs w:val="28"/>
        </w:rPr>
        <w:t xml:space="preserve">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4177A">
        <w:rPr>
          <w:rFonts w:ascii="Times New Roman" w:hAnsi="Times New Roman"/>
          <w:sz w:val="28"/>
          <w:szCs w:val="28"/>
        </w:rPr>
        <w:t>. Внешнеэкономическая деятельность РФ. // Внешнеэкономический комплекс России: современное состояние и перспективы. – 200</w:t>
      </w:r>
      <w:r>
        <w:rPr>
          <w:rFonts w:ascii="Times New Roman" w:hAnsi="Times New Roman"/>
          <w:sz w:val="28"/>
          <w:szCs w:val="28"/>
        </w:rPr>
        <w:t>9</w:t>
      </w:r>
      <w:r w:rsidRPr="00E4177A">
        <w:rPr>
          <w:rFonts w:ascii="Times New Roman" w:hAnsi="Times New Roman"/>
          <w:sz w:val="28"/>
          <w:szCs w:val="28"/>
        </w:rPr>
        <w:t xml:space="preserve">. - № 2.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4177A">
        <w:rPr>
          <w:rFonts w:ascii="Times New Roman" w:hAnsi="Times New Roman"/>
          <w:sz w:val="28"/>
          <w:szCs w:val="28"/>
        </w:rPr>
        <w:t>. Смирнов П.С. Национальная безопасность: вопросы торговой политики. – М. Экономическая газета, 200</w:t>
      </w:r>
      <w:r>
        <w:rPr>
          <w:rFonts w:ascii="Times New Roman" w:hAnsi="Times New Roman"/>
          <w:sz w:val="28"/>
          <w:szCs w:val="28"/>
        </w:rPr>
        <w:t>8</w:t>
      </w:r>
      <w:r w:rsidRPr="00E4177A">
        <w:rPr>
          <w:rFonts w:ascii="Times New Roman" w:hAnsi="Times New Roman"/>
          <w:sz w:val="28"/>
          <w:szCs w:val="28"/>
        </w:rPr>
        <w:t xml:space="preserve">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4177A">
        <w:rPr>
          <w:rFonts w:ascii="Times New Roman" w:hAnsi="Times New Roman"/>
          <w:sz w:val="28"/>
          <w:szCs w:val="28"/>
        </w:rPr>
        <w:t>. Кузьмин С. Перспективы России в развитии современных мирохозяйственных тенденций. // Экономист. – 200</w:t>
      </w:r>
      <w:r>
        <w:rPr>
          <w:rFonts w:ascii="Times New Roman" w:hAnsi="Times New Roman"/>
          <w:sz w:val="28"/>
          <w:szCs w:val="28"/>
        </w:rPr>
        <w:t>9</w:t>
      </w:r>
      <w:r w:rsidRPr="00E4177A">
        <w:rPr>
          <w:rFonts w:ascii="Times New Roman" w:hAnsi="Times New Roman"/>
          <w:sz w:val="28"/>
          <w:szCs w:val="28"/>
        </w:rPr>
        <w:t xml:space="preserve">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4177A">
        <w:rPr>
          <w:rFonts w:ascii="Times New Roman" w:hAnsi="Times New Roman"/>
          <w:sz w:val="28"/>
          <w:szCs w:val="28"/>
        </w:rPr>
        <w:t xml:space="preserve">. Международные экономические отношения. Под ред. Б.П.Супруновича. –М.: “ГФА”, </w:t>
      </w:r>
      <w:r>
        <w:rPr>
          <w:rFonts w:ascii="Times New Roman" w:hAnsi="Times New Roman"/>
          <w:sz w:val="28"/>
          <w:szCs w:val="28"/>
        </w:rPr>
        <w:t>2006</w:t>
      </w:r>
      <w:r w:rsidRPr="00E4177A">
        <w:rPr>
          <w:rFonts w:ascii="Times New Roman" w:hAnsi="Times New Roman"/>
          <w:sz w:val="28"/>
          <w:szCs w:val="28"/>
        </w:rPr>
        <w:t xml:space="preserve">.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4177A">
        <w:rPr>
          <w:rFonts w:ascii="Times New Roman" w:hAnsi="Times New Roman"/>
          <w:sz w:val="28"/>
          <w:szCs w:val="28"/>
        </w:rPr>
        <w:t>. Экономическое сотрудничество России и ЕС. // Внешнеэкономический бюллетень. – 200</w:t>
      </w:r>
      <w:r>
        <w:rPr>
          <w:rFonts w:ascii="Times New Roman" w:hAnsi="Times New Roman"/>
          <w:sz w:val="28"/>
          <w:szCs w:val="28"/>
        </w:rPr>
        <w:t>9</w:t>
      </w:r>
      <w:r w:rsidRPr="00E4177A">
        <w:rPr>
          <w:rFonts w:ascii="Times New Roman" w:hAnsi="Times New Roman"/>
          <w:sz w:val="28"/>
          <w:szCs w:val="28"/>
        </w:rPr>
        <w:t xml:space="preserve">. - № 4.  </w:t>
      </w:r>
    </w:p>
    <w:p w:rsidR="008A3CF3" w:rsidRPr="00E4177A" w:rsidRDefault="008A3CF3" w:rsidP="00E4177A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4177A">
        <w:rPr>
          <w:rFonts w:ascii="Times New Roman" w:hAnsi="Times New Roman"/>
          <w:sz w:val="28"/>
          <w:szCs w:val="28"/>
        </w:rPr>
        <w:t xml:space="preserve">. Основы внешнеэкономических знаний. Отв. ред. И.П.Фаминский. –М.: “Международные отношения”, </w:t>
      </w:r>
      <w:r>
        <w:rPr>
          <w:rFonts w:ascii="Times New Roman" w:hAnsi="Times New Roman"/>
          <w:sz w:val="28"/>
          <w:szCs w:val="28"/>
        </w:rPr>
        <w:t>2003</w:t>
      </w:r>
      <w:r w:rsidRPr="00E4177A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sectPr w:rsidR="008A3CF3" w:rsidRPr="00E4177A" w:rsidSect="00BC63A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F3" w:rsidRDefault="008A3CF3" w:rsidP="00E4177A">
      <w:pPr>
        <w:spacing w:after="0" w:line="240" w:lineRule="auto"/>
      </w:pPr>
      <w:r>
        <w:separator/>
      </w:r>
    </w:p>
  </w:endnote>
  <w:endnote w:type="continuationSeparator" w:id="0">
    <w:p w:rsidR="008A3CF3" w:rsidRDefault="008A3CF3" w:rsidP="00E4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F3" w:rsidRDefault="008A3CF3" w:rsidP="00E4177A">
      <w:pPr>
        <w:spacing w:after="0" w:line="240" w:lineRule="auto"/>
      </w:pPr>
      <w:r>
        <w:separator/>
      </w:r>
    </w:p>
  </w:footnote>
  <w:footnote w:type="continuationSeparator" w:id="0">
    <w:p w:rsidR="008A3CF3" w:rsidRDefault="008A3CF3" w:rsidP="00E4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F3" w:rsidRDefault="008A3CF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6EA1">
      <w:rPr>
        <w:noProof/>
      </w:rPr>
      <w:t>1</w:t>
    </w:r>
    <w:r>
      <w:fldChar w:fldCharType="end"/>
    </w:r>
  </w:p>
  <w:p w:rsidR="008A3CF3" w:rsidRDefault="008A3C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F9D"/>
    <w:rsid w:val="00193891"/>
    <w:rsid w:val="002D1F68"/>
    <w:rsid w:val="003B4DE9"/>
    <w:rsid w:val="005C38B2"/>
    <w:rsid w:val="00612347"/>
    <w:rsid w:val="006D0F9D"/>
    <w:rsid w:val="007C6EA1"/>
    <w:rsid w:val="008A3CF3"/>
    <w:rsid w:val="00A429BD"/>
    <w:rsid w:val="00BC63AD"/>
    <w:rsid w:val="00D019D5"/>
    <w:rsid w:val="00E2616F"/>
    <w:rsid w:val="00E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5A16-F235-4EE4-9AB2-B1B343FF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4177A"/>
    <w:rPr>
      <w:sz w:val="22"/>
      <w:szCs w:val="22"/>
    </w:rPr>
  </w:style>
  <w:style w:type="paragraph" w:styleId="a3">
    <w:name w:val="header"/>
    <w:basedOn w:val="a"/>
    <w:link w:val="a4"/>
    <w:rsid w:val="00E4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E4177A"/>
    <w:rPr>
      <w:rFonts w:cs="Times New Roman"/>
    </w:rPr>
  </w:style>
  <w:style w:type="paragraph" w:styleId="a5">
    <w:name w:val="footer"/>
    <w:basedOn w:val="a"/>
    <w:link w:val="a6"/>
    <w:semiHidden/>
    <w:rsid w:val="00E4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E417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2014-04-15T01:32:00Z</dcterms:created>
  <dcterms:modified xsi:type="dcterms:W3CDTF">2014-04-15T01:32:00Z</dcterms:modified>
</cp:coreProperties>
</file>