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64" w:rsidRDefault="00383E64">
      <w:pPr>
        <w:pStyle w:val="3"/>
      </w:pPr>
      <w:bookmarkStart w:id="0" w:name="myn"/>
      <w:r>
        <w:t>Методические рекомендации для разработки плана</w:t>
      </w:r>
    </w:p>
    <w:p w:rsidR="00383E64" w:rsidRDefault="00383E64">
      <w:pPr>
        <w:pStyle w:val="3"/>
      </w:pPr>
      <w:r>
        <w:t>развития муниципального сектора экономики Российской Федерации на 200</w:t>
      </w:r>
      <w:r w:rsidR="00E74A27">
        <w:t>9</w:t>
      </w:r>
      <w:r>
        <w:t xml:space="preserve"> год </w:t>
      </w:r>
    </w:p>
    <w:bookmarkEnd w:id="0"/>
    <w:p w:rsidR="00383E64" w:rsidRDefault="00383E64">
      <w:pPr>
        <w:ind w:firstLine="720"/>
        <w:jc w:val="both"/>
        <w:rPr>
          <w:sz w:val="28"/>
        </w:rPr>
      </w:pPr>
    </w:p>
    <w:p w:rsidR="00383E64" w:rsidRDefault="00383E64" w:rsidP="00413CC1">
      <w:pPr>
        <w:pStyle w:val="21"/>
      </w:pPr>
      <w:r>
        <w:t>План развития муниципального сектора экономики разрабатывается в соответствии</w:t>
      </w:r>
      <w:r w:rsidR="00D96E64">
        <w:t xml:space="preserve"> с</w:t>
      </w:r>
      <w:r>
        <w:t xml:space="preserve"> </w:t>
      </w:r>
      <w:r w:rsidR="00291348">
        <w:t>п</w:t>
      </w:r>
      <w:r w:rsidR="00291348" w:rsidRPr="00291348">
        <w:t>оручение</w:t>
      </w:r>
      <w:r w:rsidR="00291348">
        <w:t>м</w:t>
      </w:r>
      <w:r w:rsidR="00291348" w:rsidRPr="00291348">
        <w:t xml:space="preserve"> Правительства Российской Федерации от</w:t>
      </w:r>
      <w:r w:rsidR="00291348">
        <w:t xml:space="preserve"> </w:t>
      </w:r>
      <w:r w:rsidR="00291348" w:rsidRPr="00291348">
        <w:t xml:space="preserve">3 июня </w:t>
      </w:r>
      <w:smartTag w:uri="urn:schemas-microsoft-com:office:smarttags" w:element="metricconverter">
        <w:smartTagPr>
          <w:attr w:name="ProductID" w:val="2007 г"/>
        </w:smartTagPr>
        <w:r w:rsidR="00291348" w:rsidRPr="00291348">
          <w:t>2007 г</w:t>
        </w:r>
      </w:smartTag>
      <w:r w:rsidR="00291348" w:rsidRPr="00291348">
        <w:t>. № АЖ-П13-2810</w:t>
      </w:r>
      <w:r w:rsidR="00291348">
        <w:t xml:space="preserve"> </w:t>
      </w:r>
      <w:r>
        <w:t xml:space="preserve">и в соответствии с Федеральным законом от 6 октября 2003 года № 131-ФЗ «Об общих принципах организации местного самоуправления в Российской Федерации». 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План развития муниципального сектора экономики выполняется в разрезе муниципальных образований, входящих в состав субъектов Российской Федерации и представляется в целом по субъекту РФ.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Разработка планов развития осуществляется в два этапа. На первом этапе формируется предварительный вариант, на втором этапе - уточненный вариант</w:t>
      </w:r>
      <w:r>
        <w:t xml:space="preserve"> </w:t>
      </w:r>
      <w:r>
        <w:rPr>
          <w:sz w:val="28"/>
        </w:rPr>
        <w:t>с учетом результатов рассмотрения в Правительстве Российской Федерации предварительного прогноза развития страны, оценки социально-экономической ситуации текущего года в регионах, вариантов стабилизации их работы и развития, а также уточненных сценарных условий функционирования экономики и индексов-дефляторов цен.</w:t>
      </w:r>
    </w:p>
    <w:p w:rsidR="00383E64" w:rsidRDefault="00383E64">
      <w:pPr>
        <w:pStyle w:val="a3"/>
        <w:spacing w:line="240" w:lineRule="auto"/>
      </w:pPr>
      <w:r>
        <w:t>Минэкономразвития России рассылает пакет необходимой документации для выполнения планов развития муниципального сектора экономики:</w:t>
      </w:r>
    </w:p>
    <w:p w:rsidR="00383E64" w:rsidRDefault="00383E64">
      <w:pPr>
        <w:pStyle w:val="a4"/>
        <w:numPr>
          <w:ilvl w:val="0"/>
          <w:numId w:val="16"/>
        </w:numPr>
      </w:pPr>
      <w:r>
        <w:t>Форма №2-муницип. «Основные показатели, представляемые для разработки плана развития муниципального сектора экономики Российской Федерации»</w:t>
      </w:r>
      <w:r>
        <w:rPr>
          <w:rFonts w:ascii="Times New Roman" w:hAnsi="Times New Roman"/>
        </w:rPr>
        <w:t>;</w:t>
      </w:r>
    </w:p>
    <w:p w:rsidR="00383E64" w:rsidRDefault="00383E64">
      <w:pPr>
        <w:pStyle w:val="a4"/>
        <w:numPr>
          <w:ilvl w:val="0"/>
          <w:numId w:val="16"/>
        </w:numPr>
      </w:pPr>
      <w:r>
        <w:t>Методические рекомендации для разработки  плана развития муниципального сектора экономики.</w:t>
      </w:r>
    </w:p>
    <w:p w:rsidR="00383E64" w:rsidRDefault="00383E64">
      <w:pPr>
        <w:pStyle w:val="a4"/>
      </w:pP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jc w:val="center"/>
        <w:textAlignment w:val="auto"/>
        <w:rPr>
          <w:b/>
        </w:rPr>
      </w:pPr>
      <w:r>
        <w:rPr>
          <w:b/>
        </w:rPr>
        <w:t>Общие положения по разработке годового плана развития муниципального сектора экономики.</w:t>
      </w:r>
    </w:p>
    <w:p w:rsidR="00383E64" w:rsidRDefault="00383E64">
      <w:pPr>
        <w:ind w:firstLine="720"/>
        <w:jc w:val="both"/>
        <w:rPr>
          <w:sz w:val="28"/>
        </w:rPr>
      </w:pPr>
    </w:p>
    <w:p w:rsidR="00383E64" w:rsidRDefault="00383E64">
      <w:pPr>
        <w:ind w:firstLine="720"/>
        <w:jc w:val="both"/>
        <w:rPr>
          <w:sz w:val="28"/>
          <w:u w:val="single"/>
        </w:rPr>
      </w:pPr>
      <w:r>
        <w:rPr>
          <w:b/>
          <w:sz w:val="28"/>
        </w:rPr>
        <w:t>Основные источники получения информации</w:t>
      </w:r>
      <w:r>
        <w:rPr>
          <w:sz w:val="28"/>
          <w:u w:val="single"/>
        </w:rPr>
        <w:t>:</w:t>
      </w:r>
    </w:p>
    <w:p w:rsidR="00383E64" w:rsidRDefault="00383E64">
      <w:pPr>
        <w:ind w:firstLine="720"/>
        <w:jc w:val="both"/>
        <w:rPr>
          <w:color w:val="000000"/>
          <w:sz w:val="28"/>
        </w:rPr>
      </w:pPr>
      <w:r>
        <w:rPr>
          <w:sz w:val="28"/>
        </w:rPr>
        <w:t xml:space="preserve">-федеральные государственные статистические наблюдения; 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 xml:space="preserve">- информация, предоставляемая территориальными органами федеральных органов исполнительной власти и органами исполнительной власти субъектов Российской Федерации; </w:t>
      </w: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</w:pPr>
      <w:r>
        <w:t xml:space="preserve">-собственная информация муниципальных образований, которой располагают соответствующие учреждения и подразделения исполнительных  органов местного самоуправления. В первую очередь, к ним относятся показатели, характеризующие объекты социальной сферы, эффективность использования муниципального имущества, местный бюджет. </w:t>
      </w: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</w:pPr>
      <w:r>
        <w:t>Работа над планом предполагает выявление и исследование факторов, влияющих на развитие муниципальной экономики. К таким факторам могут быть отнесены: состояние, структура  и развитость объектов муниципальной собственности; наличие определенных природно-климатических условий, наличие и распределение трудовых ресурсов, финансовое состояние производств по основным видам экономической деятельности; финансово-экономическое положение основных организаций муниципальной формы собственности; демографические изменения; действующее законодательство и нормативно-правовые акты Российской Федерации, субъектов Российской Федерации, правовые акты органов местного самоуправления.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Кроме этого, должны учитываться направления, мероприятия и показатели, которые предусмотрены на прогнозируемый год долгосрочными и среднесрочными прогнозами развития муниципальных образований, муниципальными, региональными и федеральными целевыми программами.</w:t>
      </w: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</w:pPr>
      <w:r>
        <w:t>План развития муниципального сектора экономики выполняется на основе соответствующих данных за отчетный период, оценки состояния до конца базового года и тенденций развития на планируемый финансовый год.</w:t>
      </w: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</w:pPr>
      <w:r>
        <w:t xml:space="preserve"> Важнейшей исходной информацией для подготовки планов развития муниципального сектора экономики в составе муниципальных образований является анализ существующих тенденций развития основных экономических и социальных показателей соответствующего субъекта РФ (темпы роста добывающих и обрабатывающих производств, электроэнергетики, сельскохозяйственного производства, изменения в уровне доходов населения, обеспечение населения  услугами объектов социальной сферы  и др.).</w:t>
      </w: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</w:pPr>
      <w:r>
        <w:t>Краткосрочный план развития муниципального сектора экономики, прежде всего, должен быть ориентирован на рациональное использование имеющегося потенциала и местных возможностей: экономической базы, производственной инфраструктуры, социальной сферы, земельных, водных рекреационных, природно-минеральных и других ресурсов, экономико-географического положения и природно-климатических условий.</w:t>
      </w:r>
    </w:p>
    <w:p w:rsidR="00383E64" w:rsidRDefault="00383E64">
      <w:pPr>
        <w:pStyle w:val="31"/>
        <w:spacing w:line="240" w:lineRule="auto"/>
        <w:jc w:val="both"/>
        <w:rPr>
          <w:i w:val="0"/>
        </w:rPr>
      </w:pPr>
      <w:r>
        <w:rPr>
          <w:i w:val="0"/>
        </w:rPr>
        <w:t>План развития муниципального сектора экономики включает доклад о развитии муниципального сектора экономики на прогнозный период и основные технико-экономические и социально-экономические показатели развития с краткими пояснениями в необходимых случаях источников информации и методов их расчета.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 xml:space="preserve">Предполагается разработка двух вариантов развития: основного (1 вариант) и оптимистического (2 вариант). </w:t>
      </w:r>
    </w:p>
    <w:p w:rsidR="00383E64" w:rsidRDefault="00383E64">
      <w:pPr>
        <w:pStyle w:val="21"/>
        <w:spacing w:line="240" w:lineRule="auto"/>
      </w:pPr>
      <w:r>
        <w:t>Различия в количественных оценках этих вариантов определяются степенью выполнения поставленных задач в результате воздействия благоприятных или неблагоприятных тенденций и факторов социально-экономического развития.</w:t>
      </w:r>
    </w:p>
    <w:p w:rsidR="00383E64" w:rsidRDefault="00383E64">
      <w:pPr>
        <w:pStyle w:val="21"/>
        <w:widowControl w:val="0"/>
        <w:overflowPunct/>
        <w:autoSpaceDE/>
        <w:autoSpaceDN/>
        <w:adjustRightInd/>
        <w:spacing w:line="240" w:lineRule="auto"/>
        <w:textAlignment w:val="auto"/>
      </w:pPr>
      <w:r>
        <w:t>При подготовке доклада следует обратить особое внимание на пояснение и обоснование резких изменений в динамике и структуре  основных показателей.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 xml:space="preserve">Исходя из анализа сложившихся тенденций, конкретных социально-экономических условий и перспективных оценок, необходимо разработать и обосновать оптимальные пути развития муниципального сектора экономики. 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 xml:space="preserve">При подготовке плана развития муниципального сектора экономики возможно применение различных методов прогнозирования. 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Одним из них</w:t>
      </w:r>
      <w:r>
        <w:t xml:space="preserve"> </w:t>
      </w:r>
      <w:r>
        <w:rPr>
          <w:sz w:val="28"/>
        </w:rPr>
        <w:t xml:space="preserve">является </w:t>
      </w:r>
      <w:r>
        <w:rPr>
          <w:b/>
          <w:sz w:val="28"/>
        </w:rPr>
        <w:t>экстраполяция</w:t>
      </w:r>
      <w:r>
        <w:rPr>
          <w:sz w:val="28"/>
        </w:rPr>
        <w:t>, т.е. составление перспективы исходя из практики за предшествующий период и предположения, что тенденции и темпы экономического развития в будущем не претерпят значительных изменений. Этот метод пригоден для прогнозирования главным образом тех параметров развития муниципального сектора экономики, которые имеют сравнительно стабильный характер.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 xml:space="preserve">Другим методом является </w:t>
      </w:r>
      <w:r>
        <w:rPr>
          <w:b/>
          <w:sz w:val="28"/>
        </w:rPr>
        <w:t>метод экспертных оценок</w:t>
      </w:r>
      <w:r>
        <w:rPr>
          <w:sz w:val="28"/>
        </w:rPr>
        <w:t>, т.е. прогноз строится на базе оценок, сделанных и обоснованных компетентными специалистами. Целесообразно применять оба эти метода одновременно, используя как объективные тенденции развития, так и мнения экспертов.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 xml:space="preserve">Еще одним методом прогнозирования является </w:t>
      </w:r>
      <w:r>
        <w:rPr>
          <w:b/>
          <w:sz w:val="28"/>
        </w:rPr>
        <w:t>корреляционный анализ и балансовый метод</w:t>
      </w:r>
      <w:r>
        <w:rPr>
          <w:sz w:val="28"/>
        </w:rPr>
        <w:t>, с помощью которых исследуются закономерности взаимосвязей параметров развития объектов муниципального сектора экономики с другими наиболее важными показателями, такими, как объем производства, численность населения, денежные доходы населения и др.</w:t>
      </w:r>
    </w:p>
    <w:p w:rsidR="00383E64" w:rsidRDefault="00383E64">
      <w:pPr>
        <w:ind w:firstLine="720"/>
        <w:jc w:val="both"/>
        <w:rPr>
          <w:sz w:val="28"/>
        </w:rPr>
      </w:pPr>
    </w:p>
    <w:p w:rsidR="00383E64" w:rsidRDefault="00383E64">
      <w:pPr>
        <w:ind w:firstLine="720"/>
        <w:jc w:val="both"/>
        <w:rPr>
          <w:sz w:val="28"/>
        </w:rPr>
      </w:pPr>
    </w:p>
    <w:p w:rsidR="00383E64" w:rsidRDefault="00383E64">
      <w:pPr>
        <w:pStyle w:val="31"/>
        <w:spacing w:line="240" w:lineRule="auto"/>
        <w:ind w:firstLine="0"/>
        <w:rPr>
          <w:b/>
          <w:i w:val="0"/>
        </w:rPr>
      </w:pPr>
      <w:r>
        <w:rPr>
          <w:b/>
          <w:i w:val="0"/>
        </w:rPr>
        <w:t xml:space="preserve">Структура доклада о развитии муниципального сектора экономики  на прогнозный период </w:t>
      </w:r>
    </w:p>
    <w:p w:rsidR="00383E64" w:rsidRDefault="00383E64">
      <w:pPr>
        <w:pStyle w:val="21"/>
        <w:spacing w:line="240" w:lineRule="auto"/>
        <w:ind w:firstLine="708"/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Институциональная структура муниципальных образований. </w:t>
      </w:r>
    </w:p>
    <w:p w:rsidR="00383E64" w:rsidRDefault="00383E64">
      <w:pPr>
        <w:pStyle w:val="21"/>
        <w:spacing w:line="240" w:lineRule="auto"/>
        <w:ind w:firstLine="708"/>
      </w:pPr>
      <w:r>
        <w:t>В этом разделе оцениваются основные проблемы и диспропорции территориального развития отдельных муниципальных образований. Дается общая характеристика производственного и социально-культурного потенциала муниципальных образований, в том числе  за период 200</w:t>
      </w:r>
      <w:r w:rsidR="00662FC1">
        <w:t>6</w:t>
      </w:r>
      <w:r>
        <w:t>-200</w:t>
      </w:r>
      <w:r w:rsidR="00662FC1">
        <w:t>9</w:t>
      </w:r>
      <w:r>
        <w:t xml:space="preserve"> гг., с выделением организаций муниципальной формы собственности. Для анализа представляются основные количественные показатели развития муниципальных образований в целом, а также организаций муниципальной формы собственности. Оцениваются перспективы дальнейшего развития муниципальных организаций с учетом оценки, как положительного опыта, так и отрицательного.</w:t>
      </w:r>
    </w:p>
    <w:p w:rsidR="00383E64" w:rsidRDefault="00383E64">
      <w:pPr>
        <w:pStyle w:val="21"/>
        <w:ind w:firstLine="708"/>
      </w:pPr>
      <w:r>
        <w:t>В разделе также необходимо дать информацию по состоянию границ муниципальных образований, о принятых на текущее время законодательных и правовых актах, в связи с вступлением в силу Федерального закона от 6 октября 2003 года № 131-ФЗ «Об общих принципах организации местного самоуправления в Российской Федерации», в частности о нормативных правовых актах по межбюджетным отношениям,   а также с какого года в субъекте Российской Федерации планируется переход к реализации Закона в полном объеме.</w:t>
      </w:r>
    </w:p>
    <w:p w:rsidR="00383E64" w:rsidRDefault="00383E64">
      <w:pPr>
        <w:pStyle w:val="21"/>
        <w:spacing w:line="240" w:lineRule="auto"/>
        <w:rPr>
          <w:b/>
        </w:rPr>
      </w:pPr>
    </w:p>
    <w:p w:rsidR="00383E64" w:rsidRDefault="00383E64">
      <w:pPr>
        <w:pStyle w:val="21"/>
        <w:spacing w:line="240" w:lineRule="auto"/>
        <w:rPr>
          <w:rFonts w:ascii="Times New Roman" w:hAnsi="Times New Roman"/>
          <w:b/>
        </w:rPr>
      </w:pPr>
      <w:r>
        <w:rPr>
          <w:b/>
        </w:rPr>
        <w:t xml:space="preserve">Пояснения к </w:t>
      </w:r>
      <w:r>
        <w:rPr>
          <w:rFonts w:ascii="Times New Roman" w:hAnsi="Times New Roman"/>
          <w:b/>
        </w:rPr>
        <w:t xml:space="preserve">Разделу 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 xml:space="preserve"> (Форма №2-муницип.)</w:t>
      </w:r>
    </w:p>
    <w:p w:rsidR="00383E64" w:rsidRDefault="00383E64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Типологизация муниципальных образований (с 1.01.2005 г.) дается в соответствии со ст.2 </w:t>
      </w:r>
      <w:r>
        <w:t>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383E64" w:rsidRDefault="00383E64">
      <w:pPr>
        <w:ind w:firstLine="720"/>
        <w:jc w:val="both"/>
        <w:rPr>
          <w:b/>
          <w:sz w:val="28"/>
        </w:rPr>
      </w:pPr>
    </w:p>
    <w:p w:rsidR="00383E64" w:rsidRDefault="00383E64">
      <w:pPr>
        <w:ind w:firstLine="720"/>
        <w:jc w:val="both"/>
        <w:rPr>
          <w:sz w:val="28"/>
        </w:rPr>
      </w:pPr>
      <w:r>
        <w:rPr>
          <w:b/>
          <w:sz w:val="28"/>
          <w:lang w:val="en-US"/>
        </w:rPr>
        <w:t>II</w:t>
      </w:r>
      <w:r>
        <w:rPr>
          <w:b/>
          <w:sz w:val="28"/>
        </w:rPr>
        <w:t>. Бюджет муниципальных образований</w:t>
      </w:r>
      <w:r>
        <w:rPr>
          <w:sz w:val="28"/>
        </w:rPr>
        <w:t>.</w:t>
      </w: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</w:pPr>
      <w:r>
        <w:t>В разделе дается подробный анализ состояния бюджета муниципальн</w:t>
      </w:r>
      <w:r w:rsidR="008615A3">
        <w:t>ого</w:t>
      </w:r>
      <w:r>
        <w:t xml:space="preserve"> образовани</w:t>
      </w:r>
      <w:r w:rsidR="008615A3">
        <w:t>я</w:t>
      </w:r>
      <w:r>
        <w:t xml:space="preserve"> (местного бюджета) с точки зрения обеспеченности бюджетных расходов собственными доходами, уровня самостоятельности местн</w:t>
      </w:r>
      <w:r w:rsidR="008615A3">
        <w:t>ого</w:t>
      </w:r>
      <w:r>
        <w:t xml:space="preserve"> бюджет</w:t>
      </w:r>
      <w:r w:rsidR="008615A3">
        <w:t>а</w:t>
      </w:r>
      <w:r>
        <w:t>, размеров финансовой помощи от бюджетов других уровней. Необходимо оценить степень участия в функционировании муниципального сектора экономики различных источников финансирования.</w:t>
      </w: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</w:pPr>
      <w:r>
        <w:t>При формировании прогнозных показателей должны быть учтены и обоснованы потенциальные возможности сокращения бюджетного дефицита (если он есть) и увеличения доходной части местных бюджетов, в первую очередь, за счет собственных доходов.</w:t>
      </w:r>
    </w:p>
    <w:p w:rsidR="00383E64" w:rsidRDefault="00383E64">
      <w:pPr>
        <w:pStyle w:val="21"/>
        <w:rPr>
          <w:rFonts w:ascii="Times New Roman" w:hAnsi="Times New Roman"/>
        </w:rPr>
      </w:pPr>
      <w:r>
        <w:t>Оценка на 200</w:t>
      </w:r>
      <w:r w:rsidR="00E74A27">
        <w:t>8</w:t>
      </w:r>
      <w:r>
        <w:t xml:space="preserve"> год и прогноз местн</w:t>
      </w:r>
      <w:r w:rsidR="008615A3">
        <w:t>ого</w:t>
      </w:r>
      <w:r>
        <w:t xml:space="preserve"> бюджет</w:t>
      </w:r>
      <w:r w:rsidR="008615A3">
        <w:t>а</w:t>
      </w:r>
      <w:r>
        <w:t xml:space="preserve"> на 200</w:t>
      </w:r>
      <w:r w:rsidR="00E74A27">
        <w:t>9</w:t>
      </w:r>
      <w:r>
        <w:t xml:space="preserve"> год выполняется с учетом изменений, внесенных в Бюджетный Кодекс Российской Федерации, Федерального закона от 29 июля 2004 года № 95-ФЗ «О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сборах», Федерального закона от 20 августа 2004 года № 120-ФЗ «О внесении изменений и дополнений в Бюджетный Кодекс Российской Федерации в части регулирования межбюджетных отношений»</w:t>
      </w:r>
      <w:r>
        <w:rPr>
          <w:rFonts w:ascii="Times New Roman" w:hAnsi="Times New Roman"/>
        </w:rPr>
        <w:t xml:space="preserve">. </w:t>
      </w: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</w:pPr>
      <w:r>
        <w:t>В прогнозе бюджета муниципального образования должны найти отражение доходы и их источники, необходимые для достижения бюджетной обеспеченности на душу населения муниципальных образований уровня бюджетной обеспеченности на душу населения соответствующего субъекта Российской Федерации.</w:t>
      </w:r>
    </w:p>
    <w:p w:rsidR="00383E64" w:rsidRDefault="00383E64">
      <w:pPr>
        <w:pStyle w:val="21"/>
        <w:spacing w:line="240" w:lineRule="auto"/>
      </w:pPr>
      <w:r>
        <w:t xml:space="preserve">Необходимо также оценить действующую и вводимую налоговую структуру муниципальных образований. Дать, по-возможности, обоснование оптимальной системы распределения налоговых доходных источников между бюджетами различного уровня. </w:t>
      </w:r>
    </w:p>
    <w:p w:rsidR="00383E64" w:rsidRDefault="00383E64">
      <w:pPr>
        <w:pStyle w:val="21"/>
        <w:spacing w:line="240" w:lineRule="auto"/>
        <w:rPr>
          <w:rFonts w:ascii="Times New Roman" w:hAnsi="Times New Roman"/>
          <w:b/>
        </w:rPr>
      </w:pPr>
      <w:r>
        <w:rPr>
          <w:b/>
        </w:rPr>
        <w:t xml:space="preserve">Пояснения к </w:t>
      </w:r>
      <w:r>
        <w:rPr>
          <w:rFonts w:ascii="Times New Roman" w:hAnsi="Times New Roman"/>
          <w:b/>
        </w:rPr>
        <w:t>Разделу II (Форма №2-муницип.)</w:t>
      </w:r>
    </w:p>
    <w:p w:rsidR="00383E64" w:rsidRDefault="00383E64">
      <w:pPr>
        <w:pStyle w:val="21"/>
      </w:pPr>
      <w:r>
        <w:t xml:space="preserve">В разделе представлены выборочные статьи местных бюджетов, в соответствии с Федеральным законом от 15 августа 1996 года № 115-ФЗ «О бюджетной классификации Российской Федерации», формами отчетности </w:t>
      </w:r>
      <w:r w:rsidR="003F565D">
        <w:t>Федерального казначейства об исполнении бюджета муниципального образования</w:t>
      </w:r>
      <w:r>
        <w:t>.</w:t>
      </w:r>
    </w:p>
    <w:p w:rsidR="00383E64" w:rsidRDefault="00383E64">
      <w:pPr>
        <w:pStyle w:val="21"/>
        <w:spacing w:line="240" w:lineRule="auto"/>
      </w:pPr>
      <w:r>
        <w:t>Собственные доходы местных бюджетов определяются в соответствии со ст.47  Бюджетного Кодекса Российской Федерации.</w:t>
      </w:r>
    </w:p>
    <w:p w:rsidR="00383E64" w:rsidRDefault="00383E64">
      <w:pPr>
        <w:ind w:firstLine="720"/>
        <w:jc w:val="both"/>
        <w:rPr>
          <w:b/>
          <w:sz w:val="28"/>
        </w:rPr>
      </w:pPr>
    </w:p>
    <w:p w:rsidR="006E0ED7" w:rsidRDefault="006E0ED7">
      <w:pPr>
        <w:ind w:firstLine="720"/>
        <w:jc w:val="both"/>
        <w:rPr>
          <w:b/>
          <w:sz w:val="28"/>
        </w:rPr>
      </w:pPr>
    </w:p>
    <w:p w:rsidR="006E0ED7" w:rsidRDefault="006E0ED7">
      <w:pPr>
        <w:ind w:firstLine="720"/>
        <w:jc w:val="both"/>
        <w:rPr>
          <w:b/>
          <w:sz w:val="28"/>
        </w:rPr>
      </w:pPr>
    </w:p>
    <w:p w:rsidR="00383E64" w:rsidRDefault="00383E64">
      <w:pPr>
        <w:ind w:firstLine="720"/>
        <w:jc w:val="both"/>
        <w:rPr>
          <w:b/>
          <w:sz w:val="28"/>
        </w:rPr>
      </w:pPr>
    </w:p>
    <w:p w:rsidR="00383E64" w:rsidRDefault="00383E64">
      <w:pPr>
        <w:ind w:firstLine="720"/>
        <w:jc w:val="both"/>
        <w:rPr>
          <w:sz w:val="28"/>
          <w:u w:val="single"/>
        </w:rPr>
      </w:pPr>
      <w:r>
        <w:rPr>
          <w:b/>
          <w:sz w:val="28"/>
          <w:lang w:val="en-US"/>
        </w:rPr>
        <w:t>III</w:t>
      </w:r>
      <w:r>
        <w:rPr>
          <w:b/>
          <w:sz w:val="28"/>
        </w:rPr>
        <w:t>. Эффективность использования муниципальной собственности</w:t>
      </w:r>
      <w:r>
        <w:rPr>
          <w:sz w:val="28"/>
        </w:rPr>
        <w:t>.</w:t>
      </w: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</w:pPr>
      <w:r>
        <w:t>В разделе представляется динамика  доходов, полученных от продажи, сдачи в аренду и эксплуатации находящегося в муниципальной собственности имущества. Необходимо проанализировать достижения и неудачи в использовании и распоряжении муниципальной собственностью. Оценить роль и эффективность деятельности муниципальных унитарных предприятий.</w:t>
      </w: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</w:pPr>
      <w:r>
        <w:t>Прогнозные показатели использования муниципальной собственности необходимо увязать с планами приватизации, а также предусмотреть использование наиболее обоснованных и оправдавших себя условий и методов продажи и сдачи муниципальной собственности в аренду.</w:t>
      </w: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</w:pPr>
      <w:r>
        <w:t>Необходимо дать оценку использования муниципальной собственности в рамках действующей законодательной и нормативно-правовой базы, а также предложить актуальные направления по повышению эффективности использования муниципальной собственности на прогнозный период.</w:t>
      </w: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b/>
        </w:rPr>
      </w:pPr>
      <w:r>
        <w:rPr>
          <w:b/>
        </w:rPr>
        <w:t xml:space="preserve">Пояснения к </w:t>
      </w:r>
      <w:r>
        <w:rPr>
          <w:rFonts w:ascii="Times New Roman" w:hAnsi="Times New Roman"/>
          <w:b/>
        </w:rPr>
        <w:t xml:space="preserve">Разделу </w:t>
      </w:r>
      <w:r>
        <w:rPr>
          <w:rFonts w:ascii="Times New Roman" w:hAnsi="Times New Roman"/>
          <w:b/>
          <w:lang w:val="en-US"/>
        </w:rPr>
        <w:t>III</w:t>
      </w:r>
      <w:r>
        <w:rPr>
          <w:rFonts w:ascii="Times New Roman" w:hAnsi="Times New Roman"/>
          <w:b/>
        </w:rPr>
        <w:t xml:space="preserve"> (Форма №2-муницип.)</w:t>
      </w: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Информацию по показателям следует запросить в территориальных органах Федерального агентства по управлению федеральным имуществом и непосредственно в органах местного самоуправления муниципальных образований.</w:t>
      </w:r>
    </w:p>
    <w:p w:rsidR="00383E64" w:rsidRDefault="00383E64">
      <w:pPr>
        <w:ind w:firstLine="720"/>
        <w:jc w:val="both"/>
        <w:rPr>
          <w:b/>
          <w:sz w:val="28"/>
        </w:rPr>
      </w:pPr>
      <w:r>
        <w:rPr>
          <w:b/>
          <w:sz w:val="28"/>
          <w:lang w:val="en-US"/>
        </w:rPr>
        <w:t>IY</w:t>
      </w:r>
      <w:r>
        <w:rPr>
          <w:b/>
          <w:sz w:val="28"/>
        </w:rPr>
        <w:t>. Производственная деятельность.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 xml:space="preserve">Данный раздел содержит прогноз развития основных производственных видов экономической деятельности муниципального сектора экономики, характерных и наиболее весомых в стоимостном выражении для каждого субъекта Российской Федерации. 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 xml:space="preserve">Разработке прогнозных показателей по производственным муниципальным организациям предшествует анализ и оценка их состояния, выявление тенденций и структурных сдвигов, а также факторов и причин их обусловивших. Такой анализ проводится на основе данных органов государственной и муниципальной статистики о динамике важнейших экономических показателей – объемов и темпов производства, численности кадров, уровня износа основных фондов, финансового состояния предприятий и сведений, предоставляемых хозяйствующими субъектами, находящимися в муниципальной собственности. </w:t>
      </w:r>
    </w:p>
    <w:p w:rsidR="00383E64" w:rsidRDefault="00383E64">
      <w:pPr>
        <w:pStyle w:val="21"/>
        <w:spacing w:line="240" w:lineRule="auto"/>
      </w:pPr>
      <w:r>
        <w:t xml:space="preserve">Данные по объему отгруженных товаров собственного производства, выполненных работ и услуг определяются исходя из отчетных данных за предшествующий год, оценки ожидаемых объемов за текущий год, произведения этой оценки на прогнозируемую динамику производства и установленные субъектом Российской Федерации индексы - дефляторы оптовых цен. </w:t>
      </w:r>
    </w:p>
    <w:p w:rsidR="00383E64" w:rsidRDefault="00383E64">
      <w:pPr>
        <w:pStyle w:val="21"/>
        <w:spacing w:line="240" w:lineRule="auto"/>
      </w:pP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 xml:space="preserve">При анализе состояния основных видов деятельности необходимо выявить тенденции и изменения в структуре производств муниципальных образований в целом, а также рассмотреть особенности развития организаций муниципальной формы собственности. </w:t>
      </w:r>
    </w:p>
    <w:p w:rsidR="004B3405" w:rsidRDefault="004B3405">
      <w:pPr>
        <w:pStyle w:val="21"/>
        <w:spacing w:line="240" w:lineRule="auto"/>
        <w:rPr>
          <w:b/>
        </w:rPr>
      </w:pPr>
    </w:p>
    <w:p w:rsidR="00383E64" w:rsidRDefault="00383E64">
      <w:pPr>
        <w:pStyle w:val="21"/>
        <w:spacing w:line="240" w:lineRule="auto"/>
        <w:rPr>
          <w:rFonts w:ascii="Times New Roman" w:hAnsi="Times New Roman"/>
          <w:b/>
        </w:rPr>
      </w:pPr>
      <w:r>
        <w:rPr>
          <w:b/>
        </w:rPr>
        <w:t xml:space="preserve">Пояснения к </w:t>
      </w:r>
      <w:r>
        <w:rPr>
          <w:rFonts w:ascii="Times New Roman" w:hAnsi="Times New Roman"/>
          <w:b/>
        </w:rPr>
        <w:t>Разделу I</w:t>
      </w:r>
      <w:r>
        <w:rPr>
          <w:rFonts w:ascii="Times New Roman" w:hAnsi="Times New Roman"/>
          <w:b/>
          <w:lang w:val="en-US"/>
        </w:rPr>
        <w:t>Y</w:t>
      </w:r>
      <w:r>
        <w:rPr>
          <w:rFonts w:ascii="Times New Roman" w:hAnsi="Times New Roman"/>
          <w:b/>
        </w:rPr>
        <w:t xml:space="preserve"> (Форма №2-муницип.)</w:t>
      </w:r>
    </w:p>
    <w:p w:rsidR="00383E64" w:rsidRDefault="00383E64">
      <w:pPr>
        <w:pStyle w:val="21"/>
        <w:spacing w:line="240" w:lineRule="auto"/>
      </w:pPr>
      <w:r>
        <w:t>Следует показать объем отгруженных товаров собственного производства, выполненных работ и услуг собственными силами по организациям муниципальной формы собственности.</w:t>
      </w:r>
    </w:p>
    <w:p w:rsidR="00383E64" w:rsidRDefault="00383E64">
      <w:pPr>
        <w:ind w:firstLine="720"/>
        <w:jc w:val="both"/>
        <w:rPr>
          <w:rFonts w:ascii="Times New Roman" w:hAnsi="Times New Roman"/>
          <w:b/>
          <w:sz w:val="28"/>
        </w:rPr>
      </w:pPr>
    </w:p>
    <w:p w:rsidR="00383E64" w:rsidRDefault="00383E64">
      <w:pPr>
        <w:ind w:firstLine="720"/>
        <w:jc w:val="both"/>
        <w:rPr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Y</w:t>
      </w:r>
      <w:r>
        <w:rPr>
          <w:rFonts w:ascii="Times New Roman" w:hAnsi="Times New Roman"/>
          <w:b/>
          <w:sz w:val="28"/>
        </w:rPr>
        <w:t xml:space="preserve">. </w:t>
      </w:r>
      <w:r>
        <w:rPr>
          <w:b/>
          <w:sz w:val="28"/>
        </w:rPr>
        <w:t>Инвестиционная деятельность.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Оценка эффективности инвестиционной деятельности должна основываться на анализе состояния инвестиционного климата муниципальных образований в целом, а также муниципального сектора экономики по основным видам экономической деятельности.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Особенно важно учитывать реальные потребности муниципального образования и его возможности в инвестировании в основной капитал и роль в таком инвестировании федеральных, региональных и местных инвестиционных программ. Необходимо дать оценку инвестиционной привлекательности муниципального сектора экономики муниципальных образований.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Прогноз инвестиционной деятельности составляется с учетом прогноза развития экономической базы муниципальных образований, развития социальной инфраструктуры по направлениям использования и по всем источникам инвестиционных средств – из собственных средств муниципальных предприятий, средств местного бюджета, средств бюджетов других уровней, внебюджетных фондов, средств населения, заемных и прочих источников. Указываются основные приоритеты инвестиционной политики на прогнозный период.</w:t>
      </w: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  <w:rPr>
          <w:b/>
        </w:rPr>
      </w:pP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  <w:rPr>
          <w:b/>
        </w:rPr>
      </w:pPr>
      <w:r>
        <w:rPr>
          <w:b/>
          <w:lang w:val="en-US"/>
        </w:rPr>
        <w:t>YI</w:t>
      </w:r>
      <w:r>
        <w:rPr>
          <w:b/>
        </w:rPr>
        <w:t>.  Денежные доходы и расходы населения.</w:t>
      </w: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</w:pPr>
      <w:r>
        <w:rPr>
          <w:b/>
        </w:rPr>
        <w:t xml:space="preserve"> </w:t>
      </w:r>
      <w:r>
        <w:t>В данном разделе дается оценка уровня жизни населения в разрезе муниципальных образований на основе данных по объемам и структуре денежных доходов, расходов и сбережений населения. Необходимо проанализировать потребительскую структуру расходов, с целью выявления потенциальных возможностей граждан для оплаты жилищно-коммунальных услуг и транспорта. Рассчитывается также распределение населения по уровню доходов и доля населения, живущего ниже уровня бедности.</w:t>
      </w:r>
    </w:p>
    <w:p w:rsidR="00383E64" w:rsidRDefault="00383E64">
      <w:pPr>
        <w:pStyle w:val="21"/>
        <w:spacing w:line="240" w:lineRule="auto"/>
      </w:pPr>
      <w:r>
        <w:t>Оценивается платежеспособный спрос населения. Для его обоснования используются отчетные и прогнозные балансы денежных доходов и расходов населения, балансы трудовых ресурсов.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Для прогнозных оценок применим нормативный метод. При этом методе в увязке с реальным платежеспособным спросом учитываются целевые нормативы потребления важнейших видов продуктов питания, непродовольственных товаров, установленные стандарты обслуживания и социальные нормативы, гарантированные государством в том или ином периоде, особенно для слабо защищенных слоев населения. Это касается, в частности, научно-обоснованных норм потребления товаров и обеспеченности семей предметами культурно-бытового и хозяйственного назначения длительного пользования, потребительского бюджета, минимальной потребительской "корзины", минимальной заработной платы, минимальной пенсии, уровней дифференциации доходов, а также механизма соблюдения таких гарантированных нормативов в различных сферах деятельности.</w:t>
      </w: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</w:pPr>
      <w:r>
        <w:t>В разделе оценивается состояние рынка жилья, возможности населения по приобретению недвижимости, а также развитие ипотечного жилищного кредитования муниципальных образований.</w:t>
      </w:r>
    </w:p>
    <w:p w:rsidR="00383E64" w:rsidRDefault="00383E64">
      <w:pPr>
        <w:pStyle w:val="21"/>
        <w:overflowPunct/>
        <w:autoSpaceDE/>
        <w:autoSpaceDN/>
        <w:adjustRightInd/>
        <w:spacing w:line="240" w:lineRule="auto"/>
        <w:textAlignment w:val="auto"/>
      </w:pPr>
    </w:p>
    <w:p w:rsidR="00383E64" w:rsidRDefault="00383E64">
      <w:pPr>
        <w:ind w:firstLine="720"/>
        <w:jc w:val="both"/>
        <w:rPr>
          <w:b/>
          <w:sz w:val="28"/>
        </w:rPr>
      </w:pPr>
      <w:r>
        <w:rPr>
          <w:b/>
          <w:sz w:val="28"/>
          <w:lang w:val="en-US"/>
        </w:rPr>
        <w:t>YII</w:t>
      </w:r>
      <w:r>
        <w:rPr>
          <w:b/>
          <w:sz w:val="28"/>
        </w:rPr>
        <w:t>. Потребительский рынок.</w:t>
      </w:r>
    </w:p>
    <w:p w:rsidR="00383E64" w:rsidRDefault="00383E64">
      <w:pPr>
        <w:pStyle w:val="a4"/>
        <w:tabs>
          <w:tab w:val="left" w:pos="7380"/>
        </w:tabs>
        <w:ind w:firstLine="708"/>
      </w:pPr>
      <w:r>
        <w:t xml:space="preserve">Потребительский рынок складывается из организаций розничной торговли и организаций, предоставляющих платные услуги населению. 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К платным услугам населения относятся: жилищные, бытовые, коммунальные, экскурсионные, услуги по туризму, медицинские, санаторно-оздоровительные, ветеринарные услуги, услуги системы образования, услуги пассажирского транспорта, связи, учреждений культуры, физической культуры и спорта, правового характера,  банков.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В разделе оценивается состояние потребительского рынка и рынка платных услуг организаций муниципальной формы собственности. Дается анализ влияния частного предпринимательства на развитие потребительского рынка муниципальных образований в целом и состояние потребительского рынка предприятий и организаций муниципальной формы собственности.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Дается сравнительная оценка темпов роста объемов платных услуг населению и оборота розничной торговли муниципального сектора экономики.</w:t>
      </w:r>
    </w:p>
    <w:p w:rsidR="00383E64" w:rsidRDefault="00383E64">
      <w:pPr>
        <w:pStyle w:val="2"/>
        <w:rPr>
          <w:u w:val="none"/>
          <w:lang w:val="ru-RU"/>
        </w:rPr>
      </w:pPr>
      <w:r>
        <w:rPr>
          <w:u w:val="none"/>
          <w:lang w:val="ru-RU"/>
        </w:rPr>
        <w:t>Оборот розничной торговли в организациях муниципальной формы собственности прогнозируется с учётом предполагаемых темпов развития промышленного и сельскохозяйственного производства, повышения уровня реальных денежных доходов населения и социального обеспечения, совершенствования инфраструктуры торговли, изменения структуры оборота розничной торговли.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Для обоснования прогнозируемых объемов платных услуг населению организаций муниципальной формы собственности необходимо проанализировать динамику и структуру потребительских расходов на приобретение товаров и услуг, изменение удельного веса расходов на приобретение услуг в общих потребительских расходах, среднегодовые потребительские цены, индексы дефляторы по платным услугам.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 xml:space="preserve">Предлагается на основе сложившейся ситуации представить на прогнозируемый период задачи дальнейшего развития потребительского рынка муниципального сектора экономики в составе муниципальных образований в целом. </w:t>
      </w:r>
    </w:p>
    <w:p w:rsidR="00383E64" w:rsidRDefault="00383E64">
      <w:pPr>
        <w:ind w:firstLine="720"/>
        <w:jc w:val="both"/>
        <w:rPr>
          <w:sz w:val="28"/>
        </w:rPr>
      </w:pPr>
    </w:p>
    <w:p w:rsidR="00383E64" w:rsidRDefault="00383E64">
      <w:pPr>
        <w:ind w:firstLine="720"/>
        <w:jc w:val="both"/>
        <w:rPr>
          <w:sz w:val="28"/>
        </w:rPr>
      </w:pPr>
    </w:p>
    <w:p w:rsidR="00E74A27" w:rsidRDefault="00E74A27">
      <w:pPr>
        <w:ind w:firstLine="720"/>
        <w:jc w:val="both"/>
        <w:rPr>
          <w:sz w:val="28"/>
        </w:rPr>
      </w:pPr>
    </w:p>
    <w:p w:rsidR="00E74A27" w:rsidRDefault="00E74A27">
      <w:pPr>
        <w:ind w:firstLine="720"/>
        <w:jc w:val="both"/>
        <w:rPr>
          <w:sz w:val="28"/>
        </w:rPr>
      </w:pPr>
    </w:p>
    <w:p w:rsidR="00383E64" w:rsidRDefault="00383E64">
      <w:pPr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  <w:lang w:val="en-US"/>
        </w:rPr>
        <w:t>YIII</w:t>
      </w:r>
      <w:r>
        <w:rPr>
          <w:b/>
          <w:sz w:val="28"/>
        </w:rPr>
        <w:t>. Рынок труда.</w:t>
      </w:r>
    </w:p>
    <w:p w:rsidR="00D46268" w:rsidRDefault="00383E64">
      <w:pPr>
        <w:ind w:firstLine="720"/>
        <w:jc w:val="both"/>
        <w:rPr>
          <w:sz w:val="28"/>
        </w:rPr>
      </w:pPr>
      <w:r>
        <w:rPr>
          <w:sz w:val="28"/>
        </w:rPr>
        <w:t>В разделе представляются данные о численности и составе трудовых ресурсов, об источниках формирования трудовых ресурсов, численности занятых и безработных, движении рабочей силы, наличии рабочих мест, оплате труда</w:t>
      </w:r>
      <w:r w:rsidR="00D46268">
        <w:rPr>
          <w:sz w:val="28"/>
        </w:rPr>
        <w:t>.</w:t>
      </w:r>
      <w:r>
        <w:rPr>
          <w:sz w:val="28"/>
        </w:rPr>
        <w:t xml:space="preserve"> 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Оценивается интенсивность миграционных процессов и их влияние на уровень занятости населения муниципальных образований, влияние муниципальной структуры хозяйства на развитие рынка труда. Дается статистика по численности работников органов местного самоуправления. Дается оценка ситуации в малых городах и приграничных территориях с выделением монопрофильных поселений с тяжелой ситуацией в сфере занятости.</w:t>
      </w:r>
    </w:p>
    <w:p w:rsidR="00383E64" w:rsidRDefault="00383E64">
      <w:pPr>
        <w:ind w:firstLine="708"/>
        <w:jc w:val="both"/>
        <w:rPr>
          <w:sz w:val="28"/>
        </w:rPr>
      </w:pPr>
      <w:r>
        <w:rPr>
          <w:sz w:val="28"/>
        </w:rPr>
        <w:t xml:space="preserve">На прогнозный период рекомендуется указать основные направления и мероприятия по развитию рынка труда. </w:t>
      </w:r>
    </w:p>
    <w:p w:rsidR="00383E64" w:rsidRDefault="00383E64">
      <w:pPr>
        <w:ind w:firstLine="708"/>
        <w:jc w:val="both"/>
        <w:rPr>
          <w:b/>
          <w:sz w:val="28"/>
        </w:rPr>
      </w:pPr>
      <w:r>
        <w:rPr>
          <w:b/>
          <w:sz w:val="28"/>
        </w:rPr>
        <w:t>Пояснения к Разделу Y</w:t>
      </w:r>
      <w:r>
        <w:rPr>
          <w:rFonts w:ascii="Times New Roman" w:hAnsi="Times New Roman"/>
          <w:b/>
          <w:sz w:val="28"/>
          <w:lang w:val="en-US"/>
        </w:rPr>
        <w:t>III</w:t>
      </w:r>
      <w:r>
        <w:rPr>
          <w:b/>
          <w:sz w:val="28"/>
        </w:rPr>
        <w:t xml:space="preserve"> (Форма №2-муницип.)</w:t>
      </w:r>
    </w:p>
    <w:p w:rsidR="00383E64" w:rsidRDefault="00383E64">
      <w:pPr>
        <w:ind w:firstLine="708"/>
        <w:jc w:val="both"/>
        <w:rPr>
          <w:sz w:val="28"/>
        </w:rPr>
      </w:pPr>
      <w:r>
        <w:rPr>
          <w:sz w:val="28"/>
        </w:rPr>
        <w:t>Пп. 1-3 раздела YII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 xml:space="preserve"> заполняются в целом по соответствующим субъектам Российской Федерации.</w:t>
      </w:r>
    </w:p>
    <w:p w:rsidR="00383E64" w:rsidRDefault="00383E64">
      <w:pPr>
        <w:ind w:firstLine="708"/>
        <w:jc w:val="both"/>
        <w:rPr>
          <w:rFonts w:ascii="Times New Roman" w:hAnsi="Times New Roman"/>
          <w:sz w:val="28"/>
        </w:rPr>
      </w:pPr>
      <w:r>
        <w:rPr>
          <w:sz w:val="28"/>
        </w:rPr>
        <w:t>Количественный состав работников органов местного самоуправления рассчитывается в соответствии со ст.34,35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</w:rPr>
        <w:t>.</w:t>
      </w:r>
    </w:p>
    <w:p w:rsidR="00383E64" w:rsidRDefault="00383E64">
      <w:pPr>
        <w:pStyle w:val="2"/>
        <w:rPr>
          <w:b/>
          <w:u w:val="none"/>
          <w:lang w:val="ru-RU"/>
        </w:rPr>
      </w:pPr>
    </w:p>
    <w:p w:rsidR="00383E64" w:rsidRDefault="00383E64">
      <w:pPr>
        <w:pStyle w:val="2"/>
        <w:rPr>
          <w:b/>
          <w:u w:val="none"/>
          <w:lang w:val="ru-RU"/>
        </w:rPr>
      </w:pPr>
    </w:p>
    <w:p w:rsidR="00383E64" w:rsidRDefault="00383E64">
      <w:pPr>
        <w:pStyle w:val="2"/>
        <w:rPr>
          <w:b/>
          <w:u w:val="none"/>
          <w:lang w:val="ru-RU"/>
        </w:rPr>
      </w:pPr>
      <w:r>
        <w:rPr>
          <w:b/>
          <w:u w:val="none"/>
        </w:rPr>
        <w:t>IX</w:t>
      </w:r>
      <w:r>
        <w:rPr>
          <w:b/>
          <w:u w:val="none"/>
          <w:lang w:val="ru-RU"/>
        </w:rPr>
        <w:t xml:space="preserve">. Социальная сфера муниципальных образований. </w:t>
      </w:r>
    </w:p>
    <w:p w:rsidR="00383E64" w:rsidRDefault="00383E64">
      <w:pPr>
        <w:pStyle w:val="21"/>
        <w:spacing w:line="240" w:lineRule="auto"/>
      </w:pPr>
      <w:r>
        <w:t xml:space="preserve">К отраслям социальной сферы относятся: образование, культура и искусство, здравоохранение, туризм, отдых, физическая культура и спорт, наука и инновации, жилищный фонд и коммунальное хозяйство. 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Проводится анализ:</w:t>
      </w:r>
    </w:p>
    <w:p w:rsidR="00383E64" w:rsidRDefault="00383E64">
      <w:pPr>
        <w:ind w:firstLine="720"/>
        <w:jc w:val="both"/>
        <w:rPr>
          <w:rFonts w:ascii="Times New Roman" w:hAnsi="Times New Roman"/>
          <w:b/>
          <w:sz w:val="28"/>
        </w:rPr>
      </w:pPr>
      <w:r>
        <w:rPr>
          <w:sz w:val="28"/>
        </w:rPr>
        <w:t>1) состояния сети организаций социальной сферы муниципальной формы собственности (состояние основных фондов, доля ветхого и аварийного фонда, потенциальная мощность, фактическая загрузка и т.д.</w:t>
      </w:r>
      <w:r>
        <w:rPr>
          <w:rFonts w:ascii="Times New Roman" w:hAnsi="Times New Roman"/>
          <w:sz w:val="28"/>
        </w:rPr>
        <w:t xml:space="preserve">); 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2) минимальных потребностей населения по видам социальных услуг;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3) инвестиционных программ строительства и реконструкции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sz w:val="28"/>
        </w:rPr>
        <w:t xml:space="preserve">объектов социальной сферы за счет всех источников финансирования, 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4) объемов незавершенного строительства;</w:t>
      </w:r>
    </w:p>
    <w:p w:rsidR="00383E64" w:rsidRDefault="00383E64">
      <w:pPr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>
        <w:rPr>
          <w:sz w:val="28"/>
        </w:rPr>
        <w:t>кредиторской задолженности;</w:t>
      </w:r>
    </w:p>
    <w:p w:rsidR="00383E64" w:rsidRDefault="00383E64">
      <w:pPr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>
        <w:rPr>
          <w:sz w:val="28"/>
        </w:rPr>
        <w:t>эффективности использования кредитных линий (если используются муниципальными образованиями;</w:t>
      </w:r>
    </w:p>
    <w:p w:rsidR="00383E64" w:rsidRDefault="00383E64">
      <w:pPr>
        <w:pStyle w:val="BodyTextIndent25"/>
        <w:widowControl/>
        <w:ind w:right="0"/>
        <w:rPr>
          <w:sz w:val="28"/>
        </w:rPr>
      </w:pPr>
      <w:r>
        <w:rPr>
          <w:sz w:val="28"/>
        </w:rPr>
        <w:t>7) реализации мероприятий федеральных, региональных и муниципальных целевых программ.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П</w:t>
      </w:r>
      <w:r>
        <w:rPr>
          <w:rFonts w:ascii="Times New Roman" w:hAnsi="Times New Roman"/>
          <w:sz w:val="28"/>
        </w:rPr>
        <w:t>лан</w:t>
      </w:r>
      <w:r>
        <w:rPr>
          <w:sz w:val="28"/>
        </w:rPr>
        <w:t xml:space="preserve"> развития социальной сферы должен быть ориентирован на повышение уровня жизни населения, снижение социального неравенства, доступность получения населением муниципальных образований гарантированных социальных услуг.</w:t>
      </w: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>Необходимо оценить общее состояние жилищно-коммунального хозяйства, текущую и прогнозную ситуацию по оплате услуг жилищно-коммунального хозяйства населением и организациями.</w:t>
      </w:r>
    </w:p>
    <w:p w:rsidR="00383E64" w:rsidRDefault="00383E64">
      <w:pPr>
        <w:ind w:firstLine="720"/>
        <w:jc w:val="both"/>
        <w:rPr>
          <w:sz w:val="28"/>
        </w:rPr>
      </w:pPr>
    </w:p>
    <w:p w:rsidR="00383E64" w:rsidRDefault="00383E64">
      <w:pPr>
        <w:ind w:firstLine="720"/>
        <w:jc w:val="both"/>
        <w:rPr>
          <w:sz w:val="28"/>
        </w:rPr>
      </w:pPr>
      <w:r>
        <w:rPr>
          <w:sz w:val="28"/>
        </w:rPr>
        <w:t xml:space="preserve">В заключение пояснительной записки приводятся меры, предпринятые представительными и исполнительными органами власти по социально-экономическому развитию муниципальных образований и совершенствованию деятельности органов местного самоуправления; </w:t>
      </w:r>
      <w:r>
        <w:rPr>
          <w:rFonts w:ascii="Times New Roman" w:hAnsi="Times New Roman"/>
          <w:sz w:val="28"/>
        </w:rPr>
        <w:t xml:space="preserve">дается </w:t>
      </w:r>
      <w:r>
        <w:rPr>
          <w:sz w:val="28"/>
        </w:rPr>
        <w:t>оценка их результативности (например, развитие новых форм организации хозяйственной деятельности, включение муниципальных образований в число объектов федеральных и региональных программ, формирование регионального законодательства, совершенствование межбюджетных отношений).</w:t>
      </w:r>
    </w:p>
    <w:p w:rsidR="00383E64" w:rsidRDefault="00383E64">
      <w:pPr>
        <w:ind w:firstLine="720"/>
        <w:jc w:val="both"/>
        <w:rPr>
          <w:sz w:val="28"/>
        </w:rPr>
      </w:pPr>
    </w:p>
    <w:p w:rsidR="00383E64" w:rsidRDefault="0064309A">
      <w:pPr>
        <w:ind w:firstLine="720"/>
        <w:jc w:val="both"/>
        <w:rPr>
          <w:sz w:val="28"/>
        </w:rPr>
      </w:pPr>
      <w:r>
        <w:rPr>
          <w:sz w:val="28"/>
        </w:rPr>
        <w:t xml:space="preserve">Предварительный </w:t>
      </w:r>
      <w:r w:rsidR="00383E64">
        <w:rPr>
          <w:sz w:val="28"/>
        </w:rPr>
        <w:t>план развития муниципального сектора экономики на 200</w:t>
      </w:r>
      <w:r w:rsidR="00E74A27">
        <w:rPr>
          <w:sz w:val="28"/>
        </w:rPr>
        <w:t>9</w:t>
      </w:r>
      <w:r w:rsidR="00383E64">
        <w:rPr>
          <w:sz w:val="28"/>
        </w:rPr>
        <w:t xml:space="preserve"> год представляется в Минэкономразвития России в </w:t>
      </w:r>
      <w:r w:rsidR="00E74A27">
        <w:rPr>
          <w:sz w:val="28"/>
        </w:rPr>
        <w:t xml:space="preserve">Сводный </w:t>
      </w:r>
      <w:r w:rsidR="00383E64">
        <w:rPr>
          <w:sz w:val="28"/>
        </w:rPr>
        <w:t xml:space="preserve">Департамент </w:t>
      </w:r>
      <w:r w:rsidR="00E74A27">
        <w:rPr>
          <w:sz w:val="28"/>
        </w:rPr>
        <w:t xml:space="preserve">макроэкономического </w:t>
      </w:r>
      <w:r w:rsidR="007A249A">
        <w:rPr>
          <w:sz w:val="28"/>
        </w:rPr>
        <w:t>прогнозирования</w:t>
      </w:r>
      <w:r w:rsidR="00383E64">
        <w:rPr>
          <w:sz w:val="28"/>
        </w:rPr>
        <w:t xml:space="preserve"> (Директор Департамента – </w:t>
      </w:r>
      <w:r w:rsidR="007A249A">
        <w:rPr>
          <w:sz w:val="28"/>
        </w:rPr>
        <w:t>Куранов</w:t>
      </w:r>
      <w:r w:rsidR="00383E64">
        <w:rPr>
          <w:sz w:val="28"/>
        </w:rPr>
        <w:t xml:space="preserve"> </w:t>
      </w:r>
      <w:r w:rsidR="007A249A">
        <w:rPr>
          <w:sz w:val="28"/>
        </w:rPr>
        <w:t>Геннадий</w:t>
      </w:r>
      <w:r w:rsidR="00383E64">
        <w:rPr>
          <w:sz w:val="28"/>
        </w:rPr>
        <w:t xml:space="preserve"> </w:t>
      </w:r>
      <w:r w:rsidR="007A249A">
        <w:rPr>
          <w:sz w:val="28"/>
        </w:rPr>
        <w:t>Оразович</w:t>
      </w:r>
      <w:r w:rsidR="00383E64">
        <w:rPr>
          <w:sz w:val="28"/>
        </w:rPr>
        <w:t>) в печатном виде, а также в форматах WINWORD и Excel по электронной почте по двум адресам.</w:t>
      </w:r>
    </w:p>
    <w:p w:rsidR="00383E64" w:rsidRDefault="00383E64">
      <w:pPr>
        <w:ind w:firstLine="720"/>
        <w:jc w:val="both"/>
        <w:rPr>
          <w:sz w:val="28"/>
        </w:rPr>
      </w:pPr>
    </w:p>
    <w:p w:rsidR="00383E64" w:rsidRDefault="00383E64" w:rsidP="009C67B9">
      <w:pPr>
        <w:ind w:left="2520" w:hanging="1812"/>
        <w:rPr>
          <w:sz w:val="28"/>
        </w:rPr>
      </w:pPr>
      <w:r>
        <w:rPr>
          <w:sz w:val="28"/>
        </w:rPr>
        <w:t>Адреса E-mail:</w:t>
      </w:r>
      <w:r w:rsidR="009C67B9" w:rsidRPr="009C67B9">
        <w:rPr>
          <w:color w:val="000000"/>
          <w:spacing w:val="4"/>
          <w:sz w:val="28"/>
        </w:rPr>
        <w:t xml:space="preserve"> </w:t>
      </w:r>
      <w:r w:rsidR="009C67B9">
        <w:rPr>
          <w:color w:val="000000"/>
          <w:spacing w:val="4"/>
          <w:sz w:val="28"/>
          <w:lang w:val="en-US"/>
        </w:rPr>
        <w:t>A</w:t>
      </w:r>
      <w:r w:rsidR="009C67B9" w:rsidRPr="00625D25">
        <w:rPr>
          <w:color w:val="000000"/>
          <w:spacing w:val="4"/>
          <w:sz w:val="28"/>
        </w:rPr>
        <w:t>vanesyan@</w:t>
      </w:r>
      <w:smartTag w:uri="urn:schemas-microsoft-com:office:smarttags" w:element="PersonName">
        <w:r w:rsidR="009C67B9" w:rsidRPr="00625D25">
          <w:rPr>
            <w:color w:val="000000"/>
            <w:spacing w:val="4"/>
            <w:sz w:val="28"/>
          </w:rPr>
          <w:t>econ</w:t>
        </w:r>
      </w:smartTag>
      <w:r w:rsidR="009C67B9" w:rsidRPr="00625D25">
        <w:rPr>
          <w:color w:val="000000"/>
          <w:spacing w:val="4"/>
          <w:sz w:val="28"/>
        </w:rPr>
        <w:t>omy.gov.ru</w:t>
      </w:r>
      <w:r>
        <w:rPr>
          <w:sz w:val="28"/>
        </w:rPr>
        <w:t xml:space="preserve">                </w:t>
      </w:r>
      <w:r w:rsidR="009C67B9">
        <w:rPr>
          <w:sz w:val="28"/>
        </w:rPr>
        <w:t xml:space="preserve">                                                                              </w:t>
      </w:r>
      <w:r w:rsidR="009C67B9" w:rsidRPr="008D4B35">
        <w:rPr>
          <w:sz w:val="28"/>
        </w:rPr>
        <w:t>Sinits</w:t>
      </w:r>
      <w:bookmarkStart w:id="1" w:name="_Hlt36975260"/>
      <w:r w:rsidR="009C67B9" w:rsidRPr="008D4B35">
        <w:rPr>
          <w:sz w:val="28"/>
        </w:rPr>
        <w:t>i</w:t>
      </w:r>
      <w:bookmarkEnd w:id="1"/>
      <w:r w:rsidR="009C67B9" w:rsidRPr="008D4B35">
        <w:rPr>
          <w:sz w:val="28"/>
        </w:rPr>
        <w:t>na@economy</w:t>
      </w:r>
      <w:bookmarkStart w:id="2" w:name="_Hlt36974978"/>
      <w:r w:rsidR="009C67B9" w:rsidRPr="008D4B35">
        <w:rPr>
          <w:sz w:val="28"/>
        </w:rPr>
        <w:t>.</w:t>
      </w:r>
      <w:bookmarkEnd w:id="2"/>
      <w:r w:rsidR="009C67B9" w:rsidRPr="008D4B35">
        <w:rPr>
          <w:sz w:val="28"/>
        </w:rPr>
        <w:t>gov.ru</w:t>
      </w:r>
    </w:p>
    <w:p w:rsidR="00383E64" w:rsidRDefault="00383E64">
      <w:pPr>
        <w:ind w:firstLine="720"/>
        <w:jc w:val="both"/>
        <w:rPr>
          <w:sz w:val="28"/>
        </w:rPr>
      </w:pPr>
    </w:p>
    <w:p w:rsidR="00383E64" w:rsidRDefault="00383E64">
      <w:pPr>
        <w:ind w:firstLine="720"/>
        <w:jc w:val="both"/>
        <w:rPr>
          <w:sz w:val="28"/>
        </w:rPr>
      </w:pPr>
    </w:p>
    <w:p w:rsidR="00383E64" w:rsidRDefault="00383E64">
      <w:pPr>
        <w:ind w:firstLine="720"/>
        <w:jc w:val="both"/>
        <w:rPr>
          <w:sz w:val="28"/>
        </w:rPr>
      </w:pPr>
    </w:p>
    <w:p w:rsidR="00383E64" w:rsidRDefault="00383E64">
      <w:pPr>
        <w:ind w:firstLine="720"/>
        <w:jc w:val="both"/>
        <w:rPr>
          <w:sz w:val="28"/>
        </w:rPr>
      </w:pPr>
    </w:p>
    <w:p w:rsidR="00383E64" w:rsidRDefault="00383E64">
      <w:pPr>
        <w:ind w:firstLine="720"/>
        <w:jc w:val="both"/>
        <w:rPr>
          <w:sz w:val="28"/>
        </w:rPr>
      </w:pPr>
    </w:p>
    <w:p w:rsidR="00383E64" w:rsidRDefault="00383E64">
      <w:pPr>
        <w:ind w:firstLine="720"/>
        <w:jc w:val="both"/>
        <w:rPr>
          <w:sz w:val="28"/>
        </w:rPr>
      </w:pPr>
    </w:p>
    <w:p w:rsidR="00383E64" w:rsidRDefault="00383E64">
      <w:pPr>
        <w:ind w:firstLine="720"/>
        <w:jc w:val="both"/>
        <w:rPr>
          <w:sz w:val="28"/>
        </w:rPr>
      </w:pPr>
    </w:p>
    <w:p w:rsidR="00383E64" w:rsidRDefault="00383E64">
      <w:pPr>
        <w:ind w:firstLine="720"/>
        <w:jc w:val="both"/>
        <w:rPr>
          <w:sz w:val="28"/>
        </w:rPr>
      </w:pPr>
    </w:p>
    <w:p w:rsidR="00383E64" w:rsidRDefault="00383E64">
      <w:pPr>
        <w:ind w:firstLine="720"/>
        <w:jc w:val="both"/>
        <w:rPr>
          <w:sz w:val="28"/>
        </w:rPr>
      </w:pPr>
      <w:bookmarkStart w:id="3" w:name="_GoBack"/>
      <w:bookmarkEnd w:id="3"/>
    </w:p>
    <w:sectPr w:rsidR="00383E64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BF9" w:rsidRDefault="000C3BF9">
      <w:r>
        <w:separator/>
      </w:r>
    </w:p>
  </w:endnote>
  <w:endnote w:type="continuationSeparator" w:id="0">
    <w:p w:rsidR="000C3BF9" w:rsidRDefault="000C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BF9" w:rsidRDefault="000C3BF9">
      <w:r>
        <w:separator/>
      </w:r>
    </w:p>
  </w:footnote>
  <w:footnote w:type="continuationSeparator" w:id="0">
    <w:p w:rsidR="000C3BF9" w:rsidRDefault="000C3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42D" w:rsidRDefault="0092342D" w:rsidP="0010210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12</w:t>
    </w:r>
    <w:r>
      <w:rPr>
        <w:rStyle w:val="a7"/>
      </w:rPr>
      <w:fldChar w:fldCharType="end"/>
    </w:r>
  </w:p>
  <w:p w:rsidR="0092342D" w:rsidRDefault="0092342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42D" w:rsidRDefault="0092342D" w:rsidP="0010210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84CAE">
      <w:rPr>
        <w:rStyle w:val="a7"/>
        <w:noProof/>
      </w:rPr>
      <w:t>1</w:t>
    </w:r>
    <w:r>
      <w:rPr>
        <w:rStyle w:val="a7"/>
      </w:rPr>
      <w:fldChar w:fldCharType="end"/>
    </w:r>
  </w:p>
  <w:p w:rsidR="0092342D" w:rsidRDefault="0092342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C0A4168"/>
    <w:lvl w:ilvl="0">
      <w:numFmt w:val="decimal"/>
      <w:lvlText w:val="*"/>
      <w:lvlJc w:val="left"/>
    </w:lvl>
  </w:abstractNum>
  <w:abstractNum w:abstractNumId="1">
    <w:nsid w:val="04FD1098"/>
    <w:multiLevelType w:val="singleLevel"/>
    <w:tmpl w:val="91DC40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08A95C20"/>
    <w:multiLevelType w:val="singleLevel"/>
    <w:tmpl w:val="99388E4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801780"/>
    <w:multiLevelType w:val="singleLevel"/>
    <w:tmpl w:val="68E22BD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</w:abstractNum>
  <w:abstractNum w:abstractNumId="4">
    <w:nsid w:val="177F1B1B"/>
    <w:multiLevelType w:val="singleLevel"/>
    <w:tmpl w:val="34AE7E1A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5">
    <w:nsid w:val="18EC4A0D"/>
    <w:multiLevelType w:val="singleLevel"/>
    <w:tmpl w:val="B31EF2A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6">
    <w:nsid w:val="34090DCE"/>
    <w:multiLevelType w:val="multilevel"/>
    <w:tmpl w:val="908A868A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3C042C86"/>
    <w:multiLevelType w:val="singleLevel"/>
    <w:tmpl w:val="A112DFAA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6"/>
      </w:rPr>
    </w:lvl>
  </w:abstractNum>
  <w:abstractNum w:abstractNumId="8">
    <w:nsid w:val="3F9B6AB8"/>
    <w:multiLevelType w:val="singleLevel"/>
    <w:tmpl w:val="64AEC2A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2101AFA"/>
    <w:multiLevelType w:val="singleLevel"/>
    <w:tmpl w:val="718C6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C4C3859"/>
    <w:multiLevelType w:val="singleLevel"/>
    <w:tmpl w:val="C0307FE2"/>
    <w:lvl w:ilvl="0">
      <w:start w:val="5"/>
      <w:numFmt w:val="decimal"/>
      <w:lvlText w:val="%1)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</w:abstractNum>
  <w:abstractNum w:abstractNumId="11">
    <w:nsid w:val="5A164337"/>
    <w:multiLevelType w:val="singleLevel"/>
    <w:tmpl w:val="88602FD0"/>
    <w:lvl w:ilvl="0">
      <w:start w:val="5"/>
      <w:numFmt w:val="decimal"/>
      <w:lvlText w:val="%1)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</w:abstractNum>
  <w:abstractNum w:abstractNumId="12">
    <w:nsid w:val="5E2A4537"/>
    <w:multiLevelType w:val="singleLevel"/>
    <w:tmpl w:val="1CAE9FD8"/>
    <w:lvl w:ilvl="0">
      <w:start w:val="1"/>
      <w:numFmt w:val="decimal"/>
      <w:lvlText w:val="%1)"/>
      <w:legacy w:legacy="1" w:legacySpace="120" w:legacyIndent="1020"/>
      <w:lvlJc w:val="left"/>
      <w:pPr>
        <w:ind w:left="1740" w:hanging="1020"/>
      </w:pPr>
    </w:lvl>
  </w:abstractNum>
  <w:abstractNum w:abstractNumId="13">
    <w:nsid w:val="66743C47"/>
    <w:multiLevelType w:val="singleLevel"/>
    <w:tmpl w:val="83721546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b w:val="0"/>
        <w:i w:val="0"/>
        <w:sz w:val="26"/>
      </w:rPr>
    </w:lvl>
  </w:abstractNum>
  <w:abstractNum w:abstractNumId="14">
    <w:nsid w:val="70EE1A5F"/>
    <w:multiLevelType w:val="singleLevel"/>
    <w:tmpl w:val="CB865E5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0"/>
  </w:num>
  <w:num w:numId="4">
    <w:abstractNumId w:val="13"/>
  </w:num>
  <w:num w:numId="5">
    <w:abstractNumId w:val="7"/>
  </w:num>
  <w:num w:numId="6">
    <w:abstractNumId w:val="3"/>
  </w:num>
  <w:num w:numId="7">
    <w:abstractNumId w:val="6"/>
  </w:num>
  <w:num w:numId="8">
    <w:abstractNumId w:val="14"/>
  </w:num>
  <w:num w:numId="9">
    <w:abstractNumId w:val="10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2"/>
  </w:num>
  <w:num w:numId="13">
    <w:abstractNumId w:val="0"/>
    <w:lvlOverride w:ilvl="0">
      <w:lvl w:ilvl="0">
        <w:numFmt w:val="bullet"/>
        <w:lvlText w:val="-"/>
        <w:legacy w:legacy="1" w:legacySpace="0" w:legacyIndent="1069"/>
        <w:lvlJc w:val="left"/>
        <w:pPr>
          <w:ind w:left="1789" w:hanging="1069"/>
        </w:pPr>
      </w:lvl>
    </w:lvlOverride>
  </w:num>
  <w:num w:numId="14">
    <w:abstractNumId w:val="4"/>
  </w:num>
  <w:num w:numId="15">
    <w:abstractNumId w:val="5"/>
  </w:num>
  <w:num w:numId="16">
    <w:abstractNumId w:val="9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CC1"/>
    <w:rsid w:val="000C3BF9"/>
    <w:rsid w:val="000E4DF2"/>
    <w:rsid w:val="0010210A"/>
    <w:rsid w:val="00121271"/>
    <w:rsid w:val="00165D93"/>
    <w:rsid w:val="001B750D"/>
    <w:rsid w:val="001C45F6"/>
    <w:rsid w:val="00243AFB"/>
    <w:rsid w:val="00291348"/>
    <w:rsid w:val="003317AC"/>
    <w:rsid w:val="00383E64"/>
    <w:rsid w:val="003F565D"/>
    <w:rsid w:val="004106F7"/>
    <w:rsid w:val="00413CC1"/>
    <w:rsid w:val="004B3405"/>
    <w:rsid w:val="00553E20"/>
    <w:rsid w:val="0064309A"/>
    <w:rsid w:val="00662FC1"/>
    <w:rsid w:val="0069322C"/>
    <w:rsid w:val="006E0ED7"/>
    <w:rsid w:val="007A249A"/>
    <w:rsid w:val="008615A3"/>
    <w:rsid w:val="008D4B35"/>
    <w:rsid w:val="0092342D"/>
    <w:rsid w:val="009C67B9"/>
    <w:rsid w:val="00AB59AB"/>
    <w:rsid w:val="00AE3ACA"/>
    <w:rsid w:val="00B47396"/>
    <w:rsid w:val="00CD27D5"/>
    <w:rsid w:val="00D46268"/>
    <w:rsid w:val="00D96E64"/>
    <w:rsid w:val="00DB11C2"/>
    <w:rsid w:val="00E32A2C"/>
    <w:rsid w:val="00E74A27"/>
    <w:rsid w:val="00E84CAE"/>
    <w:rsid w:val="00EC2A01"/>
    <w:rsid w:val="00E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C0F66-52A8-4054-858F-177C876E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hAnsi="Times New Roman CYR"/>
      <w:sz w:val="26"/>
    </w:rPr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b/>
      <w:sz w:val="28"/>
    </w:rPr>
  </w:style>
  <w:style w:type="paragraph" w:styleId="9">
    <w:name w:val="heading 9"/>
    <w:basedOn w:val="a"/>
    <w:next w:val="a"/>
    <w:qFormat/>
    <w:rsid w:val="00413C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ий текст з відступом 31"/>
    <w:basedOn w:val="a"/>
    <w:pPr>
      <w:widowControl w:val="0"/>
      <w:overflowPunct w:val="0"/>
      <w:autoSpaceDE w:val="0"/>
      <w:autoSpaceDN w:val="0"/>
      <w:adjustRightInd w:val="0"/>
      <w:spacing w:line="320" w:lineRule="exact"/>
      <w:ind w:firstLine="720"/>
      <w:jc w:val="center"/>
      <w:textAlignment w:val="baseline"/>
    </w:pPr>
    <w:rPr>
      <w:i/>
      <w:sz w:val="28"/>
    </w:rPr>
  </w:style>
  <w:style w:type="paragraph" w:customStyle="1" w:styleId="21">
    <w:name w:val="Основний текст 21"/>
    <w:basedOn w:val="a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sz w:val="28"/>
    </w:rPr>
  </w:style>
  <w:style w:type="paragraph" w:styleId="a3">
    <w:name w:val="Body Text Indent"/>
    <w:basedOn w:val="a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character" w:customStyle="1" w:styleId="10">
    <w:name w:val="Гіперпосилання1"/>
    <w:basedOn w:val="a0"/>
    <w:rPr>
      <w:color w:val="0000FF"/>
      <w:u w:val="single"/>
    </w:rPr>
  </w:style>
  <w:style w:type="character" w:styleId="a5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ind w:firstLine="720"/>
      <w:jc w:val="both"/>
    </w:pPr>
    <w:rPr>
      <w:sz w:val="28"/>
      <w:u w:val="single"/>
      <w:lang w:val="en-US"/>
    </w:rPr>
  </w:style>
  <w:style w:type="paragraph" w:customStyle="1" w:styleId="BodyTextIndent25">
    <w:name w:val="Body Text Indent 25"/>
    <w:basedOn w:val="a"/>
    <w:pPr>
      <w:widowControl w:val="0"/>
      <w:ind w:right="-1050" w:firstLine="720"/>
      <w:jc w:val="both"/>
    </w:pPr>
    <w:rPr>
      <w:sz w:val="24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ind w:firstLine="720"/>
      <w:jc w:val="center"/>
    </w:pPr>
    <w:rPr>
      <w:b/>
      <w:sz w:val="28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rPr>
      <w:color w:val="800080"/>
      <w:u w:val="single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102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</vt:lpstr>
    </vt:vector>
  </TitlesOfParts>
  <Company/>
  <LinksUpToDate>false</LinksUpToDate>
  <CharactersWithSpaces>20755</CharactersWithSpaces>
  <SharedDoc>false</SharedDoc>
  <HLinks>
    <vt:vector size="6" baseType="variant">
      <vt:variant>
        <vt:i4>8126488</vt:i4>
      </vt:variant>
      <vt:variant>
        <vt:i4>0</vt:i4>
      </vt:variant>
      <vt:variant>
        <vt:i4>0</vt:i4>
      </vt:variant>
      <vt:variant>
        <vt:i4>5</vt:i4>
      </vt:variant>
      <vt:variant>
        <vt:lpwstr>mailto:Sinitsina@economy.gov.ru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subject/>
  <dc:creator>Дмитрий Евгеньевич Беляков</dc:creator>
  <cp:keywords/>
  <dc:description/>
  <cp:lastModifiedBy>Irina</cp:lastModifiedBy>
  <cp:revision>2</cp:revision>
  <cp:lastPrinted>2008-04-28T13:33:00Z</cp:lastPrinted>
  <dcterms:created xsi:type="dcterms:W3CDTF">2014-09-18T15:49:00Z</dcterms:created>
  <dcterms:modified xsi:type="dcterms:W3CDTF">2014-09-18T15:49:00Z</dcterms:modified>
</cp:coreProperties>
</file>