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C0" w:rsidRPr="008D1C19" w:rsidRDefault="009976C0" w:rsidP="009976C0">
      <w:pPr>
        <w:spacing w:before="120"/>
        <w:jc w:val="center"/>
        <w:rPr>
          <w:b/>
          <w:sz w:val="32"/>
        </w:rPr>
      </w:pPr>
      <w:r w:rsidRPr="008D1C19">
        <w:rPr>
          <w:b/>
          <w:sz w:val="32"/>
        </w:rPr>
        <w:t>“Видимо, никому из нас не сделаться памятником”: реминисценции из пушкинских стихотворений о поэте и поэзии у И.А. Бродского</w:t>
      </w:r>
    </w:p>
    <w:p w:rsidR="009976C0" w:rsidRPr="008D1C19" w:rsidRDefault="009976C0" w:rsidP="009976C0">
      <w:pPr>
        <w:spacing w:before="120"/>
        <w:jc w:val="center"/>
        <w:rPr>
          <w:sz w:val="28"/>
        </w:rPr>
      </w:pPr>
      <w:r w:rsidRPr="008D1C19">
        <w:rPr>
          <w:sz w:val="28"/>
        </w:rPr>
        <w:t>Ранчин А. М.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>Первоначально Бродский ищет в пушкинских стихах о поэте и поэзии свидетельства неизбежной гибели, обреченности каждого истинного стихотворца. Такому самовосприятию со</w:t>
      </w:r>
      <w:r>
        <w:t>о</w:t>
      </w:r>
      <w:r w:rsidRPr="008D1C19">
        <w:t xml:space="preserve">тветствовал взгляд на судьбу Бродского как на воплощение или частный случай участи всякого истинного поэта — гонимого страдальца. Показательно замечание Анны Ахматовой по поводу ареста и ссылки Бродского: “Неблагополучие — необходимая компонента судьбы поэта, во всяком случае поэта нового времени. Ахматова считала, что настоящему артисту, да и вообще стоящему человеку, не годится жить в роскоши. &lt;...&gt; Когда Бродского судили и отправили в ссылку на север, она сказала: “Какую биографию делают нашему рыжему! Как будто он кого-то нарочно нанял”. А на вопрос о поэтической судьбе Мандельштама, не заслонена ли она гражданской, ответила: “Идеальная”” (Найман А. Рассказы об Анне Ахматовой [Изд. 2-е, доп.]. М., 1999. С. 17).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Этот мотив декларирован в завершении стихотворения “Конец прекрасной эпохи” (1969):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Для последней строки, эх, не вырвать у птицы пера. </w:t>
      </w:r>
      <w:r>
        <w:t xml:space="preserve"> </w:t>
      </w:r>
      <w:r w:rsidRPr="008D1C19">
        <w:t xml:space="preserve">неповинной главе всех и дел-то, что ждать топора </w:t>
      </w:r>
      <w:r>
        <w:t xml:space="preserve"> </w:t>
      </w:r>
      <w:r w:rsidRPr="008D1C19">
        <w:t xml:space="preserve">да зеленого лавра.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“Зеленый лавр” напоминает о совете музе в пушкинском “Я памятник себе воздвиг нерукотворный...”: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Веленью божию, о муза, будь послушна,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Обиды не страшась, не требуя венца...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При сходстве на уровне означающих, создающем иллюзию синонимии (зеленый лавр как синоним венца) означаемые у этих слов и выражений различны. Пушкин обозначает словом “венец” лавровый венок — знак славы поэта, который в русской поэзии 1810—1830-х гг. чаще именовался именно “венком”. “&lt;...&gt; В поэтическом словоупотреблении “венец”, как правило окрашивается негативной эмоцией, а “венок” — позитивной. Бывает и так, что в произведении дается лишь один из антонимов, но он незримо соотнесен с антонимом в другом произведении. И понять происхождение противоположных эмоциональных окрасок можно, лишь соотнося “венец” и “венок” как крайние звенья одной цепи”; “Венец — атрибут славы, чаще всего военной; венок — знак отказа от громкой славы ради жизни неприметной, но исполненной естественных чувств, искренней приязни и любви. И вместе с противопоставлением “венка” “венцу” второй, так сказать, образ жизни ставится выше первого” (Манн Ю. В. Динамика русского романтизма. М., 1995. С. 16—18 (здесь же примеры из текстов: о семантике слов “венок” и “венец” в русской поэзии, в том числе и у поэтов ХХ века, и в некоторых текстах Бродского см.: Левинтон Г. А. Смерть поэта: Иосиф Бродский // Иосиф Бродский: творчество, личность, судьба. Итоги трех конференций. СПб., 1998. С. 197).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>Выбор автором стихотворения “Я памятник себе воздвиг нерукотворный...” именно означающего “венец” не случаен: в пушкинском тексте поэту приписывается атрибут “царственности” (его мысленный памятник “вознесся выше &lt;...&gt; главою непокорной / Александрийского столпа” — колонны — памятника императору Александру I</w:t>
      </w:r>
      <w:bookmarkStart w:id="0" w:name="_ednref1"/>
      <w:r w:rsidRPr="008D1C19">
        <w:t>[1]</w:t>
      </w:r>
      <w:bookmarkEnd w:id="0"/>
      <w:r w:rsidRPr="008D1C19">
        <w:t xml:space="preserve">). Таким образом, “венец”, означая “лавровый венок”, наделен оттенками значения коннотациями “царский венец”.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Отказ от венка/венца у Пушкина — это отвержение жажды к славе, жест, демонстрирующий независимость: пушкинский поэт представлен в отличие от горациевского хранителем и ценителем личной свободы — высшей ценности бытия. В отличие от пушкинской музы, поэту Бродского лавровый венок обеспечен — вместе с плахой. Но “зеленый лавр” — выражение многозначное, обозначающее не только “венок”, но и “венец”. “Зеленый лавр” — награда поэту Бродского за стихи, оплаченные ценою смерти; но, поставленное в один семантический ряд с “топором”, это выражение указывает также и на венец как знак мученичества (венец мученический) и на его первообраз — терновый венец Христа. Выражение “зеленый лавр” восходит не только к Горацию и Пушкину, но и к лермонтовскому стихотворению “Смерть Поэта”, в котором венец совмещает признаки венка (в обманчивом внешнем виде) и венца (по своей сути):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 прежний сняв венок — они венец терновый,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Увитый лаврами, надели на него: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Но иглы тайные сурово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Язвили славное чело...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Под пером Бродского пушкинские строки о долгой славе поэта в поколениях превращаются в стихи о неизбежной гибели.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“Топор” палача из стихотворения “Конец прекрасной эпохи” — такое же орудие казни, как “секира палача”, пасть от удара которой суждено поэту, герою другого пушкинского стихотворения — “Андрей Шенье”: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Подъялась вновь усталая секира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 жертву новую зовет.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Певец готов: задумчивая лира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 последний раз ему поет.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Образ лаврового венца, вызывающий ассоциации с югом, с солнечным миром античности, у Бродского соединен с зимой и снегом: венец поэта — “лавровый заснеженный венец”: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Хвала развязке. Занавес. Конец.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Конец. Разъезд. Галантность провожатых,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у светлых лестниц к зеркалам прижатых,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 лавровый заснеженный венец.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(“Приходит март. Я сызнова служу”, 1961)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Концовка стихотворения Бродского может быть истолкована как непрямое, эвфемистическое описание ареста (провожатые кем-то прижаты к зеркалам). Но она также проецируется и на финальную сцену комедии А. С. Грибоедова “Горе от ума”, и на описание Онегина в первой главе пушкинского романа в стихах (снегом, “морозной пылmю сребрится / Его (Онегина. — А. Р.)бобровый воротник”). Сцена разъезда также восходит к “Евгению Онегину” (Онегин, покидающий театр, — гл 1, строфа 16). Но, кроме того, текст Бродского соотнесен со стихотворением Мандельштама “Летают валькирии, поют смычки”, представляющего собой своеобразное соединение мотивов и образов и из грибоедовского, и из пушкинского сочинений: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Летают валькирии, поют смычки.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Громоздкая опера к концу идет.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 тяжелыми шубами гайдуки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На мраморных лестницах ждут господ.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Уж занавес наглухо упасть готов;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Еще рукоплещет в райке глупец,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Извозчики пляшут вокруг костров.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Карету такого-то! Разъезд. Конец.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Стихотворение Мандельштама воплощает “тему конца русского символизма” (Лекманов О. Вечер символизма: О стихотворении “Валкирии” // Лекманов О. А. Опыты о Мандельштаме (Ученые записки Московского культурологического лицея № 1310. Вып. 1). Винницкий И. Ю. Утехи меланхолии (Ученые записки Московского культурологического лицея № 1310. Вып. 2). М., 1997. С. 50). Стихотворение Бродского посвящено теме конца высокого искусства вообще. Знаком преемственности по отношению к поэтической традиции избран лавровый венец.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Бродского 1960 — начала 1970-х гг. привлекает прежде всего Пушкин, разочарованный в ценностях бытия, Пушкин — изгнанник, узник и певец свободы. В стихотворении “Перед памятником А. С. Пушкину в Одессе” (1969—1970?) уподобление героя автору стихотворения “К морю” откровенно прямолинейно: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 ощутил я, как сапог — дресва,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как марширующий раз-два,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тоску родства.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Поди, и он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здесь ждал того, чего нельзя не ждать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от жизни: воли. &lt;…&gt;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&lt;...&gt;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Наш нежный Юг,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где сердце сбрасывало прежде вьюк,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есть инструмент державы, главный звук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чей в мироздании — не сорок сороков,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рассчитанный на череду веков,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но лязг оков.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 отлит был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из их отходов тот, кто не уплыл,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тот, чей, давясь, проговорил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“Прощай, свободная стихия” рот,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чтоб раствориться навсегда в тюрьме широт,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где нет ворот.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Нет в нашем языке грустней строки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отчаянней и больше вопреки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себе написанной, и после от руки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сто лет копируемой. Так набегает на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пляж в Ланжероне за волной волна,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земле верна.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Герой Бродского как бы упрекает Пушкина за верность “земле”, за отказ от романтического побега за далекой свободой; он ощущает в прощании поэта с морем — символом воли мучительнейшее, физически явственное насилие над самим собой. Пушкин Бродского произносит слова прощания, “давясь”. Между тем, в пушкинском стихотворении “К морю” выбор поэта, хотя он и не внял призывам моря — “свободной стихии” — и остался, очарованный “могучей страстью”, на земле, не безнадежно трагичен. Для пушкинского героя бегство невозможно и ненужно: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 чем жалеть? Куда бы ныне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Я путь беспечный устремил?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&lt;...&gt;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Мир опустел... Теперь куда же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Меня б ты вынес, океан?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Судьба людей повсюду та же: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Где капля блага, там на страже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Уж просвещенье иль тиран.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Пушкинский герой, оставшийся “у берегов”, верен памяти о море и не винит себя в измене “свободной стихии”: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Прощай же, море! Не забуду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Твоей торжественной красы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 долго, долго слышать буду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Твой гул в вечерние часы.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 леса, в пустыни молчаливы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Перенесу, тобою полн,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Твои скалы, твои заливы,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 блеск, и тень, и говор волн.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“Прощаясь с морем, Пушкин прощался с югом, со всеми впечатлениями последних лет, со всеми поэтическими замыслами, родившимися на юге, с завершенным периодом жизни, со своей поэтической молодостью, с романтизмом” — писал о стихотворении “К морю” Б. В. Томашевский (Томашевский Б. В. Пушкин. Изд. 2-е. М., 1990. Т. 2. С. 272). Для пушкинского героя жизнь не закончена; для героя Бродского возможно лишь тягостное существование. Пушкинский герой — уроженец берега, сын земли; герой Бродского — житель моря, выброшенный на берег: он сравнивает себя с рыбой. А волны, символизирующие у Пушкина (не только в “К морю”, но и, например, в стихотворении “Кто, волны, вас остановил...”) свободу, в тексте Бродского ассоциируются с противоположным началом — с монотонной повторяемостью и “верностью земле”.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 такой трактовке морской стихии Бродский, однако же, тоже следует Пушкину — но не создателю стихотворения “К морю”, а автору строк “Так море, древний душегубец...”: “&lt;...&gt; В наш гнусный век / Седой Нептун земли союзник. / На всех стихиях человек — / Тиран, предатель или узник”. Аллюзия на этот пушкинский текст содержится в стихотворении Бродского “К Евгению” из цикла “Мексиканский дивертисмент” (1976). Принимает Бродский и другой пушкинский образ, символизирующий несвободу, — “глубину сибирских руд”. В стихотворении “Представление” (1986) подобие этого образа — пещера “гражданина” Российской империи и советской страны: “Дверь в пещеру гражданина не нуждается в “сезаме”. / То ли правнук, то ли прадед в рудных недрах тачку катит &lt;...&gt;“.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“Превращение” поэта в статую трактовано в стихотворении “Перед памятником А.С. Пушкину в Одессе” как лишение свободы: памятник “отлит” из “отходов” металла, пошедшего на оковы. Воображаемому грандиозному памятнику из пушкинского “Я памятник себе воздвиг нерукотворный...” Бродский противопоставляет реальный памятник Пушкину, но он символизирует не почитание поэта “народом”, а насилие над стихотворцем.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Упоминание о звоне кандалов в стихотворении “Перед памятником А. С. Пушкину в Одессе” соотносится со строками Пушкина “Как раз тебя запрут, / Посадят на цепь дурака” (“Не дай мне Бог сойти с ума”). Пушкинскому романтическому мотиву безумия поэта, прозревающему высшие тайны и отторгнутого и мучимого людьми, Бродский придает новый, глубоко личностный смысл. Трафаретный литературный мотив становится у Бродского средством самоописания “Я” и приобретает биографическую достоверность. Так “литература” становится “жизнью”, а единичное событие запечатлевается в “вечной” словесной формуле. Строки из стихотворения Пушкина “Не дай мне Бог сойти с ума” — может быть, самого “темного” из произведений поэта: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Да вот беда: сойти с ума,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&lt;...&gt;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Как раз тебя запрут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Посадят на цепь дурака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 сквозь решетку как зверька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Дразнить тебя придут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— превратились у Бродского в свидетельство о собственной судьбе — о судьбе узника. Романтический флер, обволакивающий образы у Пушкина, сорван: в тюрьме не безумец, а здравомыслящий человек, и травят его наяву — “Я входил вместо дикого зверя в клетку, / выжигал свой срок и кликуху гвоздем в бараке...” (1980).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Цитируется в стихотворении “Перед памятником А. С. Пушкину в Одессе” и пушкинское “Пора, мой друг, пора! покоя сердце просит...”: “И он, видать, здесь ждал того, чего нельзя не ждать / от жизни: воли”. Но двум противоположным и нераздельным ценностям Пушкина — покою и воле — Бродский противопоставляет одну только волю-свободу.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Реминисценции из пушкинского “...Вновь я посетил...” — стилистические формулы для описания судьбы поэта-изгнанника в стихотворении Бродского “1972 год” (1972). Стихотворение посвящено вынужденной разлуке поэта с родиной, отъезд уподоблен дантовскому переходу в загробный мир. Изгнание описано как возмездие за служение “речи родной, словесности”.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Приход в потусторонний мир у Бродского, однако, — не только поэтический образ, навеянный “Божественной комедией” флорентийского изгнанника. Мысли о смерти неизменно посещают героя Бродского: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Старение! Здравствуй, мое старение!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&lt;...&gt;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&lt;...&gt; Речь о саване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еще не идет. Но уже те самые,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кто тебя вынесет, входят в двери.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Стихотворение, написанное Бродским в образе тридцати двух лет, напоминает не только о Данте — герое “Божественной комедии”, оказавшемся в Аду, Чистилищу и Раю, “земную жизнь пройдя до середины” (то есть тридцатипятилетним — таковой, по средневековым представлениям, была половина жизненного срока, отпущенного человеку). Напоминает и о Пушкине, который, подойдя к тридцатилетнему рубежу и перейдя его, обратился к мыслям о грядущей кончине: в стихотворениях “Брожу ли я вдоль улиц шумных...”, “Элегия” (“Безумных лет угасшее веселье...”), “Пора, мой друг, пора! покоя сердце просит...”, “...Вновь я посетил...”. И вправду, в тексте Бродского есть реминисценция из “...Вновь я посетил...”: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Здравствуй, младое и незнакомое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племя! Жужжащее, как насекомое,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время нашло, наконец, искомое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лакомство в твердом моем затылке.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 мыслях разброд и разгром на темени.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Точно царица — Ивана в тереме,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чую дыхание смертной темени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фибрами всеми и жмусь к подстилке.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 пушкинском тексте нет трагических мотивов, а об изгнании вспоминается как о событии давнем и уже не вызывающем горечи. Герой Пушкина — это прежде всего человек, размышляющий о неизбежной смене поколений. Герой Бродского — именно поэт, дорого заплативший за свой дар. Бродский подчиняет самоописанию романтическому канону — ибо в его случае поэтическая мифология совпала с жизнью. “Было бы упрощением связывать постоянную для Бродского тему ухода, исчезновения автора из “пейзажа”, вытеснение его окружающим пространством только с биографическими обстоятельствами: преследованиями на родине, ссылкой, изгнанием, эмиграцией. Поэтическое изгнанничество предшествовало биографическому, и биография как бы заняла место, уже приготовленное для нее поэзией. Но то, что без биографии было бы литературным общим местом, то есть и начиналось бы, и кончалось в рамках текста, “благодаря” реальности переживаний, “вырвалось” за пределы страницы стихов, заполнив пространство “автор — текст — читатель”. Только в этих условиях автор трагических стихов превращается в трагическую личность”, — так пишут о поэзии Бродского М.Ю. и Ю.М. Лотманы (Лотман М. Ю., Лотман Ю. М. Между вещью и пустотой (Из наблюдений над поэтикой сборника Иосифа Бродского “Урания”) // Лотман Ю. М. Избранные статьи: В 3 Таллинн, 1993. Т. 3. С. 303—304).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 “1972 годе” тотально отчуждение “Я” от других. У Пушкина “младое и незнакомое племя” — семья разросшихся молодых деревьев; лирический герой приветствует их “поздний возраст”, пусть и не он сам, а лишь его внук увидит эти деревья взрослыми и могучими. Смерть осознана как неизбежный закон жизни и принята.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Иное у Бродского. “Племя младое и незнакомое” у него — это младшее поколение, будущие могильщики (в буквальном смысле слова) поэта; незнакомые не только потому, что моложе, но и потому, что они — иностранцы, жители тех земель, где отныне поселился изгнанник.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Мотив “племени младого, незнакомого” также переиначен в стихотворении “Сидя в тени” (1983): одинокий лирический герой (“отец”), уподобленный дереву (живому началу) противопоставлен бессердечным и жестоким детям — создателям грядущей цивилизации (они соотнесены с множеством деревьев, с садом):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Прижавшееся к стене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дерево и его тень.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 тень интересней мне.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&lt;...&gt;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Я смотрю на детей,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бегающих в саду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II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Свирепость их резвых игр,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их безутешный плач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смутили б грядущий мир,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если бы он был зряч.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&lt;...&gt;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Дети вытеснят нас в пригородные сады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памяти — тешить глаз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формами пустоты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&lt;...&gt;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Эта песнь без конца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есть результат родства,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серенада отца,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ария меньшинства,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петая сумме тел,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 просторечьи толпе…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Пушкинская антитеза “старые ели, символизирующие старшее поколении — молодые деревья (поросль), олицетворяющие поколения будущие” зашифрована Бродским в “Эклоге 5-ой (летней)” (1980): “И внезапная мысль о себе подростка: / “выше кустаринка, ниже ели” / оглушает его на всю жизнь”. Пушкинское выражение “племя младое” превращено метафору волн, обозначающих время, в стихотворении “На смерть Т. С. Элиота” (1965): “Уже не Бог, а только Время, Время / зовет его. И молодое племя / огромных волн его движенья бремя &lt;...&gt; легко возносит”. Своеобразная вариация “...Вновь я посетил...” — стихотворение Бродского “От окраины к центру” (1962): “Вот я вновь посетил / эту местность любви, полуостров заводов, / парадиз мастерских и аркадию фабрик / &lt;...&gt; я опять прошептал: вот я снова в младенческих ларах”. Пушкинский мотив приобретает в этом стихотворении одновременно и серьезный, и иронический смыслы. Реминисценция из “...Вновь я посетил...” открывает также стихотворение “Пенье без музыки” (1970): “обо мне вспомянешь все-таки в то Лето / Господне и вздохнешь &lt;...&gt;“; смысл исходного текста при этом “вывернут наизнанку”: у Пушкина говорится о преемственности поколений, у Бродского — о разлуке с любимой, которая непреодолима даже в воспоминании.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Пушкин пишет о возвращении в родные места, в Михайловское, которое было для него не только “мраком заточенья”, но и поэтическим “приютом”. Бродский в “1972 годе” говорит об изгнании, о впервые увиденной “незнакомой местности”. Здесь его герою суждено умереть, “теряя / волосы, зубы, глаголы, суффиксы”. Пока что, в “1972 годе”, он роняет цитаты — из “...Вновь я посетил...”, из “Слова о полку Игореве”, из “Доктрины” Г. Гейне... Из Евангелия от Луки: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Все, что творил я, творил не ради я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славы в эпоху кино и радио,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 ради речи родной, словесности.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За каковое раченье-жречество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(сказано ж доктору: сам пусть лечится)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чаши лишившись в пиру Отечества,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ныне стою в незнакомой местности.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Слова о “докторе” — прозрачная аллюзия на речение Христа из Евангелия от Луки (гл. 4, ст. 23): «Он сказал им: конечно, вы скажете Мне присловие: “врач! исцели Самого себя; сделай и здесь, в Твоем отечестве, то, что, мы слышали, было в Капернауме”».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Бродский соотносит себя себя с Христом. Скрытое уподобление “Я” Богу есть и в других стихотворениях, например, в “Рождественской звезде” (1987): одиночество в бытии, отчужденность от людей заставляют Бродского сравнить свое место в бытии с земной жизнью Богочеловека. В рождественском стихотворении </w:t>
      </w:r>
      <w:smartTag w:uri="urn:schemas-microsoft-com:office:smarttags" w:element="metricconverter">
        <w:smartTagPr>
          <w:attr w:name="ProductID" w:val="1991 г"/>
        </w:smartTagPr>
        <w:r w:rsidRPr="008D1C19">
          <w:t>1991 г</w:t>
        </w:r>
      </w:smartTag>
      <w:r w:rsidRPr="008D1C19">
        <w:t xml:space="preserve">. “Presepio” (итал. “Ясли”) “Ты” — одновременно и лирический герой, и Бог-сын.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Но у евангельской цитаты в “1972 годе” есть и другой смысл. Она окружена аллюзиями на пушкинскую поэзию. Именование стихотворства “жречеством” ведет к стихотворениям Пушкина “Поэт и толпа” и “Поэту”, в которых служитель Муз и Аполлона наделен чертами языческого священнослужителя — жреца.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Пушкинские образы, воплощающие мотив поэта и поэзии, стали у Бродского идеальными словесными формулами: тема поэзии неразрывно связана для автора “Урании” и “Пейзажа с наводнением” именно с Пушкиным.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&lt;...&gt; Я слышу Музы лепет.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Я чувствую нутром, как Парка нитку треплет: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мой углекислый вздох пока что в вышних терпят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— пишет Бродский в стихотворении “Пятая годовщина (4 июня 1977)”. Реминисценция из Пушкина обманчива, “зеркальна”: в пушкинских “Стихах, сочиненных ночью, во время бессонницы” лепечет не Муза, но Парка, символизирующая время и исполняющая волю судьбы: “Парки бабье лепетанье”. Но для Бродского Муза и Парка — сестры: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Две молодых брюнетки в библиотеке мужа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той из них, что прекрасней. Два молодых овала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сталкиваются над книгой в сумерках, точно Муза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объясняет Судьбе то, что надиктовала.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(“Римские элегии”, 1981)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Поэзия и время для Бродского — два родственных начала (ср. высказывания поэта об этом собранные в кн.: Стрижевская Н. Письмена перспективы: О поэзии Иосифа Бродского, М., 1997. С. 290—291). Поэтому Парка и Муза в его стихах напоминают друг друга и нередко появляются вместе.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 слово “доктор”, может быть, также указывает на Пушкина. В статье Льва Шестова “А. С. Пушкин” русский поэт сравнивается с врачевателем: его поэзия — “это победа врача — над больным и его болезнью. И где тот больной, который не благословит своего исцелителя, нашего гениального поэта — Пушкина?” (Пушкин в русской философской критике: Конец XIX — первая половина XX вв. М., 1990. С. 206). Лев Шестов — один из наиболее близких Бродскому философов; об этом поэт говорил неоднократно. Но не содержится ли в “1972 годе” скрытый спор не только с Пушкиным (жизнь поэта для Бродского — изгнание и одиночество, а смерть страшна, и ее не заклясть стихами), но и с Львом Шестовым? Для религиозного скептика и агностика — лирического героя Бродского исцелителя нет, и ни Христос, ни поэт — Пушкин не уврачуют душевных язв?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Описывая свою судьбу изгнанника, Бродский прибегает к реминисценции из мандельштамовского стихотворения “За гремучую доблесть могучих веков...”, ставшего как бы предсказанием трагической судьбы автора. Строка Бродского “чаши лишившись в пиру Отечества” — точная цитата мандельштамовского стиха “Я лишился и чаши на пире отцов”. Мандельштамовский текст, как и “1972 год” Бродского, соотнесен с пушкинским “...Вновь я посетил...”.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 поэзии Бродского, созданной после эмиграции на Запад, романтический мотив гонимого за слово и стойко принимающего страдания поэта вытесняется новым повторяющимся, сквозным мотивом эфемерности, не-существования лирического “Я”. Намеченный еще в стихотворениях, написанных через год после отъезда — “Лагуне” (1973) и “На смерть друга” (1973), — он будет развернут в текстах, вошедших в книгу “Урания” (1987).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 психологическом отношении показательно нежелание Бродского в эмиграции как-либо упоминать о своем аресте, заключении в психиатрическую больницу, ссылке. Более того, вынужденный отвечать на вопросы об этих событиях, он рисовал картину несоизмеримо более благостную, чем она была на самом деле. (См. об этом: Штерн Л. Бродский: Ося, Иосиф, Joseph. М., 2001. С. 121—123.). По словам мемуаристки, “Бродский категорически не желал ни быть, ни считаться жертвой. Ему была невыносима сама мысль, что травля, суды, психушки, ссылка — именно эти гонения на родине способствовали его взлету на недосягаемые вершины мировой славы” (Там же. С. 122).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Романтический мотив одиночества поэта сохраняет значение для Бродского, рефлектирующего над вопросом об отношении стихотворца и публики. В интервью Дж. Глэду поэт утверждал, правда, употребив неслучайную оговорку по поводу “романтической дикции”: “Что касается реакции аудитории и публики, то, конечно, приятнее, когда вам аплодируют, чем, когда вас освистывают, но я думаю, что в обоих случаях — эта реакция неадекватна, и считаться с ней или, скажем, горевать по поводу ее отсутствия, бессмысленно. У Александра Сергеевича есть такая фраза: “Ты царь, живи один, дорогою свободной иди, куда ведет тебя свободный ум”. В общем, при всей ее романтической дикции, в этой фразе есть колоссальное здоровое зерно. Действительно, в конечном счете, ты сам по себе, единственный тет-а-тет, который есть у литератора, а тем более у поэта. Это тет-а-тет с его языком, с тем, как он этом язык слышит” (Настигнуть утраченное время; Интервью Джона Глэда с лауреатом Нобелевской премии Иосифом Бродским. Из цикла “Беседы в изгнании: мозаика русской эмигрантской литературы” // Время и мы: Альманах литературы и общественных проблем. М.; Нью-Йорк, 1990. С. 287).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Но превосходство поэта над другими уже не декларируется в стихотворных текстах, а мотив изгнанничества и страданий за слово сохраняется только в стихах, посвященных событиям прошлой жизни, как в “Я входил вместо дикого зверя в клетку...” (1980). Действительность перестала следовать литературной модели, поэзия больше не опережала жизнь, не выступала в креативной по отношению к ней роли. “Роли” знаменитого поэта и уважаемого университетского профессора славистики не соответствовали амплуа романтического героя, и пушкинского поэта в том числе. Бродский обратился к новым формам воссоздания своего второго “Я” в поэзии.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Горациевско-пушкинский образ воображаемого памятника, символизирующего долговечную славу стихотворца, в поэзии Бродского сохраняется, но сама возможность существования такого монумента Бродским отрицается: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Я не воздвиг уходящей к тучам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каменной вещи для их острастки.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(“Римские элегии”)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Полемически соотнесены с горациевской одой еще ранние строки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Памятник самому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себе, одному,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не всадник с копьем,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не обелиск —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вверх острием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диск.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(“Маятник о двух ногах...”, 1965)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Обелиск соотнесен с горациевскими царственными пирамидами, которые переживет слава поэта: обелиск и пирамиды сходны по своему облику. “Всадник с копьем” ассоциируется прежде всего со святым Георгием — самым известным всадником с копьем. Отрицание сходства со святым Георгием означает отказ от притязаний на роль поэта-победителя Зла (“дракона” — змея, убитого святым Георгием). Но это отрицание возможно лишь при некотором сходстве святого Георгия и стихотворца. Такое уподобление основано на визуальном подобии поэт, макающий перо в чернильницу — святой Георгий, поражающий дракона. В более позднем стихотворении Бродского этот образ воплощается в тексте: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И макает в горло дракона златой Егорий,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как в чернила, перо.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(“Венецианские строфы (2)”)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Если же памятник поэту представлен как существующий наяву, то это существование полуэфемерно и, может быть, недолговечно. Монумент воздвигнут “впопыхах”, это обелиск, сходящиеся линии которого ассоциируются с утратой перспективы, с несвободой и агрессией, устремленной к небу: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Воздвигнутый впопыхах,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обелиск кончается нехотя в облаках,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как удар по Эвклиду, как след кометы.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(“Квинтет”)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Воображаемый монумент предстает у Бродского не мысленным, но физически ощутимым. Это не более чем громоздкая “вещь”, ничем не отличающаяся от других вещей; сходным образом горациевско-пушкинский памятник превращается в “твердую вещь” и “камень-кость” (“Aere perennius”).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Жизнь поэта не мыслится как исполненная особенного смысла, которого лишено существование прочих людей: “памятника” не удостоится, в него не превратится ни лирический герой — стихотворец, ни его мать — домохозяйка: “Видимо, никому из нас не сделаться памятником” (“Мысль о тебе удаляется, как разжалованная прислуга...”, 1987).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Бродский не только придает новую смысл горациевско-пушкинскому образу “памятника”, но и оспаривает представление создателя стихотворения “Я памятник себе воздвиг нерукотворный...” о природе долгой жизни поэта в памяти потомков. Ответ Пушкину — стихотворение “На столетие Анны Ахматовой” (1989):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Страницу и огонь, зерно и жернова,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секиры острие и усеченный волос —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Бог сохраняет все; особенно — слова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прощенья и любви, как собственный свой голос.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&lt;...&gt;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Великая душа, поклон через моря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за то, что их нашла, — тебе и части тленной,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что спит в родной земле, тебе благодаря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обретшей речи дар в глухонемой вселенной.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Элементы бытия представлены в тексте через пары контрастирующих вещей, через антитезы “вещь — орудие ее уничтожения”: “страница — [сжигающий ее] огонь”, “зерно — [перемалывающие его] жернова”, “волос — [рассекающая его] секира”. Лишь элементы четвертой пары, относящиеся не к физической, а к духовной сфере — “прощенье и любовь” — синонимы, а не части антитезы. “Слова прощенья и любви” — отголосок, эхо пушкинских слов “в мой жестокий век восславил я свободу / И милость к падшим призывал”, в которых названы основания для благодарной памяти народа о поэте. Бродский солидаризируется с пушкинским пониманием заслуг поэта (у Горация такими заслугами были новаторские черты стихотворной формы — перенесение в римскую литературу греческих размеров). Впрочем, М. О. Гершензоном было высказано “особое мнение”, что призыв к милосердию и воспевание свободы являются главными заслугами не для самого поэта, не для Пушкина, а для “народа”. Автор же ценит превыше всего художественные достоинства своих творений, а не свои нравственные заслуги (Гершензон М. О. Мудрость Пушкина. Томск, 1997. С. 37—52). Но это мнение не получило распространения.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>Следуя пушкинскому пониманию права поэта на благодарность потомков, Бродский совсем иначе представляет посмертную жизнь стихотворца. И у Горация, и у Пушкина тленной “части” поэта противопоставляется “часть”, должная избежать уничтожения: “Non omnis moriar, multaque pars mei / Vitabit Libitinam”; “Нет, весь я не умру — душа в заветной лире / Мой прах переживет и тленья убежит &lt;...&gt;”. Пушкинская формула бессмертия “не находит себе соответствия в многовековой традиции, стоящей за “Памятником”, она индивидуально-пушкинская и несомненно главная для стихотворения, составляет его смысловой центр. &lt;...&gt; Здесь найден ответ на самый мучительный вопрос последних лет: каков “спасенья верный путь”, как спасется душа, если спасется. Судьба у поэта “необщая”, душа его неотделима от лиры и именно в лире переживет его прах” (Сурат И. З. Жизнь и лира. О Пушкине: статьи. М., 1995. С. 153—154). Пушкин впервые ввел в стихотворение, принадлежащее традиции Горациевой оды “К Мельпомене”, слово “душа” (jтмечено С. Г. Бочаровым: Бочаров С. Г. О художественных мирах. М., 1985. С. 74). С этим словом он ввел также и “тему личного бессмертия, не какого-то особого, метафорического бессмертия, не какого-то особого, метафорического бессмертия поэта, а истинного бессмертия в его религиозном смысле. Также он первым ввел сюда и тему “веления Божия” &lt;...&gt;” (Сурат И. З. Жизнь и лира. С. 156). Образ поэта у Пушкина сакрализован, и поэтическое бессмертие мыслится как отражение и подобие бессмертия Христа: «“Нерукотворный” это ведь не просто “духовный”, “нематериальный”; этим словом определяется в Новом Завете лишь то, что сотворено Богом, а Пушкин претворяет евангельский мотив в лирическое высказывание от первого лица &lt;...&gt;. Тут сразу задана та царственная надмирность поэта (“вознесся выше он”), которая ощущается и дальше, в каждой строфе “Памятника”. Прав Дэвид Хинтли, что уже само это особое, лишь однажды употребленное Пушкиным слово “устанавливает связь между делом поэта и делом Христа”» (Там же. С</w:t>
      </w:r>
      <w:r w:rsidRPr="008D1C19">
        <w:rPr>
          <w:lang w:val="en-US"/>
        </w:rPr>
        <w:t xml:space="preserve">. 152; </w:t>
      </w:r>
      <w:r w:rsidRPr="008D1C19">
        <w:t>цитируется</w:t>
      </w:r>
      <w:r w:rsidRPr="008D1C19">
        <w:rPr>
          <w:lang w:val="en-US"/>
        </w:rPr>
        <w:t xml:space="preserve"> </w:t>
      </w:r>
      <w:r w:rsidRPr="008D1C19">
        <w:t>статья</w:t>
      </w:r>
      <w:r w:rsidRPr="008D1C19">
        <w:rPr>
          <w:lang w:val="en-US"/>
        </w:rPr>
        <w:t xml:space="preserve">: Huntly D.—G. On the Source of Pushkin’s nerukotvornyj... // Die Welt der Slaven. </w:t>
      </w:r>
      <w:r w:rsidRPr="008D1C19">
        <w:t xml:space="preserve">1970. Jg. 15. Heft. 4. S. 362.).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Как заметил О. А. Проскурин, “творчество как нерукотворный памятник — в контексте поздней пушкинской поэзии логическое развитие темы Imitatio Christi” (подражания Христу; лат. — А. Р.) и “постисторический финал имплицитно подразумевается в “Памятнике”. Формула “всяк сущий в ней язык” — резкий, как бы курсивный библеизм — отсылает, помимо прочего, к пасхальному песнопению: “Христос воскресе из мертвых смертию смерть поправ и сущим во гробех живот даровав”. Грядущая слава поэта должна соединиться с грядущей Славой Христовой, а путь “подражания Христу” — завершиться в эсхатологической вечности” (Проскурин О. А. Поэзия Пушкина, или Подвижный палимпсест. С. 290, 300).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Христианские оттенки смысла пушкинского образа памятника и стремление вписать вариацию античного, горациевского текста в христианскую традицию привели, однако, к идее, не соответствующей ортодоксальному пониманию спасения и оправдания: основанием для бессмертия оказывались не христианские добродетели, а поэтическое призвание. Бессмертие связывалось с “лирой”, и потому у читателей могло зародиться представление, что вне “заветной лиры”, не для “пиита” бессмертие проблематично.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Бродский, от ортодоксии Церкви далекий, противопоставляет, однако же, пушкинскому мотиву ортодоксальную трактовку темы оправдания. “Душа” живет и после смерти поэта, но не потому, что это именно душа поэта. Творческий дар покойной Анны Ахматовой ценит и прославляет младший поэт — Бродский, но текст нигде не утверждает связь бессмертия и стихотворства. Пушкин, вслед за Горацием, противопоставлял смертную и бессмертную “части”, Бродский обращается к привычной христианской антитезе “душа — тело (часть тленная)”: душа едина и неразделима, она не именуется частью, “часть” — тело, бренное и, когда его оставляет душа, лишенное божественного начала.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Отстраняясь от самовозвеличивающей горациевско-пушкинской традицией, Бродский прославляет не себя, но умершего старшего поэта. Как тот “пиит”, который, как утверждал Пушкин, будет хранить память о нем “в подлунном мире”. </w:t>
      </w:r>
    </w:p>
    <w:p w:rsidR="009976C0" w:rsidRPr="008D1C19" w:rsidRDefault="009976C0" w:rsidP="009976C0">
      <w:pPr>
        <w:spacing w:before="120"/>
        <w:ind w:firstLine="567"/>
        <w:jc w:val="both"/>
      </w:pPr>
      <w:r>
        <w:t>***</w:t>
      </w:r>
      <w:r w:rsidRPr="008D1C19">
        <w:t xml:space="preserve">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В поэтической памяти Бродского Пушкин — другое имя самой словесности. Показательно именование в “Эклоге 4-ой (зимней)” (1980) “Евгения Онегина” (Бродский цитирует строку “Шалун уж заморозил пальчик” из второй строфы пятой главы) просто “русским стихотвореньем”. А в стихотворении “К Евгению” Бродский назовет самого Пушкина просто “поэтом”. Это глубоко неслучайно. Пушкинская поэзия для Бродского — это сущность русской поэзии вообще, ее квинтэссенция, а имя Пушкина — другое имя самой словесности. Если память находит книгу, то это, очевидно, будет книга Пушкина: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память бродит по комнатам в сумерках,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точно вор, шаря в шкафах, роняя на пол роман...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(“Келломяки”)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Память ищет прожитую жизнь и находит роман — пушкинский роман в стихах “Евгений Онегин”: ведь именно его автор завершил свое сочинение метафорой “роман жизни”. </w:t>
      </w:r>
    </w:p>
    <w:p w:rsidR="009976C0" w:rsidRDefault="009976C0" w:rsidP="009976C0">
      <w:pPr>
        <w:spacing w:before="120"/>
        <w:ind w:firstLine="567"/>
        <w:jc w:val="both"/>
      </w:pPr>
      <w:r w:rsidRPr="008D1C19">
        <w:t xml:space="preserve">Пушкинская поэзия для Бродского — классический фон, высшая форма поэтического языка как такового. Поэтому неизменно и повторяющееся обращение Бродского к пушкинским стихам, и их “переписывание”. Пушкин сказал главное, наметил, пусть вчерне, основы и образец для русского стихотворства. И Бродский пишет поверх пушкинских “черновиков”, борясь с их автором, оспаривая его и именно этим признавая его заслуги и место в русской поэзии. </w:t>
      </w:r>
    </w:p>
    <w:p w:rsidR="009976C0" w:rsidRPr="008D1C19" w:rsidRDefault="00AB32A9" w:rsidP="009976C0">
      <w:pPr>
        <w:spacing w:before="120"/>
        <w:ind w:firstLine="567"/>
        <w:jc w:val="both"/>
      </w:pPr>
      <w:r>
        <w:pict>
          <v:rect id="_x0000_i1025" style="width:159.05pt;height:.75pt" o:hrpct="330" o:hrstd="t" o:hr="t" fillcolor="#9d9da1" stroked="f"/>
        </w:pic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 xml:space="preserve">[1] Новейший подробный свод различных толкований выражения “Александрийский столп”(Александровская колонна или Александрийский маяк) приведен в кн.: Проскурин О. А. Поэзия Пушкина, или Подвижный палимпсест. М., 1999. С. 275—300. Автор — сторонник мнения, что “Александрийский столп” — это именно и только Александровская колонна. Мне представляется, что это выражение полисемантично и указывает также и на Александрийский маяк как на одно из чудес света, в этом отношении, а также по географическому положению эквивалентное пирамидам в оде Горация — первоисточнике пушкинского текста. Впрочем, это особая тема. </w:t>
      </w:r>
    </w:p>
    <w:p w:rsidR="009976C0" w:rsidRPr="008D1C19" w:rsidRDefault="009976C0" w:rsidP="009976C0">
      <w:pPr>
        <w:spacing w:before="120"/>
        <w:ind w:firstLine="567"/>
        <w:jc w:val="both"/>
      </w:pPr>
      <w:r w:rsidRPr="008D1C19">
        <w:t>“Глава непокорная” у Пушкина также содержит оттенки значения “царственность” (ср. “царскую главу / Народов” в “Вольности” и мотив отсечения головы поэта якобинцами, обезглавившими также короля, в “Андрее Шенье”); “царем” стихотворец именуется в “Поэте” Пушкина.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6C0"/>
    <w:rsid w:val="001A35F6"/>
    <w:rsid w:val="003C0D91"/>
    <w:rsid w:val="007D6662"/>
    <w:rsid w:val="00811DD4"/>
    <w:rsid w:val="008D1C19"/>
    <w:rsid w:val="009976C0"/>
    <w:rsid w:val="00AB32A9"/>
    <w:rsid w:val="00AC0666"/>
    <w:rsid w:val="00E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4754C7B-8F99-4110-876E-47179483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6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76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5131</Words>
  <Characters>29250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“Видимо, никому из нас не сделаться памятником”: реминисценции из пушкинских стихотворений о поэте и поэзии у И</vt:lpstr>
    </vt:vector>
  </TitlesOfParts>
  <Company>Home</Company>
  <LinksUpToDate>false</LinksUpToDate>
  <CharactersWithSpaces>34313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“Видимо, никому из нас не сделаться памятником”: реминисценции из пушкинских стихотворений о поэте и поэзии у И</dc:title>
  <dc:subject/>
  <dc:creator>User</dc:creator>
  <cp:keywords/>
  <dc:description/>
  <cp:lastModifiedBy>admin</cp:lastModifiedBy>
  <cp:revision>2</cp:revision>
  <dcterms:created xsi:type="dcterms:W3CDTF">2014-02-20T07:06:00Z</dcterms:created>
  <dcterms:modified xsi:type="dcterms:W3CDTF">2014-02-20T07:06:00Z</dcterms:modified>
</cp:coreProperties>
</file>