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8F" w:rsidRPr="00E2448F" w:rsidRDefault="00E2448F" w:rsidP="00E2448F">
      <w:pPr>
        <w:spacing w:before="100" w:beforeAutospacing="1" w:after="100" w:afterAutospacing="1" w:line="36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color w:val="0000FF"/>
          <w:sz w:val="20"/>
          <w:lang w:eastAsia="ru-RU"/>
        </w:rPr>
        <w:t>Денежное обращение и денежная система</w:t>
      </w:r>
    </w:p>
    <w:p w:rsidR="00E2448F" w:rsidRPr="00E2448F" w:rsidRDefault="00E2448F" w:rsidP="00E2448F">
      <w:pPr>
        <w:spacing w:before="100" w:beforeAutospacing="1" w:after="100" w:afterAutospacing="1" w:line="36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i/>
          <w:iCs/>
          <w:color w:val="0000FF"/>
          <w:sz w:val="20"/>
          <w:lang w:eastAsia="ru-RU"/>
        </w:rPr>
        <w:t>Денежное обращение: сущность формы денежного обращения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органами государственной власти. Движение денег при выполнении ими всех своих функций в наличной и безналичной форме и представляет собой денежное обращение.</w:t>
      </w:r>
    </w:p>
    <w:p w:rsidR="00E2448F" w:rsidRPr="00E2448F" w:rsidRDefault="00E2448F" w:rsidP="00E2448F">
      <w:pPr>
        <w:shd w:val="clear" w:color="auto" w:fill="FFFFFF"/>
        <w:spacing w:before="100" w:beforeAutospacing="1" w:after="100" w:afterAutospacing="1" w:line="240" w:lineRule="auto"/>
        <w:ind w:left="709"/>
        <w:jc w:val="both"/>
        <w:rPr>
          <w:rFonts w:ascii="Times New Roman" w:eastAsia="Times New Roman" w:hAnsi="Times New Roman"/>
          <w:color w:val="3B5179"/>
          <w:sz w:val="24"/>
          <w:szCs w:val="24"/>
          <w:lang w:eastAsia="ru-RU"/>
        </w:rPr>
      </w:pPr>
      <w:r w:rsidRPr="00E2448F">
        <w:rPr>
          <w:rFonts w:ascii="Times New Roman" w:eastAsia="Times New Roman" w:hAnsi="Times New Roman"/>
          <w:b/>
          <w:bCs/>
          <w:i/>
          <w:iCs/>
          <w:color w:val="0000FF"/>
          <w:sz w:val="20"/>
          <w:lang w:eastAsia="ru-RU"/>
        </w:rPr>
        <w:t>Денежное обращение</w:t>
      </w:r>
      <w:r w:rsidRPr="00E2448F">
        <w:rPr>
          <w:rFonts w:ascii="Times New Roman" w:eastAsia="Times New Roman" w:hAnsi="Times New Roman"/>
          <w:i/>
          <w:iCs/>
          <w:color w:val="0000FF"/>
          <w:sz w:val="20"/>
          <w:lang w:eastAsia="ru-RU"/>
        </w:rPr>
        <w:t xml:space="preserve">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w:t>
      </w:r>
      <w:bookmarkStart w:id="0" w:name="_ftnref1"/>
      <w:r w:rsidRPr="00E2448F">
        <w:rPr>
          <w:rFonts w:ascii="Arial" w:eastAsia="Times New Roman" w:hAnsi="Arial" w:cs="Arial"/>
          <w:color w:val="FFA200"/>
          <w:sz w:val="18"/>
          <w:lang w:eastAsia="ru-RU"/>
        </w:rPr>
        <w:t>*</w:t>
      </w:r>
      <w:bookmarkEnd w:id="0"/>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  финансовыми институтами различного назначения; между финансовыми институтами и физическими лицами.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 Из процесса денежного обращения, таким образом, возможно вычленение денежного оборота.</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Денежный оборот есть проявление сущности денег в их движении. Денежный оборот охватывает процессы распределения и обмена. На его объем и структуру оказывают влияние стадии производства и потребления. Длительный производственный процесс, требующий повышенного объема производственных запасов, увеличивает денежный оборот, связанный с их приобретением. Выпуск трудоемких изделий относительно увеличивает размеры денежного  оборота по  оплате труда и,  соответственно, денежных доходов населения, направленных на потребление.</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Денежный оборот страны равен сумме всех платежей, совершаемых тремя субъектами в наличной и безналичной форме за определенный период. Деньги обслуживают обмен стоимости ВВП и НД, в том числе, кругооборот капитала, обращение товаров и оказание услуг, движение ссудного капитала. </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Составной частью денежного оборота является платежный оборот, в котором деньги функционируют как средство платежа и используются для погашения обязательств. Платежный оборот осуществляется как в безналичной, так и в наличной формах.</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Денежное обращение подразделяется на две сферы: наличную и безналичную.</w:t>
      </w:r>
    </w:p>
    <w:p w:rsidR="00E2448F" w:rsidRPr="00E2448F" w:rsidRDefault="00E2448F" w:rsidP="00E2448F">
      <w:pPr>
        <w:shd w:val="clear" w:color="auto" w:fill="FFFFFF"/>
        <w:spacing w:before="100" w:beforeAutospacing="1" w:after="100" w:afterAutospacing="1" w:line="36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color w:val="0000FF"/>
          <w:sz w:val="20"/>
          <w:lang w:eastAsia="ru-RU"/>
        </w:rPr>
        <w:t>Формы денежного обращения</w:t>
      </w:r>
    </w:p>
    <w:p w:rsidR="00E2448F" w:rsidRPr="00E2448F" w:rsidRDefault="00E2448F" w:rsidP="00E2448F">
      <w:pPr>
        <w:shd w:val="clear" w:color="auto" w:fill="FFFFFF"/>
        <w:spacing w:before="100" w:beforeAutospacing="1" w:after="100" w:afterAutospacing="1" w:line="240" w:lineRule="auto"/>
        <w:ind w:left="709"/>
        <w:jc w:val="both"/>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Налично-денежное обращение.</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Налично-денежное обращение – движение наличных денег в сфере обращения и выполнение ими двух функций (средства платежа и средства обращения).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Наличными деньгами производятся расчеты:</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•предприятий, учреждений и организаций с населением;</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•между отдельными гражданами на товарных и продуктовых рынках;</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•частично расчеты населения с финансово-кредитной системой;</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ограниченных размерах платежи между предприятиями и организациями потребкооперации.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Таким образом, сфера использования наличие денежных платежей ограничена, в основном, доходами населения.</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Причины роста налично-денежного оборота многообразны. К ним можно отнести: экономический кризис, кризис неплатежей, кризис наличности, плохая организация системы межбанковских расчетов, замедление расчетов. Сознательное сокращение прибыли и доходов предпринимателей с целью ухода от налогов и расширение наличных платежей за пределами банковской системы</w:t>
      </w:r>
      <w:bookmarkStart w:id="1" w:name="_ftnref2"/>
      <w:r w:rsidRPr="00E2448F">
        <w:rPr>
          <w:rFonts w:ascii="Arial" w:eastAsia="Times New Roman" w:hAnsi="Arial" w:cs="Arial"/>
          <w:color w:val="FFA200"/>
          <w:sz w:val="18"/>
          <w:lang w:eastAsia="ru-RU"/>
        </w:rPr>
        <w:t>*</w:t>
      </w:r>
      <w:bookmarkEnd w:id="1"/>
      <w:r w:rsidRPr="00E2448F">
        <w:rPr>
          <w:rFonts w:ascii="Times New Roman" w:eastAsia="Times New Roman" w:hAnsi="Times New Roman"/>
          <w:color w:val="0000FF"/>
          <w:sz w:val="20"/>
          <w:szCs w:val="20"/>
          <w:lang w:eastAsia="ru-RU"/>
        </w:rPr>
        <w:t>.</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центральный банк. Он выпускает наличные деньги в обращение и изымает их, если они пришли в негодность, а также заменяет деньги на новые образцы купюр и монет.</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Срок службы бумажной купюры в РФ – 7 месяцев, а разменной монеты – более 10 лет. Банкноты достоинством в 1$ находятся в обращении 18 месяцев, 50$ - 4 года, 100$ - 9 лет, потом из-за износа изымаются из обращения и утилизируются.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Наличное обращение есть необычайно дорогостоящая вещь, которая огромным бременем ложится на всю экономику. Затраты народного хозяйства, связанные с наличным денежным обращением, составляют до нескольких процентов всего валового продукта. Платежи наличными деньгами преобладали до конца XIX века.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 В настоящее время во всем мире идет интенсивный процесс сокращения наличного денежного обращения. </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современных условиях удельный вес наличных денег в общей массе денежных средств, особенно в промышленно развитых государствах, невелик, например, в США он составляет около 8% .</w:t>
      </w:r>
      <w:bookmarkStart w:id="2" w:name="_ftnref3"/>
      <w:r w:rsidRPr="00E2448F">
        <w:rPr>
          <w:rFonts w:ascii="Arial" w:eastAsia="Times New Roman" w:hAnsi="Arial" w:cs="Arial"/>
          <w:color w:val="FFA200"/>
          <w:sz w:val="20"/>
          <w:lang w:eastAsia="ru-RU"/>
        </w:rPr>
        <w:t>*</w:t>
      </w:r>
      <w:bookmarkEnd w:id="2"/>
    </w:p>
    <w:p w:rsidR="00E2448F" w:rsidRPr="00E2448F" w:rsidRDefault="00E2448F" w:rsidP="00E2448F">
      <w:pPr>
        <w:shd w:val="clear" w:color="auto" w:fill="FFFFFF"/>
        <w:spacing w:before="100" w:beforeAutospacing="1" w:after="100" w:afterAutospacing="1" w:line="36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color w:val="0000FF"/>
          <w:sz w:val="20"/>
          <w:lang w:eastAsia="ru-RU"/>
        </w:rPr>
        <w:t>Безналичное денежное обращение</w:t>
      </w:r>
    </w:p>
    <w:p w:rsidR="00E2448F" w:rsidRPr="00E2448F" w:rsidRDefault="00E2448F" w:rsidP="00E2448F">
      <w:pPr>
        <w:shd w:val="clear" w:color="auto" w:fill="FFFFFF"/>
        <w:spacing w:before="100" w:beforeAutospacing="1" w:after="100" w:afterAutospacing="1" w:line="240" w:lineRule="auto"/>
        <w:ind w:left="709"/>
        <w:jc w:val="both"/>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Безналичное обращение.</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Безналичный денежный оборот охватывает расчеты между:</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•предприятиями, учреждениями, организациями разных форм собственности, имеющими счета в кредитных учреждениях;</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лицами и кредитными учреждениями по получению и возврату кредита;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лицами и населением по выплате заработной платы, доходов по ценным бумагам;</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Размер безналичного оборота зависит от объема товаров в стране и уровня цен.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bookmarkStart w:id="3" w:name="_ftnref4"/>
      <w:r w:rsidRPr="00E2448F">
        <w:rPr>
          <w:rFonts w:ascii="Arial" w:eastAsia="Times New Roman" w:hAnsi="Arial" w:cs="Arial"/>
          <w:color w:val="FFA200"/>
          <w:sz w:val="20"/>
          <w:lang w:eastAsia="ru-RU"/>
        </w:rPr>
        <w:t>**</w:t>
      </w:r>
      <w:bookmarkEnd w:id="3"/>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жирорасчеты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bookmarkStart w:id="4" w:name="_ftnref5"/>
      <w:r w:rsidRPr="00E2448F">
        <w:rPr>
          <w:rFonts w:ascii="Arial" w:eastAsia="Times New Roman" w:hAnsi="Arial" w:cs="Arial"/>
          <w:color w:val="FFA200"/>
          <w:sz w:val="20"/>
          <w:lang w:eastAsia="ru-RU"/>
        </w:rPr>
        <w:t>*</w:t>
      </w:r>
      <w:bookmarkEnd w:id="4"/>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Безналичные расчеты проводятся на основании расчетных документов установленной формы и с соблюдением соответствующего документооборота.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Различают следующие основные формы безналичных расчетов: расчеты платежными поручениями, аккредитивная форма расчетов, расчеты чеками, расчеты платежными требованиями-поручениями, зачет взаимных требований, инкассо.</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1.</w:t>
      </w:r>
      <w:r w:rsidRPr="00E2448F">
        <w:rPr>
          <w:rFonts w:ascii="Times New Roman" w:eastAsia="Times New Roman" w:hAnsi="Times New Roman"/>
          <w:i/>
          <w:iCs/>
          <w:color w:val="0000FF"/>
          <w:sz w:val="20"/>
          <w:lang w:eastAsia="ru-RU"/>
        </w:rPr>
        <w:t>Расчеты платежными поручениями</w:t>
      </w:r>
      <w:r w:rsidRPr="00E2448F">
        <w:rPr>
          <w:rFonts w:ascii="Times New Roman" w:eastAsia="Times New Roman" w:hAnsi="Times New Roman"/>
          <w:color w:val="0000FF"/>
          <w:sz w:val="20"/>
          <w:szCs w:val="20"/>
          <w:lang w:eastAsia="ru-RU"/>
        </w:rPr>
        <w:t xml:space="preserve"> – это самая распространенная в настоящее время в России форма безналичных расчетов. </w:t>
      </w:r>
    </w:p>
    <w:p w:rsidR="00E2448F" w:rsidRPr="00E2448F" w:rsidRDefault="00E2448F" w:rsidP="00E2448F">
      <w:pPr>
        <w:shd w:val="clear" w:color="auto" w:fill="FFFFFF"/>
        <w:spacing w:before="100" w:beforeAutospacing="1" w:after="100" w:afterAutospacing="1" w:line="240" w:lineRule="auto"/>
        <w:ind w:left="709"/>
        <w:jc w:val="both"/>
        <w:rPr>
          <w:rFonts w:ascii="Times New Roman" w:eastAsia="Times New Roman" w:hAnsi="Times New Roman"/>
          <w:color w:val="3B5179"/>
          <w:sz w:val="24"/>
          <w:szCs w:val="24"/>
          <w:lang w:eastAsia="ru-RU"/>
        </w:rPr>
      </w:pPr>
      <w:r w:rsidRPr="00E2448F">
        <w:rPr>
          <w:rFonts w:ascii="Times New Roman" w:eastAsia="Times New Roman" w:hAnsi="Times New Roman"/>
          <w:b/>
          <w:bCs/>
          <w:i/>
          <w:iCs/>
          <w:color w:val="0000FF"/>
          <w:sz w:val="20"/>
          <w:lang w:eastAsia="ru-RU"/>
        </w:rPr>
        <w:t>Платежное поручение</w:t>
      </w:r>
      <w:r w:rsidRPr="00E2448F">
        <w:rPr>
          <w:rFonts w:ascii="Times New Roman" w:eastAsia="Times New Roman" w:hAnsi="Times New Roman"/>
          <w:i/>
          <w:iCs/>
          <w:color w:val="0000FF"/>
          <w:sz w:val="20"/>
          <w:lang w:eastAsia="ru-RU"/>
        </w:rPr>
        <w:t xml:space="preserve"> представляет собой поручение предприятия обслуживающему его банку о перечислении определенной суммы со своего счета.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Платежные поручения действительны в течение 10 дней со дня их выписки и принимаются от плательщика к исполнению только при наличии средств на счете, если иное не оговорено между банком и владельцем счета.</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2. </w:t>
      </w:r>
      <w:r w:rsidRPr="00E2448F">
        <w:rPr>
          <w:rFonts w:ascii="Times New Roman" w:eastAsia="Times New Roman" w:hAnsi="Times New Roman"/>
          <w:i/>
          <w:iCs/>
          <w:color w:val="0000FF"/>
          <w:sz w:val="20"/>
          <w:lang w:eastAsia="ru-RU"/>
        </w:rPr>
        <w:t>Аккредитивная форма расчетов</w:t>
      </w:r>
      <w:r w:rsidRPr="00E2448F">
        <w:rPr>
          <w:rFonts w:ascii="Times New Roman" w:eastAsia="Times New Roman" w:hAnsi="Times New Roman"/>
          <w:color w:val="0000FF"/>
          <w:sz w:val="20"/>
          <w:szCs w:val="20"/>
          <w:lang w:eastAsia="ru-RU"/>
        </w:rPr>
        <w:t>.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соответствии с</w:t>
      </w:r>
      <w:r w:rsidRPr="00E2448F">
        <w:rPr>
          <w:rFonts w:ascii="Times New Roman" w:eastAsia="Times New Roman" w:hAnsi="Times New Roman"/>
          <w:i/>
          <w:iCs/>
          <w:color w:val="0000FF"/>
          <w:sz w:val="20"/>
          <w:lang w:eastAsia="ru-RU"/>
        </w:rPr>
        <w:t xml:space="preserve"> </w:t>
      </w:r>
      <w:r w:rsidRPr="00E2448F">
        <w:rPr>
          <w:rFonts w:ascii="Times New Roman" w:eastAsia="Times New Roman" w:hAnsi="Times New Roman"/>
          <w:color w:val="0000FF"/>
          <w:sz w:val="20"/>
          <w:szCs w:val="20"/>
          <w:lang w:eastAsia="ru-RU"/>
        </w:rPr>
        <w:t>«Положением о безналичных расчетах» в нашей стране могут открываться следующие виды аккредитивов: покрытые (депонированные) или непокрытые (гарантированные); отзывные или безотзывные. В России аккредитив может быть предназначен для расчетов только с одним поставщиком и не может быть переадресован. Выплата с аккредитива наличными деньгами не допускается.</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Срок действия и порядок расчетов по аккредитиву устанавливается в договоре между плательщиком и поставщиком.</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3. </w:t>
      </w:r>
      <w:r w:rsidRPr="00E2448F">
        <w:rPr>
          <w:rFonts w:ascii="Times New Roman" w:eastAsia="Times New Roman" w:hAnsi="Times New Roman"/>
          <w:i/>
          <w:iCs/>
          <w:color w:val="0000FF"/>
          <w:sz w:val="20"/>
          <w:lang w:eastAsia="ru-RU"/>
        </w:rPr>
        <w:t>Расчеты чеками</w:t>
      </w:r>
      <w:r w:rsidRPr="00E2448F">
        <w:rPr>
          <w:rFonts w:ascii="Times New Roman" w:eastAsia="Times New Roman" w:hAnsi="Times New Roman"/>
          <w:color w:val="0000FF"/>
          <w:sz w:val="20"/>
          <w:szCs w:val="20"/>
          <w:lang w:eastAsia="ru-RU"/>
        </w:rPr>
        <w:t>. При расчетах чеками владелец счета</w:t>
      </w:r>
      <w:r w:rsidRPr="00E2448F">
        <w:rPr>
          <w:rFonts w:ascii="Times New Roman" w:eastAsia="Times New Roman" w:hAnsi="Times New Roman"/>
          <w:color w:val="0000FF"/>
          <w:sz w:val="20"/>
          <w:szCs w:val="20"/>
          <w:vertAlign w:val="superscript"/>
          <w:lang w:eastAsia="ru-RU"/>
        </w:rPr>
        <w:t xml:space="preserve"> </w:t>
      </w:r>
      <w:r w:rsidRPr="00E2448F">
        <w:rPr>
          <w:rFonts w:ascii="Times New Roman" w:eastAsia="Times New Roman" w:hAnsi="Times New Roman"/>
          <w:color w:val="0000FF"/>
          <w:sz w:val="20"/>
          <w:szCs w:val="20"/>
          <w:lang w:eastAsia="ru-RU"/>
        </w:rPr>
        <w:t>(чекодержатель)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РФ. Не допускаются расчеты чеками между физическими лицами. Чек удобен для расчетов в случаях:</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-когда плательщик не хочет совершать платеж до получения товара, а поставщик — передавать товар до получения гарантии платежа;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-когда продавец заранее не известен.</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Чек служит ценной бумагой. Бланки чеков являются бланками строгой отчетности. 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под гарантию банка.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Чек должен быть предъявлен к оплате в учреждение банка в течение десяти дней, не считая дня его выдачи.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России «Положение о безналичных расчетах» (2002 г.</w:t>
      </w:r>
      <w:r w:rsidRPr="00E2448F">
        <w:rPr>
          <w:rFonts w:ascii="Times New Roman" w:eastAsia="Times New Roman" w:hAnsi="Times New Roman"/>
          <w:smallCaps/>
          <w:color w:val="0000FF"/>
          <w:sz w:val="20"/>
          <w:szCs w:val="20"/>
          <w:lang w:eastAsia="ru-RU"/>
        </w:rPr>
        <w:t xml:space="preserve">) </w:t>
      </w:r>
      <w:r w:rsidRPr="00E2448F">
        <w:rPr>
          <w:rFonts w:ascii="Times New Roman" w:eastAsia="Times New Roman" w:hAnsi="Times New Roman"/>
          <w:color w:val="0000FF"/>
          <w:sz w:val="20"/>
          <w:szCs w:val="20"/>
          <w:lang w:eastAsia="ru-RU"/>
        </w:rPr>
        <w:t>конкретизировало порядок расчетов чеками и одновременно несколько ограничило возможности их использования. Последнее выразилось тем, что:</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-чекодержатель не может передать чеки поставщику путем индоссамента;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-требуется обязательно предварительное депонирование чекодержателем средств на отдельном счете.</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4. </w:t>
      </w:r>
      <w:r w:rsidRPr="00E2448F">
        <w:rPr>
          <w:rFonts w:ascii="Times New Roman" w:eastAsia="Times New Roman" w:hAnsi="Times New Roman"/>
          <w:i/>
          <w:iCs/>
          <w:color w:val="0000FF"/>
          <w:sz w:val="20"/>
          <w:lang w:eastAsia="ru-RU"/>
        </w:rPr>
        <w:t>Расчеты платежными требованиями-поручениями</w:t>
      </w:r>
      <w:r w:rsidRPr="00E2448F">
        <w:rPr>
          <w:rFonts w:ascii="Times New Roman" w:eastAsia="Times New Roman" w:hAnsi="Times New Roman"/>
          <w:color w:val="0000FF"/>
          <w:sz w:val="20"/>
          <w:szCs w:val="20"/>
          <w:lang w:eastAsia="ru-RU"/>
        </w:rPr>
        <w:t xml:space="preserve">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 Оно выписывается поставщиками и вместе с коммерческими документами отправляется в банк покупателя, который передает требование-поручение плательщику для акцепта.  Плательщик обязан вернуть в банк акцептованное платежное требование-поручение или заявить отказ от акцепта. Платежное требование-поручение принимается к оплате при наличии средств на счете плательщика.</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5. </w:t>
      </w:r>
      <w:r w:rsidRPr="00E2448F">
        <w:rPr>
          <w:rFonts w:ascii="Times New Roman" w:eastAsia="Times New Roman" w:hAnsi="Times New Roman"/>
          <w:i/>
          <w:iCs/>
          <w:color w:val="0000FF"/>
          <w:sz w:val="20"/>
          <w:lang w:eastAsia="ru-RU"/>
        </w:rPr>
        <w:t>Инкассо</w:t>
      </w:r>
      <w:r w:rsidRPr="00E2448F">
        <w:rPr>
          <w:rFonts w:ascii="Times New Roman" w:eastAsia="Times New Roman" w:hAnsi="Times New Roman"/>
          <w:color w:val="0000FF"/>
          <w:sz w:val="20"/>
          <w:szCs w:val="20"/>
          <w:lang w:eastAsia="ru-RU"/>
        </w:rPr>
        <w:t xml:space="preserve"> – это операция по получению банками для клиентов денег по их поручению и за их счет по различным документам. На инкассо принимаются чеки, векселя, ценные бумаги и т.д.</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табл. 2.1 приведены обобщенные принципы сравнения безналичного и налично-денежного оборота.</w:t>
      </w:r>
    </w:p>
    <w:p w:rsidR="00E2448F" w:rsidRPr="00E2448F" w:rsidRDefault="00E2448F" w:rsidP="00E2448F">
      <w:pPr>
        <w:spacing w:before="100" w:beforeAutospacing="1" w:after="100" w:afterAutospacing="1" w:line="240" w:lineRule="auto"/>
        <w:ind w:firstLine="709"/>
        <w:jc w:val="right"/>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ind w:firstLine="709"/>
        <w:jc w:val="right"/>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Таблица 2.1</w:t>
      </w:r>
    </w:p>
    <w:p w:rsidR="00E2448F" w:rsidRPr="00E2448F" w:rsidRDefault="00E2448F" w:rsidP="00E2448F">
      <w:pPr>
        <w:spacing w:before="100" w:beforeAutospacing="1" w:after="100" w:afterAutospacing="1" w:line="240" w:lineRule="auto"/>
        <w:ind w:firstLine="709"/>
        <w:jc w:val="right"/>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Общие черты и особенности безналичного и наличного оборота</w:t>
      </w:r>
    </w:p>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2088"/>
        <w:gridCol w:w="3960"/>
        <w:gridCol w:w="3523"/>
      </w:tblGrid>
      <w:tr w:rsidR="00E2448F" w:rsidRPr="00B75922">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Принцип сравнения</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Безналичный оборот</w:t>
            </w:r>
          </w:p>
        </w:tc>
        <w:tc>
          <w:tcPr>
            <w:tcW w:w="3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Наличный оборот</w:t>
            </w:r>
          </w:p>
        </w:tc>
      </w:tr>
      <w:tr w:rsidR="00E2448F" w:rsidRPr="00B7592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Регулирование оборота</w:t>
            </w:r>
          </w:p>
        </w:tc>
        <w:tc>
          <w:tcPr>
            <w:tcW w:w="74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Осуществляется на основе единой законодательной базы</w:t>
            </w:r>
          </w:p>
        </w:tc>
      </w:tr>
      <w:tr w:rsidR="00E2448F" w:rsidRPr="00B7592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Денежная единица</w:t>
            </w:r>
          </w:p>
        </w:tc>
        <w:tc>
          <w:tcPr>
            <w:tcW w:w="74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Одинаковая</w:t>
            </w:r>
          </w:p>
        </w:tc>
      </w:tr>
      <w:tr w:rsidR="00E2448F" w:rsidRPr="00B7592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Участников расчетов</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Плательщик, получатель, банк</w:t>
            </w:r>
          </w:p>
        </w:tc>
        <w:tc>
          <w:tcPr>
            <w:tcW w:w="3523"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Плательщик, получатель</w:t>
            </w:r>
          </w:p>
        </w:tc>
      </w:tr>
      <w:tr w:rsidR="00E2448F" w:rsidRPr="00B7592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Наличие кредитных отношений</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Участники имеют кредитные отношения с банком, которые проявляются в суммах остатков на счетах.</w:t>
            </w:r>
          </w:p>
        </w:tc>
        <w:tc>
          <w:tcPr>
            <w:tcW w:w="3523"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Кредитные отношения отсутствуют</w:t>
            </w:r>
          </w:p>
        </w:tc>
      </w:tr>
      <w:tr w:rsidR="00E2448F" w:rsidRPr="00B75922">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Форма передачи денег</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Перемещение (перечисление) денег производится путем записей по банковским счетам</w:t>
            </w:r>
          </w:p>
        </w:tc>
        <w:tc>
          <w:tcPr>
            <w:tcW w:w="3523"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Передача наличных денег плательщиком получателю</w:t>
            </w:r>
          </w:p>
        </w:tc>
      </w:tr>
    </w:tbl>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табл. 2.2 дана краткая характеристика форм денежного обращения.</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before="100" w:beforeAutospacing="1" w:after="100" w:afterAutospacing="1" w:line="240" w:lineRule="auto"/>
        <w:jc w:val="right"/>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Таблица 2.2</w:t>
      </w:r>
    </w:p>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color w:val="0000FF"/>
          <w:sz w:val="20"/>
          <w:lang w:eastAsia="ru-RU"/>
        </w:rPr>
        <w:t>Формы денежного обращения</w:t>
      </w:r>
    </w:p>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785"/>
        <w:gridCol w:w="4786"/>
      </w:tblGrid>
      <w:tr w:rsidR="00E2448F" w:rsidRPr="00B75922">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Наличное обращение</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Безналичное обращение</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hanging="23"/>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Понятие</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Движение наличных денег в сфере обращения при выполнении ими двух функций – средства обращения и средства платежа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Движение стоимости без участия наличных денег путем перечисления денежных средств по счета кредитных организаций</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Обслуживается видами кредитных орудий обращений</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Банкнотами, разменной (металлической) монетой, бумажными деньгами (казначейскими билетами)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Чеками, векселями, пластиковыми карточками, другими кредитными документами</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Обслуживают отношения между</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Населением, отдельными физическими лицами</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и физическими лицами</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 и государством</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Физическими лицами и государством</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лицами разных форм собственности</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лицами и кредитными учреждениями</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и физическими лицами и государством</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Юридическими лицами и населением</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Используется</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 кругообороте товаров и услуг</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 расчетах при выплате заработной платы, премий, пособий, страховых вознаграждений по договорам страхования</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 оплате ценных бумаг и доходов по ним</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При платежах населения за коммунальные услуги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На те же цели при наличии у участников обращения денег на счетах в кредитных учреждениях</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Размер оборота зависит от</w:t>
            </w:r>
          </w:p>
        </w:tc>
      </w:tr>
      <w:tr w:rsidR="00E2448F" w:rsidRPr="00B75922">
        <w:trPr>
          <w:jc w:val="center"/>
        </w:trPr>
        <w:tc>
          <w:tcPr>
            <w:tcW w:w="9571"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1)объема товаров и услуг в стране;</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2)уровня цен;</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3)звенности расчетов;</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4)распределительных и перераспределительных отношений, осуществляемых через финансовую систему, страхование, платные услуги</w:t>
            </w:r>
          </w:p>
        </w:tc>
      </w:tr>
      <w:tr w:rsidR="00E2448F" w:rsidRPr="00B75922">
        <w:trPr>
          <w:jc w:val="center"/>
        </w:trPr>
        <w:tc>
          <w:tcPr>
            <w:tcW w:w="95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Объем вращения</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Менее 10%</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До 90% всего денежного обращения</w:t>
            </w:r>
          </w:p>
        </w:tc>
      </w:tr>
      <w:tr w:rsidR="00E2448F" w:rsidRPr="00B75922">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after="0" w:line="240" w:lineRule="auto"/>
              <w:rPr>
                <w:rFonts w:ascii="Helvetica" w:eastAsia="Times New Roman" w:hAnsi="Helvetica" w:cs="Helvetica"/>
                <w:color w:val="3B5179"/>
                <w:sz w:val="18"/>
                <w:szCs w:val="18"/>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Преимущества:</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1)экономия наличных денег</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2)сокращения издержек обращения (уменьшаются расходы на печатание и пересылку)</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3)рост скорости обращения</w:t>
            </w:r>
          </w:p>
        </w:tc>
      </w:tr>
      <w:tr w:rsidR="00E2448F" w:rsidRPr="00B75922">
        <w:trPr>
          <w:jc w:val="center"/>
        </w:trPr>
        <w:tc>
          <w:tcPr>
            <w:tcW w:w="9571" w:type="dxa"/>
            <w:gridSpan w:val="2"/>
            <w:tcBorders>
              <w:top w:val="nil"/>
              <w:left w:val="nil"/>
              <w:bottom w:val="single" w:sz="8" w:space="0" w:color="auto"/>
              <w:right w:val="nil"/>
            </w:tcBorders>
            <w:tcMar>
              <w:top w:w="0" w:type="dxa"/>
              <w:left w:w="108" w:type="dxa"/>
              <w:bottom w:w="0" w:type="dxa"/>
              <w:right w:w="108" w:type="dxa"/>
            </w:tcMar>
            <w:hideMark/>
          </w:tcPr>
          <w:p w:rsidR="00E2448F" w:rsidRPr="00E2448F" w:rsidRDefault="00E2448F" w:rsidP="00E2448F">
            <w:pPr>
              <w:spacing w:before="100" w:beforeAutospacing="1" w:after="100" w:afterAutospacing="1" w:line="360" w:lineRule="auto"/>
              <w:jc w:val="right"/>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Продолжение табл. 2.2</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i/>
                <w:iCs/>
                <w:color w:val="0000FF"/>
                <w:sz w:val="20"/>
                <w:lang w:eastAsia="ru-RU"/>
              </w:rPr>
              <w:t>Общие черты</w:t>
            </w:r>
          </w:p>
        </w:tc>
      </w:tr>
      <w:tr w:rsidR="00E2448F" w:rsidRPr="00B75922">
        <w:trPr>
          <w:jc w:val="center"/>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1)Выражаются в одной денежной единице</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2)Постоянный переход от одной формы в другую (наличные в безналичные и обратно)</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3)Регулирование осуществляется с помощью кредита. Масса меняется в результате кредитных операций</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4)Безналичная форма возникает при внесении наличных денег на счет, а наличные деньги – при снятии со счета</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5)Две группы обращения</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а)по товарным операциям: расчеты за товары и услуги;</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б)по финансовым обязательствам: оплата налогов и других обязательных платежей;</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в)погашение банковских ссуд;</w:t>
            </w:r>
          </w:p>
          <w:p w:rsidR="00E2448F" w:rsidRPr="00E2448F" w:rsidRDefault="00E2448F" w:rsidP="00E2448F">
            <w:pPr>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г)расчеты со страховыми компаниями.</w:t>
            </w:r>
          </w:p>
        </w:tc>
      </w:tr>
    </w:tbl>
    <w:p w:rsidR="00E2448F" w:rsidRPr="00E2448F" w:rsidRDefault="00E2448F" w:rsidP="00E2448F">
      <w:pPr>
        <w:shd w:val="clear" w:color="auto" w:fill="FFFFFF"/>
        <w:spacing w:before="100" w:beforeAutospacing="1" w:after="100" w:afterAutospacing="1" w:line="360" w:lineRule="auto"/>
        <w:jc w:val="center"/>
        <w:rPr>
          <w:rFonts w:ascii="Times New Roman" w:eastAsia="Times New Roman" w:hAnsi="Times New Roman"/>
          <w:color w:val="3B5179"/>
          <w:sz w:val="24"/>
          <w:szCs w:val="24"/>
          <w:lang w:eastAsia="ru-RU"/>
        </w:rPr>
      </w:pPr>
      <w:r w:rsidRPr="00E2448F">
        <w:rPr>
          <w:rFonts w:ascii="Times New Roman" w:eastAsia="Times New Roman" w:hAnsi="Times New Roman"/>
          <w:b/>
          <w:bCs/>
          <w:color w:val="0000FF"/>
          <w:sz w:val="20"/>
          <w:lang w:eastAsia="ru-RU"/>
        </w:rPr>
        <w:t>Законы денежного обращения. Скорость обращения денег</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Одним из основных ориентиров денежно-кредитной политики является денежная масса. 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Денежная масса представляет собой совокупный объем наличных денег и денег безналичного оборота. Для измерения денежной массы используются денежные агрегаты.</w:t>
      </w:r>
    </w:p>
    <w:p w:rsidR="00E2448F" w:rsidRPr="00E2448F" w:rsidRDefault="00E2448F" w:rsidP="00E2448F">
      <w:pPr>
        <w:shd w:val="clear" w:color="auto" w:fill="FFFFFF"/>
        <w:spacing w:before="100" w:beforeAutospacing="1" w:after="100" w:afterAutospacing="1" w:line="240" w:lineRule="auto"/>
        <w:ind w:left="709"/>
        <w:jc w:val="both"/>
        <w:rPr>
          <w:rFonts w:ascii="Times New Roman" w:eastAsia="Times New Roman" w:hAnsi="Times New Roman"/>
          <w:color w:val="3B5179"/>
          <w:sz w:val="24"/>
          <w:szCs w:val="24"/>
          <w:lang w:eastAsia="ru-RU"/>
        </w:rPr>
      </w:pPr>
      <w:r w:rsidRPr="00E2448F">
        <w:rPr>
          <w:rFonts w:ascii="Times New Roman" w:eastAsia="Times New Roman" w:hAnsi="Times New Roman"/>
          <w:b/>
          <w:bCs/>
          <w:i/>
          <w:iCs/>
          <w:color w:val="0000FF"/>
          <w:sz w:val="20"/>
          <w:lang w:eastAsia="ru-RU"/>
        </w:rPr>
        <w:t>Денежными агрегатами</w:t>
      </w:r>
      <w:r w:rsidRPr="00E2448F">
        <w:rPr>
          <w:rFonts w:ascii="Times New Roman" w:eastAsia="Times New Roman" w:hAnsi="Times New Roman"/>
          <w:i/>
          <w:iCs/>
          <w:color w:val="0000FF"/>
          <w:sz w:val="20"/>
          <w:lang w:eastAsia="ru-RU"/>
        </w:rPr>
        <w:t xml:space="preserve"> называются составные элементы денежной массы, условно различаемые в порядке убывания степени</w:t>
      </w:r>
      <w:r w:rsidRPr="00E2448F">
        <w:rPr>
          <w:rFonts w:ascii="Times New Roman" w:eastAsia="Times New Roman" w:hAnsi="Times New Roman"/>
          <w:color w:val="0000FF"/>
          <w:sz w:val="20"/>
          <w:szCs w:val="20"/>
          <w:lang w:eastAsia="ru-RU"/>
        </w:rPr>
        <w:t xml:space="preserve"> </w:t>
      </w:r>
      <w:r w:rsidRPr="00E2448F">
        <w:rPr>
          <w:rFonts w:ascii="Times New Roman" w:eastAsia="Times New Roman" w:hAnsi="Times New Roman"/>
          <w:i/>
          <w:iCs/>
          <w:color w:val="0000FF"/>
          <w:sz w:val="20"/>
          <w:lang w:eastAsia="ru-RU"/>
        </w:rPr>
        <w:t>ликвидности.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разных странах используются</w:t>
      </w:r>
      <w:r w:rsidRPr="00E2448F">
        <w:rPr>
          <w:rFonts w:ascii="Times New Roman" w:eastAsia="Times New Roman" w:hAnsi="Times New Roman"/>
          <w:color w:val="0000FF"/>
          <w:sz w:val="20"/>
          <w:szCs w:val="20"/>
          <w:vertAlign w:val="subscript"/>
          <w:lang w:eastAsia="ru-RU"/>
        </w:rPr>
        <w:t xml:space="preserve"> </w:t>
      </w:r>
      <w:r w:rsidRPr="00E2448F">
        <w:rPr>
          <w:rFonts w:ascii="Times New Roman" w:eastAsia="Times New Roman" w:hAnsi="Times New Roman"/>
          <w:color w:val="0000FF"/>
          <w:sz w:val="20"/>
          <w:szCs w:val="20"/>
          <w:lang w:eastAsia="ru-RU"/>
        </w:rPr>
        <w:t> различные денежные агрегаты — от самого узкого («денежная база») в Швейцарии до широкого показателя ликвидности в Великобритании и «всего объема кредита» в Италии. С учетом опыта зарубежных стран ЦБ РФ ведет расчеты следующих денежных агрегатов:</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М</w:t>
      </w:r>
      <w:r w:rsidRPr="00E2448F">
        <w:rPr>
          <w:rFonts w:ascii="Times New Roman" w:eastAsia="Times New Roman" w:hAnsi="Times New Roman"/>
          <w:color w:val="0000FF"/>
          <w:sz w:val="20"/>
          <w:szCs w:val="20"/>
          <w:vertAlign w:val="subscript"/>
          <w:lang w:eastAsia="ru-RU"/>
        </w:rPr>
        <w:t>0</w:t>
      </w:r>
      <w:r w:rsidRPr="00E2448F">
        <w:rPr>
          <w:rFonts w:ascii="Times New Roman" w:eastAsia="Times New Roman" w:hAnsi="Times New Roman"/>
          <w:color w:val="0000FF"/>
          <w:sz w:val="20"/>
          <w:szCs w:val="20"/>
          <w:lang w:eastAsia="ru-RU"/>
        </w:rPr>
        <w:t xml:space="preserve"> — наличные деньги в обращении;</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M</w:t>
      </w:r>
      <w:r w:rsidRPr="00E2448F">
        <w:rPr>
          <w:rFonts w:ascii="Times New Roman" w:eastAsia="Times New Roman" w:hAnsi="Times New Roman"/>
          <w:color w:val="0000FF"/>
          <w:sz w:val="20"/>
          <w:szCs w:val="20"/>
          <w:vertAlign w:val="subscript"/>
          <w:lang w:eastAsia="ru-RU"/>
        </w:rPr>
        <w:t>1</w:t>
      </w:r>
      <w:r w:rsidRPr="00E2448F">
        <w:rPr>
          <w:rFonts w:ascii="Times New Roman" w:eastAsia="Times New Roman" w:hAnsi="Times New Roman"/>
          <w:color w:val="0000FF"/>
          <w:sz w:val="20"/>
          <w:szCs w:val="20"/>
          <w:lang w:eastAsia="ru-RU"/>
        </w:rPr>
        <w:t xml:space="preserve"> = МО</w:t>
      </w:r>
      <w:r w:rsidRPr="00E2448F">
        <w:rPr>
          <w:rFonts w:ascii="Times New Roman" w:eastAsia="Times New Roman" w:hAnsi="Times New Roman"/>
          <w:color w:val="0000FF"/>
          <w:sz w:val="20"/>
          <w:szCs w:val="20"/>
          <w:vertAlign w:val="subscript"/>
          <w:lang w:eastAsia="ru-RU"/>
        </w:rPr>
        <w:t>0</w:t>
      </w:r>
      <w:r w:rsidRPr="00E2448F">
        <w:rPr>
          <w:rFonts w:ascii="Times New Roman" w:eastAsia="Times New Roman" w:hAnsi="Times New Roman"/>
          <w:color w:val="0000FF"/>
          <w:sz w:val="20"/>
          <w:szCs w:val="20"/>
          <w:lang w:eastAsia="ru-RU"/>
        </w:rPr>
        <w:t xml:space="preserve"> + средства на расчетных, текущих и специальных счетах юридических лиц, средства страховых компаний, депозиты населения до востребования в банках;</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М</w:t>
      </w:r>
      <w:r w:rsidRPr="00E2448F">
        <w:rPr>
          <w:rFonts w:ascii="Times New Roman" w:eastAsia="Times New Roman" w:hAnsi="Times New Roman"/>
          <w:color w:val="0000FF"/>
          <w:sz w:val="20"/>
          <w:szCs w:val="20"/>
          <w:vertAlign w:val="subscript"/>
          <w:lang w:eastAsia="ru-RU"/>
        </w:rPr>
        <w:t>2</w:t>
      </w:r>
      <w:r w:rsidRPr="00E2448F">
        <w:rPr>
          <w:rFonts w:ascii="Times New Roman" w:eastAsia="Times New Roman" w:hAnsi="Times New Roman"/>
          <w:color w:val="0000FF"/>
          <w:sz w:val="20"/>
          <w:szCs w:val="20"/>
          <w:lang w:eastAsia="ru-RU"/>
        </w:rPr>
        <w:t xml:space="preserve"> = M</w:t>
      </w:r>
      <w:r w:rsidRPr="00E2448F">
        <w:rPr>
          <w:rFonts w:ascii="Times New Roman" w:eastAsia="Times New Roman" w:hAnsi="Times New Roman"/>
          <w:color w:val="0000FF"/>
          <w:sz w:val="20"/>
          <w:szCs w:val="20"/>
          <w:vertAlign w:val="subscript"/>
          <w:lang w:eastAsia="ru-RU"/>
        </w:rPr>
        <w:t>1</w:t>
      </w:r>
      <w:r w:rsidRPr="00E2448F">
        <w:rPr>
          <w:rFonts w:ascii="Times New Roman" w:eastAsia="Times New Roman" w:hAnsi="Times New Roman"/>
          <w:color w:val="0000FF"/>
          <w:sz w:val="20"/>
          <w:szCs w:val="20"/>
          <w:lang w:eastAsia="ru-RU"/>
        </w:rPr>
        <w:t xml:space="preserve"> + срочные вклады населения в Сбербанке;</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М</w:t>
      </w:r>
      <w:r w:rsidRPr="00E2448F">
        <w:rPr>
          <w:rFonts w:ascii="Times New Roman" w:eastAsia="Times New Roman" w:hAnsi="Times New Roman"/>
          <w:color w:val="0000FF"/>
          <w:sz w:val="20"/>
          <w:szCs w:val="20"/>
          <w:vertAlign w:val="subscript"/>
          <w:lang w:eastAsia="ru-RU"/>
        </w:rPr>
        <w:t>3</w:t>
      </w:r>
      <w:r w:rsidRPr="00E2448F">
        <w:rPr>
          <w:rFonts w:ascii="Times New Roman" w:eastAsia="Times New Roman" w:hAnsi="Times New Roman"/>
          <w:color w:val="0000FF"/>
          <w:sz w:val="20"/>
          <w:szCs w:val="20"/>
          <w:lang w:eastAsia="ru-RU"/>
        </w:rPr>
        <w:t xml:space="preserve"> = М</w:t>
      </w:r>
      <w:r w:rsidRPr="00E2448F">
        <w:rPr>
          <w:rFonts w:ascii="Times New Roman" w:eastAsia="Times New Roman" w:hAnsi="Times New Roman"/>
          <w:color w:val="0000FF"/>
          <w:sz w:val="20"/>
          <w:szCs w:val="20"/>
          <w:vertAlign w:val="subscript"/>
          <w:lang w:eastAsia="ru-RU"/>
        </w:rPr>
        <w:t>2</w:t>
      </w:r>
      <w:r w:rsidRPr="00E2448F">
        <w:rPr>
          <w:rFonts w:ascii="Times New Roman" w:eastAsia="Times New Roman" w:hAnsi="Times New Roman"/>
          <w:color w:val="0000FF"/>
          <w:sz w:val="20"/>
          <w:szCs w:val="20"/>
          <w:lang w:eastAsia="ru-RU"/>
        </w:rPr>
        <w:t xml:space="preserve"> + сертификаты и облигации госзайма.</w:t>
      </w:r>
      <w:bookmarkStart w:id="5" w:name="_ftnref6"/>
      <w:r w:rsidRPr="00E2448F">
        <w:rPr>
          <w:rFonts w:ascii="Arial" w:eastAsia="Times New Roman" w:hAnsi="Arial" w:cs="Arial"/>
          <w:color w:val="FFA200"/>
          <w:sz w:val="18"/>
          <w:lang w:eastAsia="ru-RU"/>
        </w:rPr>
        <w:t>*</w:t>
      </w:r>
      <w:bookmarkEnd w:id="5"/>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Равновесие наступает при М</w:t>
      </w:r>
      <w:r w:rsidRPr="00E2448F">
        <w:rPr>
          <w:rFonts w:ascii="Times New Roman" w:eastAsia="Times New Roman" w:hAnsi="Times New Roman"/>
          <w:color w:val="0000FF"/>
          <w:sz w:val="20"/>
          <w:szCs w:val="20"/>
          <w:vertAlign w:val="subscript"/>
          <w:lang w:eastAsia="ru-RU"/>
        </w:rPr>
        <w:t>2</w:t>
      </w:r>
      <w:r w:rsidRPr="00E2448F">
        <w:rPr>
          <w:rFonts w:ascii="Times New Roman" w:eastAsia="Times New Roman" w:hAnsi="Times New Roman"/>
          <w:color w:val="0000FF"/>
          <w:sz w:val="20"/>
          <w:szCs w:val="20"/>
          <w:lang w:eastAsia="ru-RU"/>
        </w:rPr>
        <w:t>&gt;М</w:t>
      </w:r>
      <w:r w:rsidRPr="00E2448F">
        <w:rPr>
          <w:rFonts w:ascii="Times New Roman" w:eastAsia="Times New Roman" w:hAnsi="Times New Roman"/>
          <w:color w:val="0000FF"/>
          <w:sz w:val="20"/>
          <w:szCs w:val="20"/>
          <w:vertAlign w:val="subscript"/>
          <w:lang w:eastAsia="ru-RU"/>
        </w:rPr>
        <w:t>1</w:t>
      </w:r>
      <w:r w:rsidRPr="00E2448F">
        <w:rPr>
          <w:rFonts w:ascii="Times New Roman" w:eastAsia="Times New Roman" w:hAnsi="Times New Roman"/>
          <w:color w:val="0000FF"/>
          <w:sz w:val="20"/>
          <w:szCs w:val="20"/>
          <w:lang w:eastAsia="ru-RU"/>
        </w:rPr>
        <w:t>, укрепляется при M</w:t>
      </w:r>
      <w:r w:rsidRPr="00E2448F">
        <w:rPr>
          <w:rFonts w:ascii="Times New Roman" w:eastAsia="Times New Roman" w:hAnsi="Times New Roman"/>
          <w:color w:val="0000FF"/>
          <w:sz w:val="20"/>
          <w:szCs w:val="20"/>
          <w:vertAlign w:val="subscript"/>
          <w:lang w:eastAsia="ru-RU"/>
        </w:rPr>
        <w:t>2</w:t>
      </w:r>
      <w:r w:rsidRPr="00E2448F">
        <w:rPr>
          <w:rFonts w:ascii="Times New Roman" w:eastAsia="Times New Roman" w:hAnsi="Times New Roman"/>
          <w:color w:val="0000FF"/>
          <w:sz w:val="20"/>
          <w:szCs w:val="20"/>
          <w:lang w:eastAsia="ru-RU"/>
        </w:rPr>
        <w:t>+M</w:t>
      </w:r>
      <w:r w:rsidRPr="00E2448F">
        <w:rPr>
          <w:rFonts w:ascii="Times New Roman" w:eastAsia="Times New Roman" w:hAnsi="Times New Roman"/>
          <w:color w:val="0000FF"/>
          <w:sz w:val="20"/>
          <w:szCs w:val="20"/>
          <w:vertAlign w:val="subscript"/>
          <w:lang w:eastAsia="ru-RU"/>
        </w:rPr>
        <w:t>3</w:t>
      </w:r>
      <w:r w:rsidRPr="00E2448F">
        <w:rPr>
          <w:rFonts w:ascii="Times New Roman" w:eastAsia="Times New Roman" w:hAnsi="Times New Roman"/>
          <w:color w:val="0000FF"/>
          <w:sz w:val="20"/>
          <w:szCs w:val="20"/>
          <w:lang w:eastAsia="ru-RU"/>
        </w:rPr>
        <w:t>&gt;M</w:t>
      </w:r>
      <w:r w:rsidRPr="00E2448F">
        <w:rPr>
          <w:rFonts w:ascii="Times New Roman" w:eastAsia="Times New Roman" w:hAnsi="Times New Roman"/>
          <w:color w:val="0000FF"/>
          <w:sz w:val="20"/>
          <w:szCs w:val="20"/>
          <w:vertAlign w:val="subscript"/>
          <w:lang w:eastAsia="ru-RU"/>
        </w:rPr>
        <w:t>1</w:t>
      </w:r>
      <w:r w:rsidRPr="00E2448F">
        <w:rPr>
          <w:rFonts w:ascii="Times New Roman" w:eastAsia="Times New Roman" w:hAnsi="Times New Roman"/>
          <w:color w:val="0000FF"/>
          <w:sz w:val="20"/>
          <w:szCs w:val="20"/>
          <w:lang w:eastAsia="ru-RU"/>
        </w:rPr>
        <w:t>.</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Состав денежных агрегатов разных странах неодинаков. В настоящее время для характеристики денежной массы используется показатель </w:t>
      </w:r>
      <w:r w:rsidRPr="00E2448F">
        <w:rPr>
          <w:rFonts w:ascii="Times New Roman" w:eastAsia="Times New Roman" w:hAnsi="Times New Roman"/>
          <w:i/>
          <w:iCs/>
          <w:color w:val="0000FF"/>
          <w:sz w:val="20"/>
          <w:lang w:eastAsia="ru-RU"/>
        </w:rPr>
        <w:t>денежная база</w:t>
      </w:r>
      <w:r w:rsidRPr="00E2448F">
        <w:rPr>
          <w:rFonts w:ascii="Times New Roman" w:eastAsia="Times New Roman" w:hAnsi="Times New Roman"/>
          <w:color w:val="0000FF"/>
          <w:sz w:val="20"/>
          <w:szCs w:val="20"/>
          <w:lang w:eastAsia="ru-RU"/>
        </w:rPr>
        <w:t>. Он включает агрегат МО + денежные средства в кассах коммерческих банков, обязательные резервы банков в Банке России и средства на корреспондентских счетах коммерческих банков в Банке России, таким образом, денежная база по существу приравнивается к агрегату М2.</w:t>
      </w:r>
      <w:r w:rsidRPr="00E2448F">
        <w:rPr>
          <w:rFonts w:ascii="Times New Roman" w:eastAsia="Times New Roman" w:hAnsi="Times New Roman"/>
          <w:color w:val="0000FF"/>
          <w:sz w:val="20"/>
          <w:szCs w:val="20"/>
          <w:vertAlign w:val="superscript"/>
          <w:lang w:eastAsia="ru-RU"/>
        </w:rPr>
        <w:t>**</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Денежная масса зависит от двух факторов: количества денег и скорости их оборота.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А.Маршалла и И.Фишера, количество денег определяется зависимостью уровня цен от денежной массы:</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hd w:val="clear" w:color="auto" w:fill="FFFFFF"/>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MY = PQ,</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где  М – масса денег;</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Р – цена товара;</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Y – скорость обращения денег;</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Q – количество товаров, представленных на рынке.</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Для расчета скорости обращения денег используются два показателя:</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1.Скорость движения денег в кругообороте стоимости общественного продукта или кругообороте доходов:</w:t>
      </w:r>
    </w:p>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2.Оборачиваемость денег в платежном обороте:</w:t>
      </w:r>
    </w:p>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где Σ Д –   сумма денег на банковских счетах;</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СДМ – среднегодовая величина денежной массы в обращении.</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Скорость изменяется в зависимости от периодичности выплат доходов, равномерности расходования населения своих средств, уровня сбережения и накопления. Т.к. скорость обращения денег обратно пропорциональна количеству денег в обращении, то ускорение их оборачиваемости означает рост денежной массы, т.е. в конечном счете является одним из факторов инфляционного процесса.</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Скорость обращения денег – показатель интенсификации движения денег при функционировании их в качестве средства обращения и средства платежа и представляет собой число оборотов денежной массы в год, где каждый оборот обслуживает расходование доходов.</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Из формулы количество денег, необходимое для обращения определенной массы товаров, равно:</w:t>
      </w:r>
    </w:p>
    <w:p w:rsidR="00E2448F" w:rsidRPr="00E2448F" w:rsidRDefault="00E2448F" w:rsidP="00E2448F">
      <w:pPr>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Обращение денег не происходит стихийно, оно подчиняется определенным законам, которые называются законами денежного обращения.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Основной закон денежного обращения, формула которого была представлена К. Марксом, связывает цены, скорость обращения и количество денег:</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Однако необходимо помнить, что указанная формула в большей степени справедлива для золотого обращения.</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Когда появляются кредитные деньги,</w:t>
      </w:r>
      <w:r w:rsidRPr="00E2448F">
        <w:rPr>
          <w:rFonts w:ascii="Arial" w:eastAsia="Times New Roman" w:hAnsi="Arial" w:cs="Arial"/>
          <w:color w:val="0000FF"/>
          <w:sz w:val="20"/>
          <w:szCs w:val="20"/>
          <w:lang w:eastAsia="ru-RU"/>
        </w:rPr>
        <w:t xml:space="preserve"> </w:t>
      </w:r>
      <w:r w:rsidRPr="00E2448F">
        <w:rPr>
          <w:rFonts w:ascii="Times New Roman" w:eastAsia="Times New Roman" w:hAnsi="Times New Roman"/>
          <w:color w:val="0000FF"/>
          <w:sz w:val="20"/>
          <w:szCs w:val="20"/>
          <w:lang w:eastAsia="ru-RU"/>
        </w:rPr>
        <w:t>происходит практически необеспеченная эмиссия, т.е. количество денег может быть сколь угодно велико. В этом случае неизбежно появление инфляции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E2448F" w:rsidRPr="00E2448F" w:rsidRDefault="00E2448F" w:rsidP="00E2448F">
      <w:pPr>
        <w:shd w:val="clear" w:color="auto" w:fill="FFFFFF"/>
        <w:spacing w:before="100" w:beforeAutospacing="1" w:after="100" w:afterAutospacing="1" w:line="240" w:lineRule="auto"/>
        <w:ind w:firstLine="709"/>
        <w:jc w:val="center"/>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 </w:t>
      </w:r>
    </w:p>
    <w:p w:rsidR="00E2448F" w:rsidRPr="00E2448F" w:rsidRDefault="00E2448F" w:rsidP="00E2448F">
      <w:pPr>
        <w:shd w:val="clear" w:color="auto" w:fill="FFFFFF"/>
        <w:spacing w:before="100" w:beforeAutospacing="1" w:after="100" w:afterAutospacing="1" w:line="240" w:lineRule="auto"/>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 xml:space="preserve">где КД – количество денег, необходимых в качестве средств обращения и платежа; </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СЦ -  сумма цен реализуемых товаров;</w:t>
      </w:r>
    </w:p>
    <w:p w:rsidR="00E2448F" w:rsidRPr="00E2448F" w:rsidRDefault="00E2448F" w:rsidP="00E2448F">
      <w:pPr>
        <w:shd w:val="clear" w:color="auto" w:fill="FFFFFF"/>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К – сумма проданных товаров и услуг в кредит, срок платежей по которым не наступил;</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П – сумма платежей по долговым обязательствам;</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ВП – сумма взаимопогашающихся платежей;</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0000FF"/>
          <w:sz w:val="20"/>
          <w:szCs w:val="20"/>
          <w:lang w:eastAsia="ru-RU"/>
        </w:rPr>
        <w:t>О – среднее число оборотов денег как средств платежа и обращения.</w:t>
      </w:r>
    </w:p>
    <w:p w:rsidR="00E2448F" w:rsidRPr="00E2448F" w:rsidRDefault="00E2448F" w:rsidP="00E2448F">
      <w:pPr>
        <w:spacing w:before="100" w:beforeAutospacing="1" w:after="100" w:afterAutospacing="1" w:line="240" w:lineRule="auto"/>
        <w:ind w:firstLine="709"/>
        <w:jc w:val="both"/>
        <w:rPr>
          <w:rFonts w:ascii="Times New Roman" w:eastAsia="Times New Roman" w:hAnsi="Times New Roman"/>
          <w:color w:val="3B5179"/>
          <w:sz w:val="24"/>
          <w:szCs w:val="24"/>
          <w:lang w:eastAsia="ru-RU"/>
        </w:rPr>
      </w:pPr>
      <w:r w:rsidRPr="00E2448F">
        <w:rPr>
          <w:rFonts w:ascii="Times New Roman" w:eastAsia="Times New Roman" w:hAnsi="Times New Roman"/>
          <w:color w:val="3B5179"/>
          <w:sz w:val="24"/>
          <w:szCs w:val="24"/>
          <w:lang w:eastAsia="ru-RU"/>
        </w:rPr>
        <w:t> </w:t>
      </w:r>
    </w:p>
    <w:p w:rsidR="00E2448F" w:rsidRPr="00E2448F" w:rsidRDefault="00E2448F" w:rsidP="00E2448F">
      <w:pPr>
        <w:spacing w:after="0" w:line="240" w:lineRule="auto"/>
        <w:rPr>
          <w:rFonts w:ascii="Helvetica" w:eastAsia="Times New Roman" w:hAnsi="Helvetica" w:cs="Helvetica"/>
          <w:color w:val="3B5179"/>
          <w:sz w:val="18"/>
          <w:szCs w:val="18"/>
          <w:lang w:eastAsia="ru-RU"/>
        </w:rPr>
      </w:pPr>
      <w:r w:rsidRPr="00E2448F">
        <w:rPr>
          <w:rFonts w:ascii="Helvetica" w:eastAsia="Times New Roman" w:hAnsi="Helvetica" w:cs="Helvetica"/>
          <w:color w:val="0000FF"/>
          <w:sz w:val="20"/>
          <w:szCs w:val="20"/>
          <w:lang w:eastAsia="ru-RU"/>
        </w:rPr>
        <w:br/>
        <w:t> </w:t>
      </w:r>
      <w:r w:rsidRPr="00E2448F">
        <w:rPr>
          <w:rFonts w:ascii="Helvetica" w:eastAsia="Times New Roman" w:hAnsi="Helvetica" w:cs="Helvetica"/>
          <w:color w:val="3B5179"/>
          <w:sz w:val="18"/>
          <w:szCs w:val="18"/>
          <w:lang w:eastAsia="ru-RU"/>
        </w:rPr>
        <w:t xml:space="preserve"> </w:t>
      </w:r>
    </w:p>
    <w:p w:rsidR="00E2448F" w:rsidRPr="00E2448F" w:rsidRDefault="006A024B" w:rsidP="00E2448F">
      <w:pPr>
        <w:spacing w:after="0" w:line="240" w:lineRule="auto"/>
        <w:rPr>
          <w:rFonts w:ascii="Helvetica" w:eastAsia="Times New Roman" w:hAnsi="Helvetica" w:cs="Helvetica"/>
          <w:color w:val="3B5179"/>
          <w:sz w:val="18"/>
          <w:szCs w:val="18"/>
          <w:lang w:eastAsia="ru-RU"/>
        </w:rPr>
      </w:pPr>
      <w:r>
        <w:rPr>
          <w:rFonts w:ascii="Helvetica" w:eastAsia="Times New Roman" w:hAnsi="Helvetica" w:cs="Helvetica"/>
          <w:color w:val="3B5179"/>
          <w:sz w:val="18"/>
          <w:szCs w:val="18"/>
          <w:lang w:eastAsia="ru-RU"/>
        </w:rPr>
        <w:pict>
          <v:rect id="_x0000_i1025" style="width:0;height:1.5pt" o:hralign="center" o:hrstd="t" o:hr="t" fillcolor="#a0a0a0" stroked="f"/>
        </w:pic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6" w:name="_ftn1"/>
      <w:r w:rsidRPr="00E2448F">
        <w:rPr>
          <w:rFonts w:ascii="Arial" w:eastAsia="Times New Roman" w:hAnsi="Arial" w:cs="Arial"/>
          <w:color w:val="FFA200"/>
          <w:sz w:val="18"/>
          <w:lang w:eastAsia="ru-RU"/>
        </w:rPr>
        <w:t>*</w:t>
      </w:r>
      <w:bookmarkEnd w:id="6"/>
      <w:r w:rsidRPr="00E2448F">
        <w:rPr>
          <w:rFonts w:ascii="Helvetica" w:eastAsia="Times New Roman" w:hAnsi="Helvetica" w:cs="Helvetica"/>
          <w:color w:val="0000FF"/>
          <w:sz w:val="18"/>
          <w:szCs w:val="18"/>
          <w:lang w:eastAsia="ru-RU"/>
        </w:rPr>
        <w:t xml:space="preserve"> Финансы. Денежное обращение. Кредит. Учебник / Под ред. Г.Б.Поляка. – М.:ЮНИТИ-ДАНА, 2002, с.29</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7" w:name="_ftn2"/>
      <w:r w:rsidRPr="00E2448F">
        <w:rPr>
          <w:rFonts w:ascii="Arial" w:eastAsia="Times New Roman" w:hAnsi="Arial" w:cs="Arial"/>
          <w:color w:val="FFA200"/>
          <w:sz w:val="18"/>
          <w:lang w:eastAsia="ru-RU"/>
        </w:rPr>
        <w:t>*</w:t>
      </w:r>
      <w:bookmarkEnd w:id="7"/>
      <w:r w:rsidRPr="00E2448F">
        <w:rPr>
          <w:rFonts w:ascii="Helvetica" w:eastAsia="Times New Roman" w:hAnsi="Helvetica" w:cs="Helvetica"/>
          <w:color w:val="0000FF"/>
          <w:sz w:val="20"/>
          <w:szCs w:val="20"/>
          <w:lang w:eastAsia="ru-RU"/>
        </w:rPr>
        <w:t xml:space="preserve"> </w:t>
      </w:r>
      <w:r w:rsidRPr="00E2448F">
        <w:rPr>
          <w:rFonts w:ascii="Helvetica" w:eastAsia="Times New Roman" w:hAnsi="Helvetica" w:cs="Helvetica"/>
          <w:color w:val="0000FF"/>
          <w:sz w:val="18"/>
          <w:szCs w:val="18"/>
          <w:lang w:eastAsia="ru-RU"/>
        </w:rPr>
        <w:t xml:space="preserve">Галицкая С. В. Денежное обращение, кредит, финансы: Учебное пособие – М.:   Международные отношения, 2002, с 27  </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8" w:name="_ftn3"/>
      <w:r w:rsidRPr="00E2448F">
        <w:rPr>
          <w:rFonts w:ascii="Arial" w:eastAsia="Times New Roman" w:hAnsi="Arial" w:cs="Arial"/>
          <w:color w:val="FFA200"/>
          <w:sz w:val="18"/>
          <w:lang w:eastAsia="ru-RU"/>
        </w:rPr>
        <w:t>*</w:t>
      </w:r>
      <w:bookmarkEnd w:id="8"/>
      <w:r w:rsidRPr="00E2448F">
        <w:rPr>
          <w:rFonts w:ascii="Helvetica" w:eastAsia="Times New Roman" w:hAnsi="Helvetica" w:cs="Helvetica"/>
          <w:color w:val="0000FF"/>
          <w:sz w:val="18"/>
          <w:szCs w:val="18"/>
          <w:lang w:eastAsia="ru-RU"/>
        </w:rPr>
        <w:t xml:space="preserve"> Банковское дело / Под ред. В. И. Колесникова –М.:   Финансы и статистика, 1999 , с 35</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9" w:name="_ftn4"/>
      <w:r w:rsidRPr="00E2448F">
        <w:rPr>
          <w:rFonts w:ascii="Arial" w:eastAsia="Times New Roman" w:hAnsi="Arial" w:cs="Arial"/>
          <w:color w:val="FFA200"/>
          <w:sz w:val="18"/>
          <w:lang w:eastAsia="ru-RU"/>
        </w:rPr>
        <w:t>**</w:t>
      </w:r>
      <w:bookmarkEnd w:id="9"/>
      <w:r w:rsidRPr="00E2448F">
        <w:rPr>
          <w:rFonts w:ascii="Helvetica" w:eastAsia="Times New Roman" w:hAnsi="Helvetica" w:cs="Helvetica"/>
          <w:color w:val="0000FF"/>
          <w:sz w:val="18"/>
          <w:szCs w:val="18"/>
          <w:lang w:eastAsia="ru-RU"/>
        </w:rPr>
        <w:t xml:space="preserve"> Финансы. Денежное обращение. Кредит. Учебник/ Под ред.Н. Ф. Самсонова.- М.: ИНФРА-М, 2001, с.183</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10" w:name="_ftn5"/>
      <w:r w:rsidRPr="00E2448F">
        <w:rPr>
          <w:rFonts w:ascii="Arial" w:eastAsia="Times New Roman" w:hAnsi="Arial" w:cs="Arial"/>
          <w:color w:val="FFA200"/>
          <w:sz w:val="18"/>
          <w:lang w:eastAsia="ru-RU"/>
        </w:rPr>
        <w:t>*</w:t>
      </w:r>
      <w:bookmarkEnd w:id="10"/>
      <w:r w:rsidRPr="00E2448F">
        <w:rPr>
          <w:rFonts w:ascii="Helvetica" w:eastAsia="Times New Roman" w:hAnsi="Helvetica" w:cs="Helvetica"/>
          <w:color w:val="0000FF"/>
          <w:sz w:val="18"/>
          <w:szCs w:val="18"/>
          <w:lang w:eastAsia="ru-RU"/>
        </w:rPr>
        <w:t xml:space="preserve"> Общая теория денег и кредита: Учебник/ Под ред. Е.Ф.Жукова.- М.: ЮНИТИ-ДАНА, 2001, с.102</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bookmarkStart w:id="11" w:name="_ftn6"/>
      <w:r w:rsidRPr="00E2448F">
        <w:rPr>
          <w:rFonts w:ascii="Arial" w:eastAsia="Times New Roman" w:hAnsi="Arial" w:cs="Arial"/>
          <w:color w:val="FFA200"/>
          <w:sz w:val="18"/>
          <w:lang w:eastAsia="ru-RU"/>
        </w:rPr>
        <w:t>*</w:t>
      </w:r>
      <w:bookmarkEnd w:id="11"/>
      <w:r w:rsidRPr="00E2448F">
        <w:rPr>
          <w:rFonts w:ascii="Helvetica" w:eastAsia="Times New Roman" w:hAnsi="Helvetica" w:cs="Helvetica"/>
          <w:color w:val="0000FF"/>
          <w:sz w:val="18"/>
          <w:szCs w:val="18"/>
          <w:lang w:eastAsia="ru-RU"/>
        </w:rPr>
        <w:t xml:space="preserve"> </w:t>
      </w:r>
      <w:r w:rsidRPr="00E2448F">
        <w:rPr>
          <w:rFonts w:ascii="Helvetica" w:eastAsia="Times New Roman" w:hAnsi="Helvetica" w:cs="Helvetica"/>
          <w:color w:val="0000FF"/>
          <w:sz w:val="20"/>
          <w:szCs w:val="20"/>
          <w:lang w:eastAsia="ru-RU"/>
        </w:rPr>
        <w:t>Шелопаев Ф.М Финансы, денежное обращение и кредит: Краткий курс лекций. - М: Юрайт-Издат, 2002, с. 186.</w:t>
      </w:r>
    </w:p>
    <w:p w:rsidR="00E2448F" w:rsidRPr="00E2448F" w:rsidRDefault="00E2448F" w:rsidP="00E2448F">
      <w:pPr>
        <w:spacing w:before="100" w:beforeAutospacing="1" w:after="100" w:afterAutospacing="1" w:line="240" w:lineRule="auto"/>
        <w:rPr>
          <w:rFonts w:ascii="Helvetica" w:eastAsia="Times New Roman" w:hAnsi="Helvetica" w:cs="Helvetica"/>
          <w:color w:val="3B5179"/>
          <w:sz w:val="18"/>
          <w:szCs w:val="18"/>
          <w:lang w:eastAsia="ru-RU"/>
        </w:rPr>
      </w:pPr>
      <w:r w:rsidRPr="00E2448F">
        <w:rPr>
          <w:rFonts w:ascii="Helvetica" w:eastAsia="Times New Roman" w:hAnsi="Helvetica" w:cs="Helvetica"/>
          <w:color w:val="0000FF"/>
          <w:sz w:val="20"/>
          <w:szCs w:val="20"/>
          <w:vertAlign w:val="superscript"/>
          <w:lang w:eastAsia="ru-RU"/>
        </w:rPr>
        <w:t>**</w:t>
      </w:r>
      <w:r w:rsidRPr="00E2448F">
        <w:rPr>
          <w:rFonts w:ascii="Helvetica" w:eastAsia="Times New Roman" w:hAnsi="Helvetica" w:cs="Helvetica"/>
          <w:color w:val="0000FF"/>
          <w:sz w:val="20"/>
          <w:szCs w:val="20"/>
          <w:lang w:eastAsia="ru-RU"/>
        </w:rPr>
        <w:t xml:space="preserve"> Финансы. Денежное обращение.Кредит. Учебник/ Под ред.Г.Б.Поляка.- М.: ЮНИТИ-ДАНА, 2001, с.34.</w:t>
      </w:r>
    </w:p>
    <w:p w:rsidR="00A20760" w:rsidRDefault="00A20760">
      <w:bookmarkStart w:id="12" w:name="_GoBack"/>
      <w:bookmarkEnd w:id="12"/>
    </w:p>
    <w:sectPr w:rsidR="00A20760" w:rsidSect="00A20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48F"/>
    <w:rsid w:val="006A024B"/>
    <w:rsid w:val="00A20760"/>
    <w:rsid w:val="00B75922"/>
    <w:rsid w:val="00E2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BD710B-2154-40F9-AB80-2E4604D5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7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2448F"/>
    <w:rPr>
      <w:b/>
      <w:bCs/>
    </w:rPr>
  </w:style>
  <w:style w:type="character" w:styleId="a4">
    <w:name w:val="Emphasis"/>
    <w:uiPriority w:val="20"/>
    <w:qFormat/>
    <w:rsid w:val="00E2448F"/>
    <w:rPr>
      <w:i/>
      <w:iCs/>
    </w:rPr>
  </w:style>
  <w:style w:type="character" w:styleId="a5">
    <w:name w:val="footnote reference"/>
    <w:basedOn w:val="a0"/>
    <w:uiPriority w:val="99"/>
    <w:semiHidden/>
    <w:unhideWhenUsed/>
    <w:rsid w:val="00E2448F"/>
  </w:style>
  <w:style w:type="paragraph" w:styleId="a6">
    <w:name w:val="footnote text"/>
    <w:basedOn w:val="a"/>
    <w:link w:val="a7"/>
    <w:uiPriority w:val="99"/>
    <w:semiHidden/>
    <w:unhideWhenUsed/>
    <w:rsid w:val="00E244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Текст виноски Знак"/>
    <w:link w:val="a6"/>
    <w:uiPriority w:val="99"/>
    <w:semiHidden/>
    <w:rsid w:val="00E244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83736">
      <w:bodyDiv w:val="1"/>
      <w:marLeft w:val="0"/>
      <w:marRight w:val="0"/>
      <w:marTop w:val="0"/>
      <w:marBottom w:val="0"/>
      <w:divBdr>
        <w:top w:val="none" w:sz="0" w:space="0" w:color="auto"/>
        <w:left w:val="none" w:sz="0" w:space="0" w:color="auto"/>
        <w:bottom w:val="none" w:sz="0" w:space="0" w:color="auto"/>
        <w:right w:val="none" w:sz="0" w:space="0" w:color="auto"/>
      </w:divBdr>
      <w:divsChild>
        <w:div w:id="62411551">
          <w:marLeft w:val="0"/>
          <w:marRight w:val="0"/>
          <w:marTop w:val="0"/>
          <w:marBottom w:val="0"/>
          <w:divBdr>
            <w:top w:val="none" w:sz="0" w:space="0" w:color="auto"/>
            <w:left w:val="none" w:sz="0" w:space="0" w:color="auto"/>
            <w:bottom w:val="none" w:sz="0" w:space="0" w:color="auto"/>
            <w:right w:val="none" w:sz="0" w:space="0" w:color="auto"/>
          </w:divBdr>
          <w:divsChild>
            <w:div w:id="1645768945">
              <w:marLeft w:val="0"/>
              <w:marRight w:val="0"/>
              <w:marTop w:val="0"/>
              <w:marBottom w:val="0"/>
              <w:divBdr>
                <w:top w:val="none" w:sz="0" w:space="0" w:color="auto"/>
                <w:left w:val="none" w:sz="0" w:space="0" w:color="auto"/>
                <w:bottom w:val="none" w:sz="0" w:space="0" w:color="auto"/>
                <w:right w:val="none" w:sz="0" w:space="0" w:color="auto"/>
              </w:divBdr>
              <w:divsChild>
                <w:div w:id="2037071896">
                  <w:marLeft w:val="0"/>
                  <w:marRight w:val="0"/>
                  <w:marTop w:val="0"/>
                  <w:marBottom w:val="0"/>
                  <w:divBdr>
                    <w:top w:val="none" w:sz="0" w:space="0" w:color="auto"/>
                    <w:left w:val="none" w:sz="0" w:space="0" w:color="auto"/>
                    <w:bottom w:val="none" w:sz="0" w:space="0" w:color="auto"/>
                    <w:right w:val="none" w:sz="0" w:space="0" w:color="auto"/>
                  </w:divBdr>
                </w:div>
                <w:div w:id="1633553491">
                  <w:marLeft w:val="0"/>
                  <w:marRight w:val="0"/>
                  <w:marTop w:val="0"/>
                  <w:marBottom w:val="0"/>
                  <w:divBdr>
                    <w:top w:val="none" w:sz="0" w:space="0" w:color="auto"/>
                    <w:left w:val="none" w:sz="0" w:space="0" w:color="auto"/>
                    <w:bottom w:val="none" w:sz="0" w:space="0" w:color="auto"/>
                    <w:right w:val="none" w:sz="0" w:space="0" w:color="auto"/>
                  </w:divBdr>
                </w:div>
                <w:div w:id="1680885442">
                  <w:marLeft w:val="0"/>
                  <w:marRight w:val="0"/>
                  <w:marTop w:val="0"/>
                  <w:marBottom w:val="0"/>
                  <w:divBdr>
                    <w:top w:val="none" w:sz="0" w:space="0" w:color="auto"/>
                    <w:left w:val="none" w:sz="0" w:space="0" w:color="auto"/>
                    <w:bottom w:val="none" w:sz="0" w:space="0" w:color="auto"/>
                    <w:right w:val="none" w:sz="0" w:space="0" w:color="auto"/>
                  </w:divBdr>
                </w:div>
                <w:div w:id="210503777">
                  <w:marLeft w:val="0"/>
                  <w:marRight w:val="0"/>
                  <w:marTop w:val="0"/>
                  <w:marBottom w:val="0"/>
                  <w:divBdr>
                    <w:top w:val="none" w:sz="0" w:space="0" w:color="auto"/>
                    <w:left w:val="none" w:sz="0" w:space="0" w:color="auto"/>
                    <w:bottom w:val="none" w:sz="0" w:space="0" w:color="auto"/>
                    <w:right w:val="none" w:sz="0" w:space="0" w:color="auto"/>
                  </w:divBdr>
                </w:div>
                <w:div w:id="73629350">
                  <w:marLeft w:val="0"/>
                  <w:marRight w:val="0"/>
                  <w:marTop w:val="0"/>
                  <w:marBottom w:val="0"/>
                  <w:divBdr>
                    <w:top w:val="none" w:sz="0" w:space="0" w:color="auto"/>
                    <w:left w:val="none" w:sz="0" w:space="0" w:color="auto"/>
                    <w:bottom w:val="none" w:sz="0" w:space="0" w:color="auto"/>
                    <w:right w:val="none" w:sz="0" w:space="0" w:color="auto"/>
                  </w:divBdr>
                </w:div>
                <w:div w:id="1674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16756</Characters>
  <Application>Microsoft Office Word</Application>
  <DocSecurity>0</DocSecurity>
  <Lines>139</Lines>
  <Paragraphs>39</Paragraphs>
  <ScaleCrop>false</ScaleCrop>
  <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2</cp:revision>
  <dcterms:created xsi:type="dcterms:W3CDTF">2014-08-29T20:59:00Z</dcterms:created>
  <dcterms:modified xsi:type="dcterms:W3CDTF">2014-08-29T20:59:00Z</dcterms:modified>
</cp:coreProperties>
</file>