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1D" w:rsidRDefault="0067161D" w:rsidP="00B07BB6">
      <w:pPr>
        <w:rPr>
          <w:rFonts w:ascii="Times New Roman" w:hAnsi="Times New Roman"/>
          <w:bCs/>
        </w:rPr>
      </w:pPr>
    </w:p>
    <w:p w:rsidR="00B07BB6" w:rsidRPr="00BE6E5D" w:rsidRDefault="00B07BB6" w:rsidP="00B07BB6">
      <w:pPr>
        <w:rPr>
          <w:rFonts w:ascii="Times New Roman" w:hAnsi="Times New Roman"/>
        </w:rPr>
      </w:pPr>
      <w:r w:rsidRPr="00BE6E5D">
        <w:rPr>
          <w:rFonts w:ascii="Times New Roman" w:hAnsi="Times New Roman"/>
          <w:bCs/>
        </w:rPr>
        <w:t>«Менон»</w:t>
      </w:r>
      <w:r w:rsidRPr="00BE6E5D">
        <w:rPr>
          <w:rFonts w:ascii="Times New Roman" w:hAnsi="Times New Roman"/>
        </w:rPr>
        <w:t>  участниками диалога являются: Менон, </w:t>
      </w:r>
      <w:hyperlink r:id="rId5" w:tooltip="Сократ" w:history="1">
        <w:r w:rsidRPr="00BE6E5D">
          <w:rPr>
            <w:rStyle w:val="a3"/>
            <w:rFonts w:ascii="Times New Roman" w:hAnsi="Times New Roman"/>
            <w:color w:val="auto"/>
            <w:u w:val="none"/>
          </w:rPr>
          <w:t>Сократ</w:t>
        </w:r>
      </w:hyperlink>
      <w:r w:rsidRPr="00BE6E5D">
        <w:rPr>
          <w:rFonts w:ascii="Times New Roman" w:hAnsi="Times New Roman"/>
        </w:rPr>
        <w:t>, раб Менона, Анит.</w:t>
      </w:r>
    </w:p>
    <w:p w:rsidR="00B07BB6" w:rsidRPr="00BE6E5D" w:rsidRDefault="00B07BB6">
      <w:pPr>
        <w:rPr>
          <w:rFonts w:ascii="Times New Roman" w:hAnsi="Times New Roman"/>
          <w:color w:val="000000"/>
        </w:rPr>
      </w:pPr>
      <w:r w:rsidRPr="00BE6E5D">
        <w:rPr>
          <w:rFonts w:ascii="Times New Roman" w:hAnsi="Times New Roman"/>
          <w:b/>
        </w:rPr>
        <w:t>В первой части диалога</w:t>
      </w:r>
      <w:r w:rsidRPr="00BE6E5D">
        <w:rPr>
          <w:rFonts w:ascii="Times New Roman" w:hAnsi="Times New Roman"/>
        </w:rPr>
        <w:t xml:space="preserve"> рассматривается вопрос что такое добродетель и можно ли ей научиться.</w:t>
      </w:r>
      <w:r w:rsidRPr="00BE6E5D">
        <w:rPr>
          <w:rFonts w:ascii="Times New Roman" w:hAnsi="Times New Roman"/>
          <w:color w:val="000000"/>
        </w:rPr>
        <w:t xml:space="preserve"> </w:t>
      </w:r>
    </w:p>
    <w:p w:rsidR="00CF721F" w:rsidRPr="00BE6E5D" w:rsidRDefault="00B07BB6" w:rsidP="00B07BB6">
      <w:pPr>
        <w:tabs>
          <w:tab w:val="num" w:pos="720"/>
        </w:tabs>
        <w:rPr>
          <w:rFonts w:ascii="Times New Roman" w:hAnsi="Times New Roman"/>
        </w:rPr>
      </w:pPr>
      <w:r w:rsidRPr="00BE6E5D">
        <w:rPr>
          <w:rFonts w:ascii="Times New Roman" w:hAnsi="Times New Roman"/>
        </w:rPr>
        <w:t>Для решения вопроса о том, можно ли научиться добродетели, нужно сначала решить вопрос, что такое сама добродетель.  Добродетель не бывает только мужская или женская, возрастная или сословная, связанная с тем или другим положением человека или его профессией и т.д.  Это некоего рода определенная сущность и идея, которые одинаково свойственны всем добродетелям и с определения которых надо начинать; такая же общая идея должна наблюдаться во всем вообще. Добродетель – это не управление людьми, так как иначе она не была бы свойственна ни рабам, ни детям, равно как она и не просто справедливость, так как справедливость – это вид добродетели, а что такое сама добродетель, остается неизвестным. Необходимость выдвинутого ранее условия для определения того, что такое добродетель, иллюстрируется примерами: геометрическая фигура – это не только округлость, поскольку существуют и прямые фигуры; разные цвета возможны лишь потому, что есть цвет вообще; вместо этих частных и несущественных определений гораздо существеннее было бы определить фигуру, например, как то, что следует за цветом, или как предел (границу) твердого тела, а цвет – как истечение фигур, хотя такого рода определения сами по себе недостаточны. С этой точки зрения неправильно и определение добродетели как желания хорошего и способности его производить, поскольку творящие зло тоже могут считать себя творящими хорошее. Значит, добродетель – это не способность производить добро в объективном смысле, поскольку под добром можно понимать приобретение золота, серебра, славы, здоровья и т.д., а все это может быть и несправедливым; если же мы будем говорить о справедливом стремлении к добру, то справедливость опять-таки остается чем-то неизвестным.  Менон пытается перечислить добродетели, однако </w:t>
      </w:r>
      <w:hyperlink r:id="rId6" w:tooltip="Сократ" w:history="1">
        <w:r w:rsidRPr="00BE6E5D">
          <w:rPr>
            <w:rStyle w:val="a3"/>
            <w:rFonts w:ascii="Times New Roman" w:hAnsi="Times New Roman"/>
            <w:color w:val="auto"/>
            <w:u w:val="none"/>
          </w:rPr>
          <w:t>Сократ</w:t>
        </w:r>
      </w:hyperlink>
      <w:r w:rsidRPr="00BE6E5D">
        <w:rPr>
          <w:rFonts w:ascii="Times New Roman" w:hAnsi="Times New Roman"/>
        </w:rPr>
        <w:t> останавливает его и заставляет сказать, что же такое </w:t>
      </w:r>
      <w:hyperlink r:id="rId7" w:tooltip="Добродетель" w:history="1">
        <w:r w:rsidRPr="00BE6E5D">
          <w:rPr>
            <w:rStyle w:val="a3"/>
            <w:rFonts w:ascii="Times New Roman" w:hAnsi="Times New Roman"/>
            <w:color w:val="auto"/>
            <w:u w:val="none"/>
          </w:rPr>
          <w:t>добродетель</w:t>
        </w:r>
      </w:hyperlink>
      <w:r w:rsidRPr="00BE6E5D">
        <w:rPr>
          <w:rFonts w:ascii="Times New Roman" w:hAnsi="Times New Roman"/>
        </w:rPr>
        <w:t xml:space="preserve"> сама по себе как идея. </w:t>
      </w:r>
    </w:p>
    <w:p w:rsidR="00B07BB6" w:rsidRPr="00BE6E5D" w:rsidRDefault="00B07BB6">
      <w:pPr>
        <w:rPr>
          <w:rFonts w:ascii="Times New Roman" w:hAnsi="Times New Roman"/>
        </w:rPr>
      </w:pPr>
      <w:r w:rsidRPr="00BE6E5D">
        <w:rPr>
          <w:rFonts w:ascii="Times New Roman" w:hAnsi="Times New Roman"/>
          <w:b/>
        </w:rPr>
        <w:t>Во второй части диалога</w:t>
      </w:r>
      <w:r w:rsidRPr="00BE6E5D">
        <w:rPr>
          <w:rFonts w:ascii="Times New Roman" w:hAnsi="Times New Roman"/>
        </w:rPr>
        <w:t xml:space="preserve"> поднимается вопрос о знание как припоминание виденного в потусторонней жизни. </w:t>
      </w:r>
      <w:r w:rsidR="00F9112F" w:rsidRPr="00BE6E5D">
        <w:rPr>
          <w:rFonts w:ascii="Times New Roman" w:hAnsi="Times New Roman"/>
        </w:rPr>
        <w:t xml:space="preserve">Отвергнув все предыдущие частичные подходы к добродетели, Сократ дает следующее определение: душа бессмертна, душа до своей земной жизни созерцала истину, и теперь, в своей земной жизни, вспоминая виденное, она может понимать все частичное и раздробленное, в том числе и добродетель. </w:t>
      </w:r>
      <w:r w:rsidRPr="00BE6E5D">
        <w:rPr>
          <w:rFonts w:ascii="Times New Roman" w:hAnsi="Times New Roman"/>
        </w:rPr>
        <w:t>С помощью наводящих вопросов Сократ демонстрирует, что раб знает геометрию, хотя и не изучал её. Таким образом, он припоминает то, что знал в прошлой жизни.</w:t>
      </w:r>
    </w:p>
    <w:p w:rsidR="00F9112F" w:rsidRPr="00BE6E5D" w:rsidRDefault="00B07BB6">
      <w:pPr>
        <w:rPr>
          <w:rFonts w:ascii="Times New Roman" w:hAnsi="Times New Roman"/>
        </w:rPr>
      </w:pPr>
      <w:r w:rsidRPr="00BE6E5D">
        <w:rPr>
          <w:rFonts w:ascii="Times New Roman" w:hAnsi="Times New Roman"/>
          <w:b/>
        </w:rPr>
        <w:t>В третьей части диалога</w:t>
      </w:r>
      <w:r w:rsidRPr="00BE6E5D">
        <w:rPr>
          <w:rFonts w:ascii="Times New Roman" w:hAnsi="Times New Roman"/>
        </w:rPr>
        <w:t xml:space="preserve"> участники возвращаются к вопросу о добродетели. </w:t>
      </w:r>
    </w:p>
    <w:p w:rsidR="00F9112F" w:rsidRPr="00BE6E5D" w:rsidRDefault="00F9112F">
      <w:pPr>
        <w:rPr>
          <w:rFonts w:ascii="Times New Roman" w:hAnsi="Times New Roman"/>
        </w:rPr>
      </w:pPr>
      <w:r w:rsidRPr="00BE6E5D">
        <w:rPr>
          <w:rFonts w:ascii="Times New Roman" w:hAnsi="Times New Roman"/>
        </w:rPr>
        <w:t>После столь обстоятельного изучения вопроса о знании как припоминании собеседники соглашаются, что добродетель – это знание, и если это так, то ей можно и научиться. Знание же она потому, что невозможна без понятия о добре, а все доброе творится только с умом, но никак не без ума. Точно так же и принесение пользы может считаться добродетелью только тогда, когда полезное мыслится вместе с разумом,так как неразумное полезное не может считаться добродетелью, как и все вообще, что находится в душе человека. Следовательно, поскольку разумности нужно еще обучаться, добродетель не есть дар природы. С другой стороны, однако, это еще не значит, что добродетели в самом деле можно научиться, т.е. что она результат какой-нибудь особой науки.  Врачебному делу можно научиться у врачей, сапожному – у сапожника, но для добродетели не существует учителей; в особенности таковыми нельзя считать софистов, которые сознательно развращают юношество да еще берут за это плату. Вовсе не всегда также добродетельные предки делают добродетельными своих потомков, как это видно на примерах Фемистокла, Аристида, Перикла, Фукидида. Нельзя считать учителями добродетели и тех людей, которые то могут воспитать своих учеников в добродетели, то не могут. Таким образом, добродетель – это не дар природы и не результат обучения. Откуда же она в таком случае? Добродетель – это результат божественного дара, или божественного жребия, который человек получает независимо от знания. Чистое знание есть результат только философского воспоминания потусторонних истин, так что добродетель, будучи знанием, в своей основе тоже является результатом этого потустороннего воспоминания. Однако такая добродетель труднодостижима, и фактически добродетельные люди руководствуются не этим точным знанием, а только правильным мнением. Это правильное мнение отличается от точного знания неустойчивостью и текучестью, а также непониманием того, что само оно возможно лишь благодаря чистому знанию, которое только и спасает его от сплошной текучести и непостоянства. Поэтому, говорит Сократ, будем руководствоваться хотя бы правильным мнением, несмотря на то что без точного знания оно ничем не отличается от пророческого или поэтического вдохновения. </w:t>
      </w:r>
    </w:p>
    <w:p w:rsidR="00BE4D22" w:rsidRPr="00BE6E5D" w:rsidRDefault="00BE4D22">
      <w:pPr>
        <w:rPr>
          <w:rFonts w:ascii="Times New Roman" w:hAnsi="Times New Roman"/>
        </w:rPr>
      </w:pPr>
    </w:p>
    <w:p w:rsidR="00BE4D22" w:rsidRPr="00BE6E5D" w:rsidRDefault="00BE4D22" w:rsidP="00BE4D22">
      <w:pPr>
        <w:rPr>
          <w:rFonts w:ascii="Times New Roman" w:hAnsi="Times New Roman"/>
        </w:rPr>
      </w:pPr>
      <w:r w:rsidRPr="00BE6E5D">
        <w:rPr>
          <w:rFonts w:ascii="Times New Roman" w:hAnsi="Times New Roman"/>
        </w:rPr>
        <w:t>ОБЪЕКТИВНАЯ РЕАЛЬНОСТЬ ОБЩЕРОДОВОЙ ИДЕИ </w:t>
      </w:r>
      <w:r w:rsidRPr="00BE6E5D">
        <w:rPr>
          <w:rFonts w:ascii="Times New Roman" w:hAnsi="Times New Roman"/>
        </w:rPr>
        <w:br/>
        <w:t>КАК ЗАКОНА ДЛЯ ЕДИНИЧНОГО, ИЛИ ПЕРВЫЙ НАБРОСОК ОБЪЕКТИВНОГО ИДЕАЛИЗМА</w:t>
      </w:r>
    </w:p>
    <w:p w:rsidR="00F93FA9" w:rsidRPr="00BE6E5D" w:rsidRDefault="00F93FA9">
      <w:pPr>
        <w:rPr>
          <w:rStyle w:val="apple-style-span"/>
          <w:rFonts w:ascii="Times New Roman" w:hAnsi="Times New Roman"/>
          <w:color w:val="000000"/>
        </w:rPr>
      </w:pPr>
      <w:r w:rsidRPr="00BE6E5D">
        <w:rPr>
          <w:rFonts w:ascii="Times New Roman" w:hAnsi="Times New Roman"/>
        </w:rPr>
        <w:t xml:space="preserve">Дает ответ на вопрос что такое знание. </w:t>
      </w:r>
      <w:r w:rsidRPr="00BE6E5D">
        <w:rPr>
          <w:rStyle w:val="apple-converted-space"/>
          <w:rFonts w:ascii="Times New Roman" w:hAnsi="Times New Roman"/>
          <w:color w:val="000000"/>
        </w:rPr>
        <w:t> </w:t>
      </w:r>
      <w:r w:rsidRPr="00BE6E5D">
        <w:rPr>
          <w:rStyle w:val="apple-style-span"/>
          <w:rFonts w:ascii="Times New Roman" w:hAnsi="Times New Roman"/>
          <w:color w:val="000000"/>
        </w:rPr>
        <w:t>Платон старается показать, что для него проблема знания органически связана с его этическими исследованиями и именно благодаря им приобретает свой смысл.</w:t>
      </w:r>
    </w:p>
    <w:p w:rsidR="00F93FA9" w:rsidRPr="00BE6E5D" w:rsidRDefault="00F93FA9">
      <w:pPr>
        <w:rPr>
          <w:rFonts w:ascii="Times New Roman" w:hAnsi="Times New Roman"/>
        </w:rPr>
      </w:pPr>
      <w:r w:rsidRPr="00BE6E5D">
        <w:rPr>
          <w:rFonts w:ascii="Times New Roman" w:hAnsi="Times New Roman"/>
        </w:rPr>
        <w:t>Платон не останавливается подробно на этом вопросе, как он это делает в других диалогах, и не предлагает вывода о том, что добродетели  можно достигнуть только знанием. Здесь он сознательно в центре всех рассуждений поднимает вопрос о знании и его происхождении. Но не следует забывать о том, что во всех рассуждениях он имеет в виду познание добродетели и Блага.</w:t>
      </w:r>
    </w:p>
    <w:p w:rsidR="00F93FA9" w:rsidRPr="00BE6E5D" w:rsidRDefault="00F93FA9">
      <w:pPr>
        <w:rPr>
          <w:rFonts w:ascii="Times New Roman" w:hAnsi="Times New Roman"/>
        </w:rPr>
      </w:pPr>
      <w:r w:rsidRPr="00BE6E5D">
        <w:rPr>
          <w:rFonts w:ascii="Times New Roman" w:hAnsi="Times New Roman"/>
        </w:rPr>
        <w:t xml:space="preserve">В «Меноне» он уподобляет </w:t>
      </w:r>
      <w:r w:rsidR="00BE6E5D" w:rsidRPr="00BE6E5D">
        <w:rPr>
          <w:rFonts w:ascii="Times New Roman" w:hAnsi="Times New Roman"/>
        </w:rPr>
        <w:t xml:space="preserve">сущность </w:t>
      </w:r>
      <w:r w:rsidRPr="00BE6E5D">
        <w:rPr>
          <w:rFonts w:ascii="Times New Roman" w:hAnsi="Times New Roman"/>
        </w:rPr>
        <w:t>добродетели такому понятию, которое можно отнести не только к отдельным частям, но и ко вс</w:t>
      </w:r>
      <w:r w:rsidR="00BE6E5D" w:rsidRPr="00BE6E5D">
        <w:rPr>
          <w:rFonts w:ascii="Times New Roman" w:hAnsi="Times New Roman"/>
        </w:rPr>
        <w:t>ей добродетели «в целом»</w:t>
      </w:r>
      <w:r w:rsidRPr="00BE6E5D">
        <w:rPr>
          <w:rFonts w:ascii="Times New Roman" w:hAnsi="Times New Roman"/>
        </w:rPr>
        <w:t>. Здесь впервые четко и понятно формулируется лог</w:t>
      </w:r>
      <w:r w:rsidR="00BE6E5D" w:rsidRPr="00BE6E5D">
        <w:rPr>
          <w:rFonts w:ascii="Times New Roman" w:hAnsi="Times New Roman"/>
        </w:rPr>
        <w:t>ический вывод об общем</w:t>
      </w:r>
      <w:r w:rsidRPr="00BE6E5D">
        <w:rPr>
          <w:rFonts w:ascii="Times New Roman" w:hAnsi="Times New Roman"/>
        </w:rPr>
        <w:t xml:space="preserve">. </w:t>
      </w:r>
      <w:r w:rsidR="00BE6E5D" w:rsidRPr="00BE6E5D">
        <w:rPr>
          <w:rFonts w:ascii="Times New Roman" w:hAnsi="Times New Roman"/>
        </w:rPr>
        <w:t xml:space="preserve">Идея </w:t>
      </w:r>
      <w:r w:rsidRPr="00BE6E5D">
        <w:rPr>
          <w:rFonts w:ascii="Times New Roman" w:hAnsi="Times New Roman"/>
        </w:rPr>
        <w:t xml:space="preserve"> «Блага» или «</w:t>
      </w:r>
      <w:r w:rsidR="00BE6E5D" w:rsidRPr="00BE6E5D">
        <w:rPr>
          <w:rFonts w:ascii="Times New Roman" w:hAnsi="Times New Roman"/>
        </w:rPr>
        <w:t>добродетели</w:t>
      </w:r>
      <w:r w:rsidRPr="00BE6E5D">
        <w:rPr>
          <w:rFonts w:ascii="Times New Roman" w:hAnsi="Times New Roman"/>
        </w:rPr>
        <w:t>», о котором говорил Платон, есть не что иное, как пр</w:t>
      </w:r>
      <w:r w:rsidR="00BE6E5D" w:rsidRPr="00BE6E5D">
        <w:rPr>
          <w:rFonts w:ascii="Times New Roman" w:hAnsi="Times New Roman"/>
        </w:rPr>
        <w:t>едставление о Благе «в целом».</w:t>
      </w:r>
    </w:p>
    <w:p w:rsidR="00BE6E5D" w:rsidRPr="00BE6E5D" w:rsidRDefault="00BE6E5D">
      <w:pPr>
        <w:rPr>
          <w:rFonts w:ascii="Times New Roman" w:hAnsi="Times New Roman"/>
        </w:rPr>
      </w:pPr>
      <w:r w:rsidRPr="00BE6E5D">
        <w:rPr>
          <w:rFonts w:ascii="Times New Roman" w:hAnsi="Times New Roman"/>
        </w:rPr>
        <w:t>Платон знакомит своих читателей с элементарными вопросами логики, без которых диалоги непонятны.</w:t>
      </w:r>
    </w:p>
    <w:p w:rsidR="00BE6E5D" w:rsidRPr="00BE6E5D" w:rsidRDefault="00BE6E5D">
      <w:pPr>
        <w:rPr>
          <w:rFonts w:ascii="Times New Roman" w:hAnsi="Times New Roman"/>
        </w:rPr>
      </w:pPr>
      <w:r w:rsidRPr="00BE6E5D">
        <w:rPr>
          <w:rFonts w:ascii="Times New Roman" w:hAnsi="Times New Roman"/>
        </w:rPr>
        <w:t>Особую роль в «Меноне» играет математика.  Уже при первой попытке установить сущность добродетели  он пользуется математическими (геометрическими) понятиями. Речь идет о геометрических фигурах: очертаниях, окружности, прямой и так далее. Во второй части диалога, возвращаясь к вопросу о сущности добродетели, он снова привлекает на помощь математику. Менон и Сократ пока еще не нашли ответа на вопрос «Что такое добродетель?»; однако их интересует (из воспитательных соображений), можно ли ей научиться, и на этот раз Сократ иначе формулирует интересующий их вопрос. Он спрашивает, какой же должна быть добродетель, чтобы ей можно было научиться. Он хочет еще раз подчеркнуть свой известный постулат о том, что добродетель — это знание. </w:t>
      </w:r>
    </w:p>
    <w:p w:rsidR="00BE6E5D" w:rsidRPr="00BE6E5D" w:rsidRDefault="00BE6E5D">
      <w:pPr>
        <w:rPr>
          <w:rFonts w:ascii="Times New Roman" w:hAnsi="Times New Roman"/>
        </w:rPr>
      </w:pPr>
      <w:r w:rsidRPr="00BE6E5D">
        <w:rPr>
          <w:rFonts w:ascii="Times New Roman" w:hAnsi="Times New Roman"/>
        </w:rPr>
        <w:t>Математика в «Меноне» используется не только для демонстрации метода. Она демонстрирует то знание, к которому человек должен стремиться. Общим для математического знания и знания вообще будет то, что и то и другое базируется на чувственных восприятиях, дающих представление об искомом предмете. Но само по себе знание нельзя воспринять чувствами. Лишь душа способна его воспринять. Для восприятия знания мы обладаем разумом. Сократ демонстрирует эту способность нашего разума, предлагая рабу ряд вопросов. Раб — молодой, необразованный, но не без способностей человек — сам формулирует закон о квадрате гипотенузы, используя для этого грубо сделанный от руки рисунок.</w:t>
      </w:r>
    </w:p>
    <w:p w:rsidR="00BE6E5D" w:rsidRPr="00BE6E5D" w:rsidRDefault="00BE6E5D">
      <w:pPr>
        <w:rPr>
          <w:rFonts w:ascii="Times New Roman" w:hAnsi="Times New Roman"/>
        </w:rPr>
      </w:pPr>
      <w:r w:rsidRPr="00BE6E5D">
        <w:rPr>
          <w:rFonts w:ascii="Times New Roman" w:hAnsi="Times New Roman"/>
        </w:rPr>
        <w:t> Во время этого педагогического эксперимента Платон знакомит нас с теми соображениями, которые привели его к познанию чисто духовного источника научных выводов, независимо от чувственного опыта. Разумеется, раб без помощи Сократа не может сделать тех шагов, которые приведут его к пониманию сложных математических связей. Он делает те ошибки, которые и должен делать наивный разум, оперирующий чисто чувственными ощущениями. К правильному выводу его приводят размышления. И как только он постиг природу математических отношений, его способность размышлять приобретает абсолютную убедительную силу. Эта убедительная сила познания - не результат обучения, она исходит из собственного ума и способностей и продиктована закономерным соотношением вещей в мире.</w:t>
      </w:r>
    </w:p>
    <w:p w:rsidR="00B07BB6" w:rsidRPr="00BE6E5D" w:rsidRDefault="00B07BB6">
      <w:pPr>
        <w:rPr>
          <w:rFonts w:ascii="Times New Roman" w:hAnsi="Times New Roman"/>
          <w:sz w:val="20"/>
          <w:szCs w:val="20"/>
        </w:rPr>
      </w:pPr>
      <w:bookmarkStart w:id="0" w:name="_GoBack"/>
      <w:bookmarkEnd w:id="0"/>
    </w:p>
    <w:sectPr w:rsidR="00B07BB6" w:rsidRPr="00BE6E5D" w:rsidSect="00CF7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25865"/>
    <w:multiLevelType w:val="multilevel"/>
    <w:tmpl w:val="AB8C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BB6"/>
    <w:rsid w:val="0067161D"/>
    <w:rsid w:val="007B2B7E"/>
    <w:rsid w:val="00B07BB6"/>
    <w:rsid w:val="00BE4D22"/>
    <w:rsid w:val="00BE6E5D"/>
    <w:rsid w:val="00CF721F"/>
    <w:rsid w:val="00D22059"/>
    <w:rsid w:val="00F9112F"/>
    <w:rsid w:val="00F9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FF2FC-86F7-4B9F-9208-D3742808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2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7BB6"/>
    <w:rPr>
      <w:color w:val="0000FF"/>
      <w:u w:val="single"/>
    </w:rPr>
  </w:style>
  <w:style w:type="character" w:customStyle="1" w:styleId="apple-style-span">
    <w:name w:val="apple-style-span"/>
    <w:basedOn w:val="a0"/>
    <w:rsid w:val="00F93FA9"/>
  </w:style>
  <w:style w:type="character" w:customStyle="1" w:styleId="apple-converted-space">
    <w:name w:val="apple-converted-space"/>
    <w:basedOn w:val="a0"/>
    <w:rsid w:val="00F9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2212">
      <w:bodyDiv w:val="1"/>
      <w:marLeft w:val="0"/>
      <w:marRight w:val="0"/>
      <w:marTop w:val="0"/>
      <w:marBottom w:val="0"/>
      <w:divBdr>
        <w:top w:val="none" w:sz="0" w:space="0" w:color="auto"/>
        <w:left w:val="none" w:sz="0" w:space="0" w:color="auto"/>
        <w:bottom w:val="none" w:sz="0" w:space="0" w:color="auto"/>
        <w:right w:val="none" w:sz="0" w:space="0" w:color="auto"/>
      </w:divBdr>
    </w:div>
    <w:div w:id="592594210">
      <w:bodyDiv w:val="1"/>
      <w:marLeft w:val="0"/>
      <w:marRight w:val="0"/>
      <w:marTop w:val="0"/>
      <w:marBottom w:val="0"/>
      <w:divBdr>
        <w:top w:val="none" w:sz="0" w:space="0" w:color="auto"/>
        <w:left w:val="none" w:sz="0" w:space="0" w:color="auto"/>
        <w:bottom w:val="none" w:sz="0" w:space="0" w:color="auto"/>
        <w:right w:val="none" w:sz="0" w:space="0" w:color="auto"/>
      </w:divBdr>
    </w:div>
    <w:div w:id="750472066">
      <w:bodyDiv w:val="1"/>
      <w:marLeft w:val="0"/>
      <w:marRight w:val="0"/>
      <w:marTop w:val="0"/>
      <w:marBottom w:val="0"/>
      <w:divBdr>
        <w:top w:val="none" w:sz="0" w:space="0" w:color="auto"/>
        <w:left w:val="none" w:sz="0" w:space="0" w:color="auto"/>
        <w:bottom w:val="none" w:sz="0" w:space="0" w:color="auto"/>
        <w:right w:val="none" w:sz="0" w:space="0" w:color="auto"/>
      </w:divBdr>
    </w:div>
    <w:div w:id="1257982060">
      <w:bodyDiv w:val="1"/>
      <w:marLeft w:val="0"/>
      <w:marRight w:val="0"/>
      <w:marTop w:val="0"/>
      <w:marBottom w:val="0"/>
      <w:divBdr>
        <w:top w:val="none" w:sz="0" w:space="0" w:color="auto"/>
        <w:left w:val="none" w:sz="0" w:space="0" w:color="auto"/>
        <w:bottom w:val="none" w:sz="0" w:space="0" w:color="auto"/>
        <w:right w:val="none" w:sz="0" w:space="0" w:color="auto"/>
      </w:divBdr>
    </w:div>
    <w:div w:id="1693843974">
      <w:bodyDiv w:val="1"/>
      <w:marLeft w:val="0"/>
      <w:marRight w:val="0"/>
      <w:marTop w:val="0"/>
      <w:marBottom w:val="0"/>
      <w:divBdr>
        <w:top w:val="none" w:sz="0" w:space="0" w:color="auto"/>
        <w:left w:val="none" w:sz="0" w:space="0" w:color="auto"/>
        <w:bottom w:val="none" w:sz="0" w:space="0" w:color="auto"/>
        <w:right w:val="none" w:sz="0" w:space="0" w:color="auto"/>
      </w:divBdr>
    </w:div>
    <w:div w:id="19123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4%D0%BE%D0%B1%D1%80%D0%BE%D0%B4%D0%B5%D1%82%D0%B5%D0%BB%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E%D0%BA%D1%80%D0%B0%D1%82" TargetMode="External"/><Relationship Id="rId5" Type="http://schemas.openxmlformats.org/officeDocument/2006/relationships/hyperlink" Target="http://ru.wikipedia.org/wiki/%D0%A1%D0%BE%D0%BA%D1%80%D0%B0%D1%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CharactersWithSpaces>
  <SharedDoc>false</SharedDoc>
  <HLinks>
    <vt:vector size="18" baseType="variant">
      <vt:variant>
        <vt:i4>8323134</vt:i4>
      </vt:variant>
      <vt:variant>
        <vt:i4>6</vt:i4>
      </vt:variant>
      <vt:variant>
        <vt:i4>0</vt:i4>
      </vt:variant>
      <vt:variant>
        <vt:i4>5</vt:i4>
      </vt:variant>
      <vt:variant>
        <vt:lpwstr>http://ru.wikipedia.org/wiki/%D0%94%D0%BE%D0%B1%D1%80%D0%BE%D0%B4%D0%B5%D1%82%D0%B5%D0%BB%D1%8C</vt:lpwstr>
      </vt:variant>
      <vt:variant>
        <vt:lpwstr/>
      </vt:variant>
      <vt:variant>
        <vt:i4>720923</vt:i4>
      </vt:variant>
      <vt:variant>
        <vt:i4>3</vt:i4>
      </vt:variant>
      <vt:variant>
        <vt:i4>0</vt:i4>
      </vt:variant>
      <vt:variant>
        <vt:i4>5</vt:i4>
      </vt:variant>
      <vt:variant>
        <vt:lpwstr>http://ru.wikipedia.org/wiki/%D0%A1%D0%BE%D0%BA%D1%80%D0%B0%D1%82</vt:lpwstr>
      </vt:variant>
      <vt:variant>
        <vt:lpwstr/>
      </vt:variant>
      <vt:variant>
        <vt:i4>720923</vt:i4>
      </vt:variant>
      <vt:variant>
        <vt:i4>0</vt:i4>
      </vt:variant>
      <vt:variant>
        <vt:i4>0</vt:i4>
      </vt:variant>
      <vt:variant>
        <vt:i4>5</vt:i4>
      </vt:variant>
      <vt:variant>
        <vt:lpwstr>http://ru.wikipedia.org/wiki/%D0%A1%D0%BE%D0%BA%D1%80%D0%B0%D1%82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2014-04-25T00:06:00Z</dcterms:created>
  <dcterms:modified xsi:type="dcterms:W3CDTF">2014-04-25T00:06:00Z</dcterms:modified>
</cp:coreProperties>
</file>