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4A" w:rsidRDefault="00F705D2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Реферат з журналістики</w:t>
      </w:r>
    </w:p>
    <w:p w:rsidR="003C0D4A" w:rsidRDefault="003C0D4A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</w:rPr>
      </w:pPr>
    </w:p>
    <w:p w:rsidR="003C0D4A" w:rsidRDefault="00F705D2">
      <w:pPr>
        <w:pStyle w:val="1"/>
        <w:spacing w:before="0" w:beforeAutospacing="0" w:after="0" w:afterAutospacing="0" w:line="360" w:lineRule="auto"/>
        <w:ind w:firstLine="709"/>
        <w:rPr>
          <w:rFonts w:ascii="Times New Roman" w:hAnsi="Times New Roman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</w:rPr>
        <w:t>Структура тексту як чинник комунікації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тексту, його організація як виваженого і спеціально сформованого повідомлення передбачає не лише чітке розуміння завдань комунікації, але й використання спеціальних прийомів та методів зазначеної організації.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"Редакторський аналіз розкриття теми автором, — пише Володимир Різун, — є аналізом її системно структурної поняттєвої організації, що включає визначення поняттєвої повноти, обсягу теми, зв'язків між поняттями, що становлять основу теми."[Різун, 233]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Попри конкретні психологічні, соціальні культурні умови сприймання твору, будь-який твір містить об'єктивно представлений набір засобів впливу. Дослідження цієї бази на лінгвістичному рівні передбачає визначення компонентів твору, що несуть у собі основне тематичне навантаження, особливостей їх поєднання у творі та доцільності і ефективності такого поєднання.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Говорячи про твір, ми маємо зважати на систему компонентів, його складових частин. Цікавою у цьому плані є думка А. А. Мельничука про розрізнення системи і структури твору: "Під системою розуміється сукупність взаємопов'язаних і взаємозумовлених елементів, що утворюють більш складну єдність, яка розглядається відносно елементів — її частин, а під структурою склад і внутрішню організацію єдиного цілого, що розглядається з точки зору його цілісності"[Мельничук, 25].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окремих публіцистичних творах, які представляють, як правило, агітаційний жанр, окрім властивої, реальної структури часто буває присутня виділена чи актуалізована структура — мається на увазі виражена за допомогою технічних засобів (кегль, гарнітура шрифту, інші виділення) послідовність головних думок і ідей.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 такої організації тексту не лише привернути увагу до основних (програмних) положень статті, але й визначити систему поглядів і переконань пропагованих даною статтею, полегшити для читача сприйняття при повторному прочитанні чи подальшому осмисленні матеріалу.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використанні цього прийому часто можна спостерігати неузгодженість властивої, реальної структури і актуалізованої в тексті. Неузгодженість ця може проявлятися у вигляді: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аморфності (нечіткості) тематичної структури, а оскільки актуалізована структура якраз і виражає специфіку поєднання тематичних блоків, то такий факт говорить про загальну тематичну аморфність твору;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невідповідності загальним положенням твору вичленованого актуалізованою структурою комплексу ідей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послаблення прагмематичної (впливової) сили твору.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Прикладом такого неузгодження двох структур може слугувати заява Президії Центрального Проводу РУХу "Позиція українського Народного Руху щодо ефективності Всеукраїнського Референдуму", опублікована у спецвипуску "Народної газети", березень 2000.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Заві представлено сім основних тематичних блоків, кожен з яких загалом відповідає темі. Але актуалізована структура, яка теж відображає сім позицій, часто суперечить не лише загальній структурі, але й сама по собі є досить суперечливою: 1-й тематичний блок — РУХ поборник інтересів простого народу і сприяє безпосередньому волевиявленню громадян; 2-й тематичний блок — слід знаходити всі можливі компромісні шляхи аби не допустити до референдуму (мотив — збереження народних грошей); 3-й тематичний блок — виражений у 6 підтемах і представляє інформацію про проблеми винесені на референдум (згідно пропонованих 6 питань); 4-й тематичний блок — заява про не підтримання Референдуму; 5-й тематичний блок — доцільність проведення Референдуму; 6-й тематичний блок — формування віддаленої мети ("скористатися сприятливою ситуацією і спрямувати енергію суспільства на вихід з економічної кризи"); 7-й тематичний блок — ствердження позиційного центру через формулювання близької мети (Рух ініціюватиме розпуск парламенту). 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Таку структуру можна представити у вигляді схеми:</w:t>
      </w:r>
    </w:p>
    <w:p w:rsidR="003C0D4A" w:rsidRDefault="00E11FE5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79.5pt">
            <v:imagedata r:id="rId4" o:title=""/>
          </v:shape>
        </w:pict>
      </w:r>
      <w:r w:rsidR="00F705D2">
        <w:rPr>
          <w:rFonts w:ascii="Times New Roman" w:hAnsi="Times New Roman"/>
          <w:b/>
          <w:bCs/>
          <w:sz w:val="28"/>
          <w:szCs w:val="28"/>
        </w:rPr>
        <w:br/>
        <w:t>Схема актуалізованої структури статті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Цифрами позначено тематичні блоки, буквами підтеми, стрілочки відображають ідейні вектори тематичних блоків.</w: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бачимо, деякі елементи актуалізованої структури протилежні за ідейним спрямуванням, що, звісно, значно утруднює сприймання, а отже, зменшує впливовий потенціал статті.</w:t>
      </w:r>
    </w:p>
    <w:p w:rsidR="003C0D4A" w:rsidRDefault="00E11FE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rect id="_x0000_i1026" style="width:144.6pt;height:1.5pt" o:hrpct="300" o:hrstd="t" o:hr="t" fillcolor="gray" stroked="f"/>
        </w:pict>
      </w:r>
    </w:p>
    <w:p w:rsidR="003C0D4A" w:rsidRDefault="00F705D2">
      <w:pPr>
        <w:pStyle w:val="a3"/>
        <w:spacing w:before="0" w:beforeAutospacing="0" w:after="0" w:afterAutospacing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Мельничук А.С.</w:t>
      </w:r>
      <w:r>
        <w:rPr>
          <w:rFonts w:ascii="Times New Roman" w:hAnsi="Times New Roman"/>
          <w:sz w:val="28"/>
          <w:szCs w:val="28"/>
        </w:rPr>
        <w:t xml:space="preserve"> Понятие системы и структуры языка в свете диалектического материализма. // Вопр. языкознания. — 1970. — № 1.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Різун В.В.</w:t>
      </w:r>
      <w:r>
        <w:rPr>
          <w:rFonts w:ascii="Times New Roman" w:hAnsi="Times New Roman"/>
          <w:sz w:val="28"/>
          <w:szCs w:val="28"/>
        </w:rPr>
        <w:t xml:space="preserve"> Літературне редагування. — К., 1996.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Феллер М.Д.</w:t>
      </w:r>
      <w:r>
        <w:rPr>
          <w:rFonts w:ascii="Times New Roman" w:hAnsi="Times New Roman"/>
          <w:sz w:val="28"/>
          <w:szCs w:val="28"/>
        </w:rPr>
        <w:t xml:space="preserve"> Структура произведения. — М., 1981.</w:t>
      </w:r>
    </w:p>
    <w:p w:rsidR="003C0D4A" w:rsidRDefault="003C0D4A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3C0D4A">
      <w:pgSz w:w="11906" w:h="16838"/>
      <w:pgMar w:top="850" w:right="850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5D2"/>
    <w:rsid w:val="003C0D4A"/>
    <w:rsid w:val="00E11FE5"/>
    <w:rsid w:val="00F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BEAE9E4-E283-4D55-99EB-F44CE92B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color w:val="00008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400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Право. Міжнародні відносини</Company>
  <LinksUpToDate>false</LinksUpToDate>
  <CharactersWithSpaces>4322</CharactersWithSpaces>
  <SharedDoc>false</SharedDoc>
  <HyperlinkBase>Право. Міжнародні відносини</HyperlinkBase>
  <HLinks>
    <vt:vector size="6" baseType="variant">
      <vt:variant>
        <vt:i4>6226035</vt:i4>
      </vt:variant>
      <vt:variant>
        <vt:i4>8810</vt:i4>
      </vt:variant>
      <vt:variant>
        <vt:i4>1026</vt:i4>
      </vt:variant>
      <vt:variant>
        <vt:i4>1</vt:i4>
      </vt:variant>
      <vt:variant>
        <vt:lpwstr>s_k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2014-04-16T04:36:00Z</dcterms:created>
  <dcterms:modified xsi:type="dcterms:W3CDTF">2014-04-16T04:36:00Z</dcterms:modified>
  <cp:category>Право. Міжнародні відносини</cp:category>
</cp:coreProperties>
</file>