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56B9A" w14:textId="77777777" w:rsidR="00F135A9" w:rsidRDefault="00FC60F6">
      <w:pPr>
        <w:spacing w:line="60" w:lineRule="exact"/>
        <w:rPr>
          <w:sz w:val="6"/>
        </w:rPr>
        <w:sectPr w:rsidR="00F135A9">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1742" w:right="1195" w:bottom="1898" w:left="1195" w:header="576" w:footer="1030" w:gutter="0"/>
          <w:pgNumType w:start="1"/>
          <w:cols w:space="720"/>
          <w:noEndnote/>
          <w:titlePg/>
        </w:sectPr>
      </w:pPr>
      <w:r>
        <w:rPr>
          <w:rStyle w:val="a4"/>
          <w:vanish/>
        </w:rPr>
        <w:commentReference w:id="0"/>
      </w:r>
    </w:p>
    <w:p w14:paraId="74FD9C4E" w14:textId="77777777" w:rsidR="00F135A9" w:rsidRDefault="00FC60F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Ежегодная сессия 2002 года</w:t>
      </w:r>
    </w:p>
    <w:p w14:paraId="4062405E" w14:textId="77777777" w:rsidR="00F135A9" w:rsidRDefault="00FC60F6">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17–28 июня 2002 года, Женева</w:t>
      </w:r>
    </w:p>
    <w:p w14:paraId="144C1C82" w14:textId="77777777" w:rsidR="00F135A9" w:rsidRDefault="00FC60F6">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Пункт 2 предварительной повестки дня</w:t>
      </w:r>
    </w:p>
    <w:p w14:paraId="46EE7035" w14:textId="77777777" w:rsidR="00F135A9" w:rsidRDefault="00FC60F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ЮНФПА</w:t>
      </w:r>
    </w:p>
    <w:p w14:paraId="445377F2" w14:textId="77777777" w:rsidR="00F135A9" w:rsidRDefault="00F135A9">
      <w:pPr>
        <w:pStyle w:val="SingleTxt"/>
        <w:spacing w:after="0" w:line="120" w:lineRule="exact"/>
        <w:rPr>
          <w:sz w:val="10"/>
        </w:rPr>
      </w:pPr>
    </w:p>
    <w:p w14:paraId="512D5ED2" w14:textId="77777777" w:rsidR="00F135A9" w:rsidRDefault="00F135A9">
      <w:pPr>
        <w:pStyle w:val="SingleTxt"/>
        <w:spacing w:after="0" w:line="120" w:lineRule="exact"/>
        <w:rPr>
          <w:sz w:val="10"/>
        </w:rPr>
      </w:pPr>
    </w:p>
    <w:p w14:paraId="549B8B4F" w14:textId="77777777" w:rsidR="00F135A9" w:rsidRDefault="00F135A9">
      <w:pPr>
        <w:pStyle w:val="SingleTxt"/>
        <w:spacing w:after="0" w:line="120" w:lineRule="exact"/>
        <w:rPr>
          <w:sz w:val="10"/>
        </w:rPr>
      </w:pPr>
    </w:p>
    <w:p w14:paraId="6E3C3A8D" w14:textId="77777777" w:rsidR="00F135A9" w:rsidRDefault="00FC60F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Фонд Организации Объединенных Наций в области народонаселения</w:t>
      </w:r>
    </w:p>
    <w:p w14:paraId="179F1FCC" w14:textId="77777777" w:rsidR="00F135A9" w:rsidRDefault="00F135A9">
      <w:pPr>
        <w:pStyle w:val="SingleTxt"/>
        <w:spacing w:after="0" w:line="120" w:lineRule="exact"/>
        <w:rPr>
          <w:sz w:val="10"/>
        </w:rPr>
      </w:pPr>
    </w:p>
    <w:p w14:paraId="4E93903A" w14:textId="77777777" w:rsidR="00F135A9" w:rsidRDefault="00F135A9">
      <w:pPr>
        <w:pStyle w:val="SingleTxt"/>
        <w:spacing w:after="0" w:line="120" w:lineRule="exact"/>
        <w:rPr>
          <w:sz w:val="10"/>
        </w:rPr>
      </w:pPr>
    </w:p>
    <w:p w14:paraId="0E10E6FA" w14:textId="77777777" w:rsidR="00F135A9" w:rsidRDefault="00FC60F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b w:val="0"/>
          <w:sz w:val="20"/>
        </w:rPr>
      </w:pPr>
      <w:r>
        <w:tab/>
      </w:r>
      <w:r>
        <w:tab/>
        <w:t>Доклад Директора-исполнителя за 2001 год: доклады, запрошенные Исполнительным советом</w:t>
      </w:r>
      <w:r>
        <w:rPr>
          <w:rStyle w:val="a5"/>
          <w:b w:val="0"/>
          <w:sz w:val="20"/>
        </w:rPr>
        <w:footnoteReference w:customMarkFollows="1" w:id="1"/>
        <w:t>*</w:t>
      </w:r>
    </w:p>
    <w:p w14:paraId="3979B97F" w14:textId="77777777" w:rsidR="00F135A9" w:rsidRDefault="00F135A9">
      <w:pPr>
        <w:pStyle w:val="SingleTxt"/>
        <w:spacing w:after="0" w:line="120" w:lineRule="exact"/>
        <w:rPr>
          <w:sz w:val="10"/>
        </w:rPr>
      </w:pPr>
    </w:p>
    <w:p w14:paraId="0DCE0B37" w14:textId="77777777" w:rsidR="00F135A9" w:rsidRDefault="00F135A9">
      <w:pPr>
        <w:pStyle w:val="SingleTxt"/>
        <w:spacing w:after="0" w:line="120" w:lineRule="exact"/>
        <w:rPr>
          <w:sz w:val="10"/>
        </w:rPr>
      </w:pPr>
    </w:p>
    <w:p w14:paraId="3490FACC" w14:textId="77777777" w:rsidR="00F135A9" w:rsidRDefault="00F135A9">
      <w:pPr>
        <w:pStyle w:val="SingleTxt"/>
      </w:pPr>
    </w:p>
    <w:p w14:paraId="38F23854" w14:textId="77777777" w:rsidR="00F135A9" w:rsidRDefault="00FC60F6">
      <w:pPr>
        <w:pStyle w:val="HCh"/>
        <w:spacing w:after="120"/>
      </w:pPr>
      <w:r>
        <w:t>Содержание</w:t>
      </w:r>
    </w:p>
    <w:tbl>
      <w:tblPr>
        <w:tblW w:w="0" w:type="auto"/>
        <w:tblLayout w:type="fixed"/>
        <w:tblCellMar>
          <w:left w:w="0" w:type="dxa"/>
          <w:right w:w="0" w:type="dxa"/>
        </w:tblCellMar>
        <w:tblLook w:val="0000" w:firstRow="0" w:lastRow="0" w:firstColumn="0" w:lastColumn="0" w:noHBand="0" w:noVBand="0"/>
      </w:tblPr>
      <w:tblGrid>
        <w:gridCol w:w="1060"/>
        <w:gridCol w:w="7315"/>
        <w:gridCol w:w="994"/>
        <w:gridCol w:w="533"/>
      </w:tblGrid>
      <w:tr w:rsidR="00F135A9" w14:paraId="135228FD" w14:textId="77777777">
        <w:tc>
          <w:tcPr>
            <w:tcW w:w="1060" w:type="dxa"/>
          </w:tcPr>
          <w:p w14:paraId="3F67CEA6" w14:textId="77777777" w:rsidR="00F135A9" w:rsidRDefault="00F135A9">
            <w:pPr>
              <w:spacing w:after="120" w:line="240" w:lineRule="auto"/>
              <w:jc w:val="right"/>
              <w:rPr>
                <w:i/>
                <w:sz w:val="14"/>
              </w:rPr>
            </w:pPr>
          </w:p>
        </w:tc>
        <w:tc>
          <w:tcPr>
            <w:tcW w:w="7315" w:type="dxa"/>
          </w:tcPr>
          <w:p w14:paraId="0C6F91DF" w14:textId="77777777" w:rsidR="00F135A9" w:rsidRDefault="00F135A9">
            <w:pPr>
              <w:spacing w:after="120" w:line="240" w:lineRule="auto"/>
              <w:rPr>
                <w:i/>
                <w:sz w:val="14"/>
              </w:rPr>
            </w:pPr>
          </w:p>
        </w:tc>
        <w:tc>
          <w:tcPr>
            <w:tcW w:w="994" w:type="dxa"/>
          </w:tcPr>
          <w:p w14:paraId="2F3BCA24" w14:textId="77777777" w:rsidR="00F135A9" w:rsidRDefault="00F135A9">
            <w:pPr>
              <w:spacing w:after="120" w:line="240" w:lineRule="auto"/>
              <w:jc w:val="right"/>
              <w:rPr>
                <w:i/>
                <w:sz w:val="14"/>
              </w:rPr>
            </w:pPr>
          </w:p>
        </w:tc>
        <w:tc>
          <w:tcPr>
            <w:tcW w:w="533" w:type="dxa"/>
          </w:tcPr>
          <w:p w14:paraId="23C68E69" w14:textId="77777777" w:rsidR="00F135A9" w:rsidRDefault="00FC60F6">
            <w:pPr>
              <w:spacing w:after="120" w:line="240" w:lineRule="auto"/>
              <w:jc w:val="right"/>
              <w:rPr>
                <w:i/>
                <w:sz w:val="14"/>
              </w:rPr>
            </w:pPr>
            <w:r>
              <w:rPr>
                <w:i/>
                <w:sz w:val="14"/>
              </w:rPr>
              <w:t>Стр.</w:t>
            </w:r>
          </w:p>
        </w:tc>
      </w:tr>
      <w:tr w:rsidR="00F135A9" w14:paraId="75EC6F69" w14:textId="77777777">
        <w:trPr>
          <w:cantSplit/>
        </w:trPr>
        <w:tc>
          <w:tcPr>
            <w:tcW w:w="9369" w:type="dxa"/>
            <w:gridSpan w:val="3"/>
          </w:tcPr>
          <w:p w14:paraId="51FB3964" w14:textId="77777777" w:rsidR="00F135A9" w:rsidRDefault="00FC60F6">
            <w:pPr>
              <w:tabs>
                <w:tab w:val="right" w:pos="1080"/>
                <w:tab w:val="left" w:pos="1296"/>
                <w:tab w:val="left" w:pos="1728"/>
                <w:tab w:val="right" w:leader="dot" w:pos="9360"/>
              </w:tabs>
              <w:spacing w:after="120"/>
              <w:rPr>
                <w:spacing w:val="60"/>
                <w:sz w:val="17"/>
              </w:rPr>
            </w:pPr>
            <w:r>
              <w:tab/>
            </w:r>
            <w:r>
              <w:tab/>
              <w:t>Введение</w:t>
            </w:r>
            <w:r>
              <w:rPr>
                <w:spacing w:val="60"/>
                <w:sz w:val="17"/>
              </w:rPr>
              <w:tab/>
            </w:r>
          </w:p>
        </w:tc>
        <w:tc>
          <w:tcPr>
            <w:tcW w:w="533" w:type="dxa"/>
            <w:vAlign w:val="bottom"/>
          </w:tcPr>
          <w:p w14:paraId="2DD5961C" w14:textId="77777777" w:rsidR="00F135A9" w:rsidRDefault="00FC60F6">
            <w:pPr>
              <w:spacing w:after="120"/>
              <w:jc w:val="right"/>
              <w:rPr>
                <w:lang w:val="en-US"/>
              </w:rPr>
            </w:pPr>
            <w:r>
              <w:rPr>
                <w:lang w:val="en-US"/>
              </w:rPr>
              <w:t>2</w:t>
            </w:r>
          </w:p>
        </w:tc>
      </w:tr>
      <w:tr w:rsidR="00F135A9" w14:paraId="4146ED8C" w14:textId="77777777">
        <w:trPr>
          <w:cantSplit/>
        </w:trPr>
        <w:tc>
          <w:tcPr>
            <w:tcW w:w="9369" w:type="dxa"/>
            <w:gridSpan w:val="3"/>
          </w:tcPr>
          <w:p w14:paraId="0A7AF4AD" w14:textId="77777777" w:rsidR="00F135A9" w:rsidRDefault="00FC60F6">
            <w:pPr>
              <w:numPr>
                <w:ilvl w:val="0"/>
                <w:numId w:val="15"/>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pacing w:after="120"/>
            </w:pPr>
            <w:r>
              <w:tab/>
              <w:t>Обеспечение средствами охраны репродуктивного здоровья</w:t>
            </w:r>
            <w:r>
              <w:rPr>
                <w:spacing w:val="60"/>
                <w:sz w:val="17"/>
              </w:rPr>
              <w:tab/>
            </w:r>
          </w:p>
        </w:tc>
        <w:tc>
          <w:tcPr>
            <w:tcW w:w="533" w:type="dxa"/>
            <w:vAlign w:val="bottom"/>
          </w:tcPr>
          <w:p w14:paraId="2A09491F" w14:textId="77777777" w:rsidR="00F135A9" w:rsidRDefault="00FC60F6">
            <w:pPr>
              <w:spacing w:after="120"/>
              <w:jc w:val="right"/>
              <w:rPr>
                <w:lang w:val="en-US"/>
              </w:rPr>
            </w:pPr>
            <w:r>
              <w:rPr>
                <w:lang w:val="en-US"/>
              </w:rPr>
              <w:t>2</w:t>
            </w:r>
          </w:p>
        </w:tc>
      </w:tr>
      <w:tr w:rsidR="00F135A9" w14:paraId="50785313" w14:textId="77777777">
        <w:trPr>
          <w:cantSplit/>
        </w:trPr>
        <w:tc>
          <w:tcPr>
            <w:tcW w:w="9369" w:type="dxa"/>
            <w:gridSpan w:val="3"/>
          </w:tcPr>
          <w:p w14:paraId="5913F20B" w14:textId="77777777" w:rsidR="00F135A9" w:rsidRDefault="00FC60F6">
            <w:pPr>
              <w:numPr>
                <w:ilvl w:val="0"/>
                <w:numId w:val="15"/>
              </w:numPr>
              <w:tabs>
                <w:tab w:val="right" w:pos="1080"/>
                <w:tab w:val="left" w:pos="1296"/>
                <w:tab w:val="left" w:pos="1728"/>
                <w:tab w:val="left" w:pos="2160"/>
                <w:tab w:val="left" w:pos="2592"/>
                <w:tab w:val="left" w:pos="3024"/>
                <w:tab w:val="right" w:leader="dot" w:pos="9360"/>
              </w:tabs>
              <w:spacing w:after="120"/>
            </w:pPr>
            <w:r>
              <w:tab/>
              <w:t>Гуманитарная помощь</w:t>
            </w:r>
            <w:r>
              <w:rPr>
                <w:spacing w:val="60"/>
                <w:sz w:val="17"/>
              </w:rPr>
              <w:tab/>
            </w:r>
          </w:p>
        </w:tc>
        <w:tc>
          <w:tcPr>
            <w:tcW w:w="533" w:type="dxa"/>
            <w:vAlign w:val="bottom"/>
          </w:tcPr>
          <w:p w14:paraId="6D397632" w14:textId="77777777" w:rsidR="00F135A9" w:rsidRDefault="00FC60F6">
            <w:pPr>
              <w:spacing w:after="120"/>
              <w:jc w:val="right"/>
              <w:rPr>
                <w:lang w:val="en-US"/>
              </w:rPr>
            </w:pPr>
            <w:r>
              <w:rPr>
                <w:lang w:val="en-US"/>
              </w:rPr>
              <w:t>7</w:t>
            </w:r>
          </w:p>
        </w:tc>
      </w:tr>
    </w:tbl>
    <w:p w14:paraId="3317E3EF" w14:textId="77777777" w:rsidR="00F135A9" w:rsidRDefault="00F135A9"/>
    <w:p w14:paraId="36900E1C" w14:textId="77777777" w:rsidR="00F135A9" w:rsidRDefault="00FC60F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r>
      <w:r>
        <w:tab/>
      </w:r>
      <w:r>
        <w:tab/>
        <w:t>Введение</w:t>
      </w:r>
    </w:p>
    <w:p w14:paraId="4F7A0A2F" w14:textId="77777777" w:rsidR="00F135A9" w:rsidRDefault="00F135A9">
      <w:pPr>
        <w:pStyle w:val="SingleTxt"/>
        <w:spacing w:after="0" w:line="120" w:lineRule="exact"/>
        <w:rPr>
          <w:sz w:val="10"/>
        </w:rPr>
      </w:pPr>
    </w:p>
    <w:p w14:paraId="17E587E4" w14:textId="77777777" w:rsidR="00F135A9" w:rsidRDefault="00F135A9">
      <w:pPr>
        <w:pStyle w:val="SingleTxt"/>
        <w:spacing w:after="0" w:line="120" w:lineRule="exact"/>
        <w:rPr>
          <w:sz w:val="10"/>
        </w:rPr>
      </w:pPr>
    </w:p>
    <w:p w14:paraId="5B9AEEFF" w14:textId="77777777" w:rsidR="00F135A9" w:rsidRDefault="00FC60F6">
      <w:pPr>
        <w:pStyle w:val="SingleTxt"/>
      </w:pPr>
      <w:r>
        <w:t>1.</w:t>
      </w:r>
      <w:r>
        <w:tab/>
        <w:t>Настоящий раздел ежегодного доклада посвящен вопросам, конкретно запрошенным Исполнительным советом: обеспечение средствами охраны репродуктивного здоровья; и гуманитарная помощь.</w:t>
      </w:r>
    </w:p>
    <w:p w14:paraId="61CF9D2D" w14:textId="77777777" w:rsidR="00F135A9" w:rsidRDefault="00F135A9">
      <w:pPr>
        <w:pStyle w:val="SingleTxt"/>
        <w:spacing w:after="0" w:line="120" w:lineRule="exact"/>
        <w:rPr>
          <w:sz w:val="10"/>
        </w:rPr>
      </w:pPr>
    </w:p>
    <w:p w14:paraId="74CDC0CE" w14:textId="77777777" w:rsidR="00F135A9" w:rsidRDefault="00F135A9">
      <w:pPr>
        <w:pStyle w:val="SingleTxt"/>
        <w:spacing w:after="0" w:line="120" w:lineRule="exact"/>
        <w:rPr>
          <w:sz w:val="10"/>
        </w:rPr>
      </w:pPr>
    </w:p>
    <w:p w14:paraId="146A8989" w14:textId="77777777" w:rsidR="00F135A9" w:rsidRDefault="00FC60F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I.</w:t>
      </w:r>
      <w:r>
        <w:tab/>
        <w:t>Обеспечение средствами охраны репродуктивного здоровья</w:t>
      </w:r>
    </w:p>
    <w:p w14:paraId="562B196C" w14:textId="77777777" w:rsidR="00F135A9" w:rsidRDefault="00F135A9">
      <w:pPr>
        <w:pStyle w:val="SingleTxt"/>
        <w:spacing w:after="0" w:line="120" w:lineRule="exact"/>
        <w:rPr>
          <w:sz w:val="10"/>
        </w:rPr>
      </w:pPr>
    </w:p>
    <w:p w14:paraId="4E7B171B" w14:textId="77777777" w:rsidR="00F135A9" w:rsidRDefault="00F135A9">
      <w:pPr>
        <w:pStyle w:val="SingleTxt"/>
        <w:spacing w:after="0" w:line="120" w:lineRule="exact"/>
        <w:rPr>
          <w:sz w:val="10"/>
        </w:rPr>
      </w:pPr>
    </w:p>
    <w:p w14:paraId="63323C9A" w14:textId="77777777" w:rsidR="00F135A9" w:rsidRDefault="00FC60F6">
      <w:pPr>
        <w:pStyle w:val="SingleTxt"/>
      </w:pPr>
      <w:r>
        <w:t>2.</w:t>
      </w:r>
      <w:r>
        <w:tab/>
        <w:t>В 2001 году ЮНФПА продолжал укреплять и расширять работу в области обеспечения средствами охраны репродуктивного здоровья (СОРЗ). На протяжении более 10 лет через свою Глобальную инициативу по удовлетворению потребностей в контрацептивах и материально-техническом обеспечении в развивающихся странах Фонд руководит работой по обеспечению средствами. В 2001 году этот проект был полностью институционализирован в рамках данной организации и ЮНФПА приступил к разработке стратегического подхода к обеспечению средствами охраны репродуктивного здоровья во всех развивающихся странах. Благодаря укреплению консенсуса между основными партнерами по развитию и в соответствии со своим мандатом, разработанным на основе Программы действий Международной конференции по народонаселению и развитию (МКНР), и в рамках ключевых действий «МКНР+5» в 2001 году ЮНФПА играл более активную роль в СОРЗ как на глобальном, так и на национальном уровне.</w:t>
      </w:r>
    </w:p>
    <w:p w14:paraId="194BB8F6" w14:textId="77777777" w:rsidR="00F135A9" w:rsidRDefault="00FC60F6">
      <w:pPr>
        <w:pStyle w:val="SingleTxt"/>
      </w:pPr>
      <w:r>
        <w:t>3.</w:t>
      </w:r>
      <w:r>
        <w:tab/>
        <w:t>В апреле 2001 года ЮНФПА провел глобальное мероприятие, связанное с публикацией доклада под названием «Обеспечение средствами охраны репродуктивного здоровья: партнерство в интересах перемен, глобальный призыв к действиям». Работа над докладом велась в тесном сотрудничестве с рядом партнеров по развитию. В нем сформулированы различные аспекты проблем, стоящих перед развивающимися странами в области СОРЗ, и предлагается руководство, касающееся методов взаимодействия охваченных программой стран, доноров, Всемирного банка, организаций системы Организации Объединенных Наций, неправительственных организаций (НПО), фондов и частного сектора в интересах достижения поставленной на МКНР цели «обеспечения всеобщего доступа к службам охраны репродуктивного здоровья». Выявляя нехватку средств в развивающихся странах и обмениваясь этой информацией с партнерами по развитию, ЮНФПА содействует повышению значимости вопроса обеспечения средствами охраны в рамках международной повестки дня в области развития. В течение 2001 года ЮНФПА тесно взаимодействовал с 81 страной, которые испытывают дефицит в указанных средствах, и выделил 76 млн. долл. США за счет других ресурсов, полученных от правительств Голландии, Великобритании и Канады на цели СОРЗ. На национальном уровне ЮНФПА делает все больший акцент на СОРЗ, ориентируя все свои страновые отделения и соответствующих национальных партнеров на разработку стратегических подходов к обеспечению средствами охраны репродуктивного здоровья.</w:t>
      </w:r>
    </w:p>
    <w:p w14:paraId="0903871E" w14:textId="77777777" w:rsidR="00F135A9" w:rsidRDefault="00F135A9">
      <w:pPr>
        <w:pStyle w:val="SingleTxt"/>
        <w:spacing w:after="0" w:line="120" w:lineRule="exact"/>
        <w:rPr>
          <w:sz w:val="10"/>
        </w:rPr>
      </w:pPr>
    </w:p>
    <w:p w14:paraId="676343E4" w14:textId="77777777" w:rsidR="00F135A9" w:rsidRDefault="00FC60F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r>
      <w:r>
        <w:tab/>
      </w:r>
      <w:r>
        <w:tab/>
        <w:t>Включение СОРЗ в страновые программы</w:t>
      </w:r>
    </w:p>
    <w:p w14:paraId="6630724B" w14:textId="77777777" w:rsidR="00F135A9" w:rsidRDefault="00F135A9">
      <w:pPr>
        <w:pStyle w:val="SingleTxt"/>
        <w:spacing w:after="0" w:line="120" w:lineRule="exact"/>
        <w:rPr>
          <w:sz w:val="10"/>
        </w:rPr>
      </w:pPr>
    </w:p>
    <w:p w14:paraId="6B9D99BC" w14:textId="77777777" w:rsidR="00F135A9" w:rsidRDefault="00FC60F6">
      <w:pPr>
        <w:pStyle w:val="SingleTxt"/>
      </w:pPr>
      <w:r>
        <w:t>4.</w:t>
      </w:r>
      <w:r>
        <w:tab/>
        <w:t>В условиях растущего спроса на средства охраны репродуктивного здоровья и учитывая большой разрыв между поддержкой со стороны доноров и потребностями стран, ЮНФПА подчеркивает необходимость уделения первостепенного внимания поставкам средств охраны репродуктивного здоровья в рамках страновых программ, осуществляемых при поддержке ЮНФПА. Фонд уделяет особое внимание оказанию помощи правительствам в укреплении потенциала с целью обеспечения противозачаточными средствами, мужскими и женскими презервативами в интересах профилактики заболеваний, передаваемых половым путем (ЗППП), включая ВИЧ/СПИД, и другими важнейшими средствами охраны репродуктивного здоровья. Во всех страновых программах будет рассматриваться вопрос о СОРЗ, включая такие аспекты, как оценка потребностей, финансирование, закупки, регулирование поставок и национальные механизмы координации действий партнеров по развитию в целях эффективного и действенного удовлетворения краткосрочных и долгосрочных потребностей в средствах охраны репродуктивного здоровья. Поскольку СОРЗ необходимо увязывать с формированием спроса, взаимодействием в вопросах изменения моделей поведения и укреплением систем оказания услуг, эти области рассматриваются в осуществляемых при поддержке ЮНФПА страновых программах.</w:t>
      </w:r>
    </w:p>
    <w:p w14:paraId="181FB01E" w14:textId="77777777" w:rsidR="00F135A9" w:rsidRDefault="00FC60F6">
      <w:pPr>
        <w:pStyle w:val="SingleTxt"/>
      </w:pPr>
      <w:r>
        <w:t>5.</w:t>
      </w:r>
      <w:r>
        <w:tab/>
        <w:t>ЮНФПА организует семинары по СОРЗ с целью ориентации представителей ЮНФПА и государственных должностных лиц в вопросах программирования, а также в технических вопросах и вопросах существа, с тем чтобы они могли разрабатывать и осуществлять национальные планы действий в области СОРЗ. На этих семинарах рассматриваются вопросы СОРЗ в контексте реформы сектора здравоохранения и выработки межсекторальных подходов (МСП). ЮНФПА подчеркивает также важность создания и/или укрепления национального механизма планирования и координации для обеспечения эффективного партнерства в области СОРЗ с ключевыми заинтересованными сторонами в развивающихся странах. Для установления связи с международной сетью обмена информацией и налаживания согласованных действий создаются национальные рабочие группы по СОРЗ.</w:t>
      </w:r>
    </w:p>
    <w:p w14:paraId="12B43B41" w14:textId="77777777" w:rsidR="00F135A9" w:rsidRDefault="00FC60F6">
      <w:pPr>
        <w:pStyle w:val="SingleTxt"/>
      </w:pPr>
      <w:r>
        <w:t>6.</w:t>
      </w:r>
      <w:r>
        <w:tab/>
        <w:t xml:space="preserve">В 2001 году страновые группы технического обслуживания (СГТО) и штаб-квартира предоставили ряду стран, в том числе Бурунди, Камбодже, Лаосу, Нигерии, Судану и Туркменистану, поддержку в проведении анализа положения дел и углубленных оценок потребностей в средствах охраны репродуктивного здоровья и в материально-техническом обеспечении. Некоторые страны, включая Камбоджу, Лаос и Индонезию, уже предприняли усилия для создания рабочей группы по СОРЗ при содействии соответствующего странового отделения ЮНФПА. </w:t>
      </w:r>
    </w:p>
    <w:p w14:paraId="2751E39D" w14:textId="77777777" w:rsidR="00F135A9" w:rsidRDefault="00F135A9">
      <w:pPr>
        <w:pStyle w:val="SingleTxt"/>
        <w:spacing w:after="0" w:line="120" w:lineRule="exact"/>
        <w:rPr>
          <w:sz w:val="10"/>
        </w:rPr>
      </w:pPr>
    </w:p>
    <w:p w14:paraId="0B95BDF4" w14:textId="77777777" w:rsidR="00F135A9" w:rsidRDefault="00FC60F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Глобальная стратегия и мобилизация ресурсов</w:t>
      </w:r>
    </w:p>
    <w:p w14:paraId="0AA4EACC" w14:textId="77777777" w:rsidR="00F135A9" w:rsidRDefault="00F135A9">
      <w:pPr>
        <w:pStyle w:val="SingleTxt"/>
        <w:spacing w:after="0" w:line="120" w:lineRule="exact"/>
        <w:rPr>
          <w:sz w:val="10"/>
        </w:rPr>
      </w:pPr>
    </w:p>
    <w:p w14:paraId="73D04D94" w14:textId="77777777" w:rsidR="00F135A9" w:rsidRDefault="00FC60F6">
      <w:pPr>
        <w:pStyle w:val="SingleTxt"/>
      </w:pPr>
      <w:r>
        <w:t>7.</w:t>
      </w:r>
      <w:r>
        <w:tab/>
        <w:t>Усилия ЮНФПА по формулированию и разработке, на базе тесных консультаций с донорами и партнерами по развитию, глобальной стратегии в области СОРЗ содействовали повышению эффективности информационно-пропагандистской деятельности и мобилизации ресурсов. ЮНФПА удалось привлечь дополнительные средства для устранения растущего дефицита средств охраны репродуктивного здоровья в развивающихся странах. В целях содействия уменьшению дефицита в этой области в 2001 и 2002 годах правительства Нидерландов, Соединенного Королевства и Канады предоставили внебюджетный взнос в размере порядка 93 млн. долл. США. В 2001 году ЮНФПА выделил 76 млн. долл. США на удовлетворение просьб о предоставлении средств охраны репродуктивного здоровья с целью предотвращения истощения их запасов. При распределении этих ресурсов наибольшую поддержку получали, как правило, наименее развитые страны. Кроме того, страны с высокими показателями распространения ВИЧ-инфекции получали примерно в три раза больше презервативов на душу населения, чем страны с коэффициентом распространения ВИЧ-инфекции менее 2 процентов. Используя сравнительные преимущества Фонда в закупке противозачаточных средств по сниженным ценам благодаря конкурентоспособным заявкам и значительному объему закупок, странам-получателям удалось выделить указанные средства в большем объеме, чем это было бы возможно в ином случае. Наряду с обеспечением средств охраны репродуктивного здоровья ЮНФПА использовал финансовые средства для организации миссий по регулированию материально-технического обеспечения в Камбоджу, Нигерию и Судан. Задача миссий заключалась в оказании помощи этим странам в активизации их деятельности в отношении СОРЗ и совершенствовании их распределительных систем. На глобальном и региональном уровнях ЮНФПА планирует предоставлять техническую поддержку через специалистов по линии СГТО. На базе сотрудничества с основными донорами и техническими учреждениями в области глобальной координации усилий доноров ЮНФПА будет разрабатывать технические руководящие принципы и оказывать помощь в оценке потребностей в средствах охраны репродуктивного здоровья и проведении анализа положения дел с нехваткой этих средств для целей информационно-пропагандистской деятельности и мобилизации ресурсов.</w:t>
      </w:r>
    </w:p>
    <w:p w14:paraId="193D0CD2" w14:textId="77777777" w:rsidR="00F135A9" w:rsidRDefault="00F135A9">
      <w:pPr>
        <w:pStyle w:val="SingleTxt"/>
        <w:spacing w:after="0" w:line="120" w:lineRule="exact"/>
        <w:rPr>
          <w:sz w:val="10"/>
        </w:rPr>
      </w:pPr>
    </w:p>
    <w:p w14:paraId="5621970D" w14:textId="77777777" w:rsidR="00F135A9" w:rsidRDefault="00FC60F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Оценка потребностей в обеспечении средствами охраны репродуктивного здоровья</w:t>
      </w:r>
    </w:p>
    <w:p w14:paraId="61ACA17E" w14:textId="77777777" w:rsidR="00F135A9" w:rsidRDefault="00F135A9">
      <w:pPr>
        <w:pStyle w:val="SingleTxt"/>
        <w:spacing w:after="0" w:line="120" w:lineRule="exact"/>
        <w:rPr>
          <w:sz w:val="10"/>
        </w:rPr>
      </w:pPr>
    </w:p>
    <w:p w14:paraId="36BC3B76" w14:textId="77777777" w:rsidR="00F135A9" w:rsidRDefault="00FC60F6">
      <w:pPr>
        <w:pStyle w:val="SingleTxt"/>
      </w:pPr>
      <w:r>
        <w:t>8.</w:t>
      </w:r>
      <w:r>
        <w:tab/>
      </w:r>
      <w:r>
        <w:rPr>
          <w:i/>
        </w:rPr>
        <w:t>Национальные потребности</w:t>
      </w:r>
      <w:r>
        <w:t>. С целью избежать нехватки средств в развивающихся странах ЮНФПА сосредоточивает свои усилия на создании основы для того, чтобы поддержка доноров была как адекватной, так и прогнозируемой. Для этого Фонд проводит обследование с целью сбора конкретной страновой информации, касающейся положения с обеспечением средствами охраны репродуктивного здоровья в развивающихся странах. Задачей обследования является выявление вероятности нехватки средств охраны репродуктивного здоровья и оказание помощи страновым отделениям ЮНФПА в поиске решений по поддержке национальных программ. Для прогнозирования спроса, определения имеющихся запасов и выявления возможного дефицита в рамках обследования будет осуществляться сбор информации следующего характера: состояние имеющихся запасов; заказы, находящиеся в процессе обработки; коэффициент использования противозачаточных средств и существующие методы; заявки на закупку противозачаточных средств за счет внебюджетных ресурсов; информация о координации усилий доноров; и институциональная информация об укреплении национального потенциала. Эта информация будет использоваться для того, чтобы ЮНФПА и другие доноры эффективно координировали свои усилия по обеспечению средствами охраны репродуктивного здоровья в 2002 году и в последующие годы.</w:t>
      </w:r>
    </w:p>
    <w:p w14:paraId="6E41EBCA" w14:textId="77777777" w:rsidR="00F135A9" w:rsidRDefault="00FC60F6">
      <w:pPr>
        <w:pStyle w:val="SingleTxt"/>
      </w:pPr>
      <w:r>
        <w:t>9.</w:t>
      </w:r>
      <w:r>
        <w:tab/>
      </w:r>
      <w:r>
        <w:rPr>
          <w:i/>
        </w:rPr>
        <w:t>Глобальные потребности</w:t>
      </w:r>
      <w:r>
        <w:t>. ЮНФПА подготовил глобальные оценки потребностей в противозачаточных средствах и презервативах для программ профилактики ЗППП/ВИЧ. Эта оценка не касается средств, имеющих отношение к другим компонентам репродуктивного здоровья, таким, как охрана здоровья матери и диагностирование и лечение ЗППП. Оценка и прогнозирование потребностей в противозачаточных средствах для планирования размеров семьи и потребностей в презервативах для профилактики заражения ЗППП/ВИЧ требуют различных расчетов и методологий. Если потребности в противозачаточных средствах для планирования размеров семьи можно определить по результатам обследований или на основе данных о запасах, то для оценки потребностей в презервативах с целью профилактики ЗППП/ВИЧ необходимо иметь конкретную информацию по странам об использовании презервативов и моделях внебрачного сексуального поведения. По расчетам Фонда, если доноры будут по</w:t>
      </w:r>
      <w:r>
        <w:noBreakHyphen/>
        <w:t>прежнему удовлетворять 41 процент общего объема потребностей в средствах планирования семьи и презервативах с целью профилактики ЗППП/ВИЧ (как это имело место в период 1992–1996 годов), то на 2002 год донорская поддержка должна составить не менее 390 млн. долл. США.</w:t>
      </w:r>
    </w:p>
    <w:p w14:paraId="71FFA0FC" w14:textId="77777777" w:rsidR="00F135A9" w:rsidRDefault="00F135A9">
      <w:pPr>
        <w:pStyle w:val="SingleTxt"/>
        <w:spacing w:after="0" w:line="120" w:lineRule="exact"/>
        <w:rPr>
          <w:sz w:val="10"/>
        </w:rPr>
      </w:pPr>
    </w:p>
    <w:p w14:paraId="76CFE672" w14:textId="77777777" w:rsidR="00F135A9" w:rsidRDefault="00FC60F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Глобальная информационно-пропагандистская деятельность и партнерство</w:t>
      </w:r>
    </w:p>
    <w:p w14:paraId="20C889D8" w14:textId="77777777" w:rsidR="00F135A9" w:rsidRDefault="00F135A9">
      <w:pPr>
        <w:pStyle w:val="SingleTxt"/>
        <w:spacing w:after="0" w:line="120" w:lineRule="exact"/>
        <w:rPr>
          <w:sz w:val="10"/>
        </w:rPr>
      </w:pPr>
    </w:p>
    <w:p w14:paraId="485CE2A2" w14:textId="77777777" w:rsidR="00F135A9" w:rsidRDefault="00FC60F6">
      <w:pPr>
        <w:pStyle w:val="SingleTxt"/>
      </w:pPr>
      <w:r>
        <w:t>10.</w:t>
      </w:r>
      <w:r>
        <w:tab/>
        <w:t>Ведущая роль ЮНФПА в продвижении СОРЗ была подтверждена на проходившей в Стамбуле, Турция, 3–5 мая 2001 года конференции на тему «Решение проблем репродуктивного здоровья: обеспечение противозачаточными средствами и презервативами с целью профилактики ВИЧ/СПИДа». В конференции приняли участие 150 представителей развивающихся стран, учреждений-доноров, технических учреждений и НПО. Спонсором конференции была Временная рабочая группа, объединившая четыре организации, базирующиеся в Соединенных Штатах Америки. Присутствие ЮНФПА стало решающим фактором, способствовавшим повышению уровня осведомленности и политической приверженности задачам, касающимся СОРЗ, участников некоторых других совещаний и конференций, прошедших в 2001 году, включая совещание, организованное «партнерами в вопросах народонаселения и развития» в Кочине, Индия; специальную сессию Генеральной Ассамблеи Организации Объединенных Наций по ВИЧ/СПИДу; совещание ЮНЭЙДС/ВОЗ; заседание Совета по вопросам народонаселения в рамках проекта «Горизонты»; и проходившее в Оттаве, Канада, совещание в рамках международных дней сотрудничества. Тесно взаимодействуя с другими техническими учреждениями и донорами, такими, как Агентство Соединенных Штатов по международному развитию (ЮСАИД), «Джон Сноу инк.» (ДСИ), Управленческие науки для здравоохранения (УНЗ) и Программа по соответствующим технологиям в области здравоохранения (ПСТЗ), ЮНФПА разрабатывает рамки стратегической оценки применительно к ОСРЗ. Благодаря этим рамкам участвующие правительства, доноры и технические учреждения смогут заняться разработкой и осуществлением всеобъемлющей стратегии в области СОРЗ и предпринять последующую деятельность.</w:t>
      </w:r>
    </w:p>
    <w:p w14:paraId="2E6F3F6A" w14:textId="77777777" w:rsidR="00F135A9" w:rsidRDefault="00F135A9">
      <w:pPr>
        <w:pStyle w:val="SingleTxt"/>
        <w:spacing w:after="0" w:line="120" w:lineRule="exact"/>
        <w:rPr>
          <w:sz w:val="10"/>
        </w:rPr>
      </w:pPr>
    </w:p>
    <w:p w14:paraId="7CE081D2" w14:textId="77777777" w:rsidR="00F135A9" w:rsidRDefault="00FC60F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Перечень средств охраны репродуктивного здоровья</w:t>
      </w:r>
    </w:p>
    <w:p w14:paraId="4BE15DF5" w14:textId="77777777" w:rsidR="00F135A9" w:rsidRDefault="00F135A9">
      <w:pPr>
        <w:pStyle w:val="SingleTxt"/>
        <w:spacing w:after="0" w:line="120" w:lineRule="exact"/>
        <w:rPr>
          <w:sz w:val="10"/>
        </w:rPr>
      </w:pPr>
    </w:p>
    <w:p w14:paraId="1FDE65D5" w14:textId="77777777" w:rsidR="00F135A9" w:rsidRDefault="00FC60F6">
      <w:pPr>
        <w:pStyle w:val="SingleTxt"/>
      </w:pPr>
      <w:r>
        <w:t>11.</w:t>
      </w:r>
      <w:r>
        <w:tab/>
        <w:t>Постоянное наличие качественных средств охраны репродуктивного здоровья имеет основополагающее значение для того, чтобы люди могли делать осознанный выбор в отношении своего репродуктивного здоровья. ЮНФПА подготовил перечень средств охраны репродуктивного здоровья. Этот перечень, который в настоящее время изучается ВОЗ, будет опубликован в качестве совместного доклада. Основу этого перечня составляют важнейшие средства охраны репродуктивного здоровья, необходимые на уровне первичного медико-санитарного обслуживания. Однако с точки зрения некоторых компонентов охраны репродуктивного здоровья, и в первую очередь охраны здоровья матери, чрезвычайно важно, чтобы услуги подобного рода могли предоставлять медицинские учреждения первого уровня и чтобы средства, необходимые на этом уровне, также были включены в указанный перечень.</w:t>
      </w:r>
    </w:p>
    <w:p w14:paraId="31F57073" w14:textId="77777777" w:rsidR="00F135A9" w:rsidRDefault="00F135A9">
      <w:pPr>
        <w:pStyle w:val="SingleTxt"/>
        <w:spacing w:after="0" w:line="120" w:lineRule="exact"/>
        <w:rPr>
          <w:sz w:val="10"/>
        </w:rPr>
      </w:pPr>
    </w:p>
    <w:p w14:paraId="2FE7BDFA" w14:textId="77777777" w:rsidR="00F135A9" w:rsidRDefault="00FC60F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Ориентация персонала на местах в вопросах СОРЗ</w:t>
      </w:r>
    </w:p>
    <w:p w14:paraId="686FDD42" w14:textId="77777777" w:rsidR="00F135A9" w:rsidRDefault="00F135A9">
      <w:pPr>
        <w:pStyle w:val="SingleTxt"/>
        <w:spacing w:after="0" w:line="120" w:lineRule="exact"/>
        <w:rPr>
          <w:sz w:val="10"/>
        </w:rPr>
      </w:pPr>
    </w:p>
    <w:p w14:paraId="26882B15" w14:textId="77777777" w:rsidR="00F135A9" w:rsidRDefault="00FC60F6">
      <w:pPr>
        <w:pStyle w:val="SingleTxt"/>
      </w:pPr>
      <w:r>
        <w:t>12.</w:t>
      </w:r>
      <w:r>
        <w:tab/>
        <w:t>Что касается вопросов укрепления национального потенциала, то ЮНФПА занимается разработкой стратегии в области СОРЗ. Эта работа приобрела новый импульс в ходе проводившегося в ноябре 2001 года в Момбасе, Кения, семинара, на котором около 60 представителей этой страны, ЮНФПА и других учреждений, представляющих 17 развивающихся стран, оказали помощь в разработке проектов планов действий с целью содействовать включению вопросов СОРЗ в страновые программы в качестве одного из средств укрепления национального потенциала. Семинар в Момбасе стал первым в серии семинаров, которые планируется провести для дальнейшей разработки вопросов СОРЗ в 2002 году. Другие семинары, запланированные на 2002 год, пройдут в Абиджане, Кот</w:t>
      </w:r>
      <w:r>
        <w:noBreakHyphen/>
        <w:t>д’Ивуар, 10–13 июня для франкоязычных стран Африки; и в Пекине, Китай, 21–25 октября для стран Азиатско-Тихоокеанского региона.</w:t>
      </w:r>
    </w:p>
    <w:p w14:paraId="50E99301" w14:textId="77777777" w:rsidR="00F135A9" w:rsidRDefault="00F135A9">
      <w:pPr>
        <w:pStyle w:val="SingleTxt"/>
        <w:spacing w:after="0" w:line="120" w:lineRule="exact"/>
        <w:rPr>
          <w:sz w:val="10"/>
        </w:rPr>
      </w:pPr>
    </w:p>
    <w:p w14:paraId="2BB9670E" w14:textId="77777777" w:rsidR="00F135A9" w:rsidRDefault="00FC60F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База данных о донорах</w:t>
      </w:r>
    </w:p>
    <w:p w14:paraId="02B347D3" w14:textId="77777777" w:rsidR="00F135A9" w:rsidRDefault="00F135A9">
      <w:pPr>
        <w:pStyle w:val="SingleTxt"/>
        <w:spacing w:after="0" w:line="120" w:lineRule="exact"/>
        <w:rPr>
          <w:sz w:val="10"/>
        </w:rPr>
      </w:pPr>
    </w:p>
    <w:p w14:paraId="32D724EC" w14:textId="77777777" w:rsidR="00F135A9" w:rsidRDefault="00FC60F6">
      <w:pPr>
        <w:pStyle w:val="SingleTxt"/>
      </w:pPr>
      <w:r>
        <w:t>13.</w:t>
      </w:r>
      <w:r>
        <w:tab/>
        <w:t>ЮНФПА ведет уникальную базу данных о поддержке доноров в снабжении противозачаточными средствами и материально-техническом обеспечении. На основе информации, содержащейся в этой базе данных, Фонд ежегодно публикует доклад. База данных позволяет осуществлять регулярный контроль за объемом поставок в различных странах мира и облегчает планирование во избежание нехватки средств. Например, анализ данных в 2000 году выявил ряд случаев серьезной нехватки средств, что побудило правительства Соединенного Королевства, Нидерландов и Канады выделить дополнительные ресурсы с целью не допустить перерывов в поставках средств. База данных расширяется на предмет учета вопросов спроса в реальном масштабе времени и включения других средств охраны репродуктивного здоровья.</w:t>
      </w:r>
    </w:p>
    <w:p w14:paraId="02B03F37" w14:textId="77777777" w:rsidR="00F135A9" w:rsidRDefault="00F135A9">
      <w:pPr>
        <w:pStyle w:val="SingleTxt"/>
        <w:spacing w:after="0" w:line="120" w:lineRule="exact"/>
        <w:rPr>
          <w:sz w:val="10"/>
        </w:rPr>
      </w:pPr>
    </w:p>
    <w:p w14:paraId="3E75E46B" w14:textId="77777777" w:rsidR="00F135A9" w:rsidRDefault="00FC60F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Информационно-пропагандистская деятельность ЮНФПА</w:t>
      </w:r>
    </w:p>
    <w:p w14:paraId="4BC8A2A2" w14:textId="77777777" w:rsidR="00F135A9" w:rsidRDefault="00F135A9">
      <w:pPr>
        <w:pStyle w:val="SingleTxt"/>
        <w:spacing w:after="0" w:line="120" w:lineRule="exact"/>
        <w:rPr>
          <w:sz w:val="10"/>
        </w:rPr>
      </w:pPr>
    </w:p>
    <w:p w14:paraId="6B13EF73" w14:textId="77777777" w:rsidR="00F135A9" w:rsidRDefault="00FC60F6">
      <w:pPr>
        <w:pStyle w:val="SingleTxt"/>
      </w:pPr>
      <w:r>
        <w:t>14.</w:t>
      </w:r>
      <w:r>
        <w:tab/>
        <w:t>В течение последних двух лет в информационно-пропагандистской работе и мероприятиях по повышению уровня осведомленности в отношении СОРЗ использовался ряд публикаций ЮНФПА. К ним относятся следующие: “Global Estimates of Contraceptive Commodities and Condoms for STI/HIV Prevention 2000–2015” («Глобальная оценка противозачаточных средств и презервативов для профилактики ЗППП/ВИЧ, 2000–2015 годы»); “Reproductive Health Commodity Security: Partnerships for Change, A Global Call to Action” («Средства охраны репродуктивного здоровья: партнерство в интересах преобразований, глобальный призыв к действию»); и “Reproductive Health Commodity Security: Partnerships for Change, The UNFPA Strategy” («Средства охраны репродуктивного здоровья: партнерство в интересах преобразований, стратегия ЮНФПА»). Публикация под названием “The Role of the Logistics Manager in Contraceptive Procurement: A Checklist of Essential Action” («Роль лиц, ответственных за материально-техническое обеспечение, в закупке противозачаточных средств: перечень основных действий») содержит руководящие принципы для руководителей органов снабжения в развивающихся странах.</w:t>
      </w:r>
    </w:p>
    <w:p w14:paraId="76D5FD5E" w14:textId="77777777" w:rsidR="00F135A9" w:rsidRDefault="00FC60F6">
      <w:pPr>
        <w:pStyle w:val="SingleTxt"/>
      </w:pPr>
      <w:r>
        <w:t>15.</w:t>
      </w:r>
      <w:r>
        <w:tab/>
        <w:t>Усилия, предпринятые ЮНФПА в 2001 году, содействовали повышению уровня осведомленности и институционализации вопросов СОРЗ и в ЮНФПА, и в других учреждениях. С помощью стратегии в области СОРЗ, несомненно, удастся привлечь внимание охваченных программой стран и доноров к важности перспективного планирования, своевременного принятия мер, повышения уровня финансирования, укрепления национального потенциала и приверженности на политическом уровне для того, чтобы качественные средства охраны репродуктивного здоровья стали доступными для женщин и мужчин во всех развивающихся странах.</w:t>
      </w:r>
    </w:p>
    <w:p w14:paraId="0A660340" w14:textId="77777777" w:rsidR="00F135A9" w:rsidRDefault="00F135A9">
      <w:pPr>
        <w:pStyle w:val="SingleTxt"/>
        <w:spacing w:after="0" w:line="120" w:lineRule="exact"/>
        <w:rPr>
          <w:sz w:val="10"/>
        </w:rPr>
      </w:pPr>
    </w:p>
    <w:p w14:paraId="06976AB9" w14:textId="77777777" w:rsidR="00F135A9" w:rsidRDefault="00F135A9">
      <w:pPr>
        <w:pStyle w:val="SingleTxt"/>
        <w:spacing w:after="0" w:line="120" w:lineRule="exact"/>
        <w:rPr>
          <w:sz w:val="10"/>
        </w:rPr>
      </w:pPr>
    </w:p>
    <w:p w14:paraId="79E5DEB8" w14:textId="77777777" w:rsidR="00F135A9" w:rsidRDefault="00FC60F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II.</w:t>
      </w:r>
      <w:r>
        <w:tab/>
        <w:t>Гуманитарная помощь</w:t>
      </w:r>
    </w:p>
    <w:p w14:paraId="029E3CCC" w14:textId="77777777" w:rsidR="00F135A9" w:rsidRDefault="00F135A9">
      <w:pPr>
        <w:pStyle w:val="SingleTxt"/>
        <w:spacing w:after="0" w:line="120" w:lineRule="exact"/>
        <w:rPr>
          <w:sz w:val="10"/>
        </w:rPr>
      </w:pPr>
    </w:p>
    <w:p w14:paraId="0B8F0CA5" w14:textId="77777777" w:rsidR="00F135A9" w:rsidRDefault="00F135A9">
      <w:pPr>
        <w:pStyle w:val="SingleTxt"/>
        <w:spacing w:after="0" w:line="120" w:lineRule="exact"/>
        <w:rPr>
          <w:sz w:val="10"/>
        </w:rPr>
      </w:pPr>
    </w:p>
    <w:p w14:paraId="09E4C1B5" w14:textId="77777777" w:rsidR="00F135A9" w:rsidRDefault="00FC60F6">
      <w:pPr>
        <w:pStyle w:val="SingleTxt"/>
      </w:pPr>
      <w:r>
        <w:t>16.</w:t>
      </w:r>
      <w:r>
        <w:tab/>
        <w:t>Важнейшим направлением оказываемой ЮНФПА гуманитарной помощи является удовлетворение потребностей в вопросах репродуктивного здоровья затрагиваемых и уязвимых групп населения в условиях чрезвычайных ситуаций, стихийных бедствий и конфликтов. В последние годы Фонд расширил и активизировал свою работу в области оказания гуманитарной помощи и реагирования в условиях чрезвычайных ситуаций. Поддерживая тесные партнерские отношения с рядом учреждений Организации Объединенных Наций и другими партнерами по развитию, ЮНФПА стал важным фактором обеспечения столь необходимых услуг в области репродуктивного здоровья. Важнейшими партнерами Фонда являются Управление Верховного комиссара Организации Объединенных Наций по делам беженцев (УВКБ), Всемирная организация здравоохранения (ВОЗ), Объединенная программа Организации Объединенных Наций по ВИЧ/СПИДу (ЮНЭЙДС), Международная федерация планируемого родительства (МФПР), Международная организация по миграции (МОМ) и Международная федерация обществ Красного Креста и Красного Полумесяца (МФККП). В настоящее время ЮНФПА руководит Межучрежденческой рабочей группой по репродуктивному здоровью для беженцев (МУРГ) и активно участвует в ряде других рабочих групп на глобальном уровне. С 2000 года ЮНФПА является полноправным членом Межучрежденческого постоянного комитета по гуманитарным вопросам (МУПК).</w:t>
      </w:r>
    </w:p>
    <w:p w14:paraId="27E7E3DC" w14:textId="77777777" w:rsidR="00F135A9" w:rsidRDefault="00FC60F6">
      <w:pPr>
        <w:pStyle w:val="SingleTxt"/>
      </w:pPr>
      <w:r>
        <w:t>17.</w:t>
      </w:r>
      <w:r>
        <w:tab/>
        <w:t>Работу ЮНФПА по оказанию гуманитарной помощи координирует Группа по оказанию гуманитарной помощи Отдела технической поддержки Фонда. В 2001 году основными направлениями работы Фонда по оказанию гуманитарной помощи были следующие: а) поддержка репродуктивного здоровья; b) подготовка кадров и укрепление потенциала; с) информационно-пропагандистская деятельность; d) сбор и анализ данных и обобщение информации; е) межучрежденческая координация и планирование программ; f) разработка механизмов; и g) разработка проектов. Сведения об этой деятельности изложены ниже. Заключительный раздел доклада посвящен ресурсам.</w:t>
      </w:r>
    </w:p>
    <w:p w14:paraId="061D3277" w14:textId="77777777" w:rsidR="00F135A9" w:rsidRDefault="00F135A9">
      <w:pPr>
        <w:pStyle w:val="SingleTxt"/>
        <w:spacing w:after="0" w:line="120" w:lineRule="exact"/>
        <w:rPr>
          <w:sz w:val="10"/>
        </w:rPr>
      </w:pPr>
    </w:p>
    <w:p w14:paraId="2925AD03" w14:textId="77777777" w:rsidR="00F135A9" w:rsidRDefault="00FC60F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Поддержка репродуктивного здоровья</w:t>
      </w:r>
    </w:p>
    <w:p w14:paraId="256B2542" w14:textId="77777777" w:rsidR="00F135A9" w:rsidRDefault="00F135A9">
      <w:pPr>
        <w:pStyle w:val="SingleTxt"/>
        <w:keepNext/>
        <w:spacing w:after="0" w:line="120" w:lineRule="exact"/>
        <w:rPr>
          <w:sz w:val="10"/>
        </w:rPr>
      </w:pPr>
    </w:p>
    <w:p w14:paraId="1A810E4D" w14:textId="77777777" w:rsidR="00F135A9" w:rsidRDefault="00FC60F6">
      <w:pPr>
        <w:pStyle w:val="SingleTxt"/>
      </w:pPr>
      <w:r>
        <w:t>18.</w:t>
      </w:r>
      <w:r>
        <w:tab/>
        <w:t>ЮНФПА занимается поставкой средств, связанных с охраной репродуктивного здоровья и обеспечением безопасного материнства, с тем чтобы вынужденные переселенцы имели доступ к отвечающему требованиям гигиены и безопасности родоразрешению, до- и послеродовому уходу, а также средствам профилактики ВИЧ и возможностям планирования семьи. При всей трудности сочетания деятельности по оказанию экстренной помощи и долгосрочных подходов ЮНФПА проводит успешную работу по оказанию экстренной поддержки и укреплению местного потенциала на долгосрочную перспективу.</w:t>
      </w:r>
    </w:p>
    <w:p w14:paraId="640E51B9" w14:textId="77777777" w:rsidR="00F135A9" w:rsidRDefault="00FC60F6">
      <w:pPr>
        <w:pStyle w:val="SingleTxt"/>
      </w:pPr>
      <w:r>
        <w:t>19.</w:t>
      </w:r>
      <w:r>
        <w:tab/>
        <w:t>В рамках этой деятельности ЮНФПА обеспечивает медицинские центры специализированным оборудованием и оказывает поддержку в найме и подготовке местного персонала. Фонд закупил и распространил созданные МУРГ комплекты, предназначенные для охраны репродуктивного здоровья в чрезвычайных ситуациях. Хранением и распределением этих комплектов занимается ЮНФПА. В 2001 году оборудование, принадлежности и оперативная поддержка были предоставлены Анголе, Афганистану, Бангладеш, Восточному Тимору, Гвинее, Демократической Республике Конго, Индии, Индонезии, Исламской Республике Иран, Йемену, Российской Федерации (Северный Кавказ), Коморским Островам, Конго, Югославии (Косово), Либерии, Мадагаскару, Мозамбику, Монголии, Объединенной Республике Танзании, оккупированной палестинской территории, Руанде, Сальвадору, Сомали, Судану, Сьерра</w:t>
      </w:r>
      <w:r>
        <w:noBreakHyphen/>
        <w:t>Леоне, Таджикистану, Уганде, Филиппинам, Центральноафриканской Республике, Эритрее и Эфиопии.</w:t>
      </w:r>
    </w:p>
    <w:p w14:paraId="1462176D" w14:textId="77777777" w:rsidR="00F135A9" w:rsidRDefault="00FC60F6">
      <w:pPr>
        <w:pStyle w:val="SingleTxt"/>
      </w:pPr>
      <w:r>
        <w:t>20.</w:t>
      </w:r>
      <w:r>
        <w:tab/>
      </w:r>
      <w:r>
        <w:rPr>
          <w:i/>
        </w:rPr>
        <w:t>Оценка потребностей.</w:t>
      </w:r>
      <w:r>
        <w:t xml:space="preserve"> При поддержке ЮНФПА в ряде стран была проведена оценка состояния репродуктивного здоровья и потребностей в этой области в кризисных ситуациях; некоторые оценки проводились в сотрудничестве с организациями «Мэри Стоупс интернэшнл» (МСИ), «Джон Сноу, инк.» (ДСИ), Международным комитетом спасения (МКС), ЮНЭЙДС и другими партнерами Организации Объединенных Наций. Оценка потребностей была проведена в Анголе, Гватемале, Демократической Республике Конго, Индии, Исламской Республике Иран, Йемене, Кении, Монголии, Российской Федерации (Северный Кавказ), Сальвадоре, Судане, Сьерра</w:t>
      </w:r>
      <w:r>
        <w:noBreakHyphen/>
        <w:t>Леоне, Таджикистане, Узбекистане, Центральноафриканской Республике, Эритрее, Эфиопии и Югославии.</w:t>
      </w:r>
    </w:p>
    <w:p w14:paraId="122975AF" w14:textId="77777777" w:rsidR="00F135A9" w:rsidRDefault="00F135A9">
      <w:pPr>
        <w:pStyle w:val="SingleTxt"/>
        <w:spacing w:after="0" w:line="120" w:lineRule="exact"/>
        <w:rPr>
          <w:sz w:val="10"/>
        </w:rPr>
      </w:pPr>
    </w:p>
    <w:p w14:paraId="5B94802E" w14:textId="77777777" w:rsidR="00F135A9" w:rsidRDefault="00FC60F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Подготовка кадров и укрепление потенциала</w:t>
      </w:r>
    </w:p>
    <w:p w14:paraId="6B065B18" w14:textId="77777777" w:rsidR="00F135A9" w:rsidRDefault="00F135A9">
      <w:pPr>
        <w:pStyle w:val="SingleTxt"/>
        <w:spacing w:after="0" w:line="120" w:lineRule="exact"/>
        <w:rPr>
          <w:sz w:val="10"/>
        </w:rPr>
      </w:pPr>
    </w:p>
    <w:p w14:paraId="6DE1A79E" w14:textId="77777777" w:rsidR="00F135A9" w:rsidRDefault="00FC60F6">
      <w:pPr>
        <w:pStyle w:val="SingleTxt"/>
      </w:pPr>
      <w:r>
        <w:t>21.</w:t>
      </w:r>
      <w:r>
        <w:tab/>
        <w:t>ЮНФПА значительно укрепил свой собственный потенциал реагирования в условиях чрезвычайных ситуаций, разработав системы, обеспечивающие всесторонний учет потребностей в области репродуктивного здоровья при проведении гуманитарных мероприятий. Кроме того, Фонд обеспечивает ориентацию и подготовку гуманитарных работников для проведения оценок и участия в процессе призывов к совместным  действиям Организации Объединенных Наций.</w:t>
      </w:r>
    </w:p>
    <w:p w14:paraId="04E85B01" w14:textId="77777777" w:rsidR="00F135A9" w:rsidRDefault="00FC60F6">
      <w:pPr>
        <w:pStyle w:val="SingleTxt"/>
      </w:pPr>
      <w:r>
        <w:t>22.</w:t>
      </w:r>
      <w:r>
        <w:tab/>
        <w:t>В 2001 году ЮНФПА продолжил организацию международных учебных курсов для координаторов усилий по охране репродуктивного здоровья в чрезвычайных ситуациях, проведя семинар в Мавритании и совещание по оценке в Тунисе. С 2000 года было подготовлено более 90 представителей местных и международных неправительственных организаций (НПО) и персонала Организации Объединенных Наций, работающего примерно в 30 странах.</w:t>
      </w:r>
    </w:p>
    <w:p w14:paraId="60F7D98D" w14:textId="77777777" w:rsidR="00F135A9" w:rsidRDefault="00FC60F6">
      <w:pPr>
        <w:pStyle w:val="SingleTxt"/>
      </w:pPr>
      <w:r>
        <w:t>23.</w:t>
      </w:r>
      <w:r>
        <w:tab/>
        <w:t>При поддержке ЮНФПА компоненты репродуктивного здоровья были включены в другие курсы, посвященные вопросам здравоохранения. Например, организация МСИ предоставила технические средства и материалы по вопросам репродуктивного здоровья Международной организации чрезвычайной медицинской помощи (МЕРЛИН) и курсам по международному обмену медицинскими данными по проблемам охраны здоровья в чрезвычайных ситуациях; а ДСИ в рамках своих курсов по чрезвычайным ситуациям организовала лекции по вопросам репродуктивного здоровья.</w:t>
      </w:r>
    </w:p>
    <w:p w14:paraId="1F61EC29" w14:textId="77777777" w:rsidR="00F135A9" w:rsidRDefault="00F135A9">
      <w:pPr>
        <w:pStyle w:val="SingleTxt"/>
        <w:spacing w:after="0" w:line="120" w:lineRule="exact"/>
        <w:rPr>
          <w:sz w:val="10"/>
        </w:rPr>
      </w:pPr>
    </w:p>
    <w:p w14:paraId="0AADB6FE" w14:textId="77777777" w:rsidR="00F135A9" w:rsidRDefault="00FC60F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Информационно-пропагандистская деятельность</w:t>
      </w:r>
    </w:p>
    <w:p w14:paraId="4551D66F" w14:textId="77777777" w:rsidR="00F135A9" w:rsidRDefault="00F135A9">
      <w:pPr>
        <w:pStyle w:val="SingleTxt"/>
        <w:spacing w:after="0" w:line="120" w:lineRule="exact"/>
        <w:rPr>
          <w:sz w:val="10"/>
        </w:rPr>
      </w:pPr>
    </w:p>
    <w:p w14:paraId="6F9C47F3" w14:textId="77777777" w:rsidR="00F135A9" w:rsidRDefault="00FC60F6">
      <w:pPr>
        <w:pStyle w:val="SingleTxt"/>
      </w:pPr>
      <w:r>
        <w:t>24.</w:t>
      </w:r>
      <w:r>
        <w:tab/>
        <w:t>ЮНФПА оказывает поддержку информационно-пропагандистской работе с целью повышения уровня осведомленности доноров и учреждений по вопросам развития относительно потребностей в области репродуктивного здоровья  в условиях гуманитарных кризисов. ЮНФПА подготовил предназначенную для общественности информационную программу, посвященную вопросам репродуктивного здоровья женщин и основным медицинским потребностям в условиях стихийных бедствий, которая была распространена после землетрясения в Индии в январе 2001 года. Эта программа позднее транслировалась по международным каналам Си-эн-эн, Би-би-си и другим телевизионными каналам в различных районах мира. В конце 2001 года ЮНФПА удалось привлечь внимание многих органов печати к бедственному положению населения Афганистана, в том числе к потребностям афганских беженцев в регионе, связанным с репродуктивным здоровьем.</w:t>
      </w:r>
    </w:p>
    <w:p w14:paraId="59811722" w14:textId="77777777" w:rsidR="00F135A9" w:rsidRDefault="00FC60F6">
      <w:pPr>
        <w:pStyle w:val="SingleTxt"/>
      </w:pPr>
      <w:r>
        <w:t>25.</w:t>
      </w:r>
      <w:r>
        <w:tab/>
        <w:t>В 2001 году ЮНФПА модернизировал и расширил свою веб-страницу по вопросам реагирования в условиях чрезвычайных ситуаций, включив в нее новую информацию о поддержке усилий по охране репродуктивного здоровья в чрезвычайных ситуациях. Были также установлены связи с веб-сайтами некоторых учреждений-партнеров. ЮНФПА подготовил буклет, посвященный потребностям в области репродуктивного здоровья в условиях кризисных ситуаций, который был благоприятно встречен донорами, другими учреждениями и прессой.</w:t>
      </w:r>
    </w:p>
    <w:p w14:paraId="486155E2" w14:textId="77777777" w:rsidR="00F135A9" w:rsidRDefault="00FC60F6">
      <w:pPr>
        <w:pStyle w:val="SingleTxt"/>
      </w:pPr>
      <w:r>
        <w:t>26.</w:t>
      </w:r>
      <w:r>
        <w:tab/>
        <w:t>ЮНФПА установил тесные партнерские отношения с Управлением по координации гуманитарных вопросов (УКГВ) и Женской комиссией по делам женщин и детей — беженцев, а в ноябре 2001 года участвовал в организации процесса призывов к совместным действиям-2002, привлекая особое внимание к нуждам подростков-беженцев и вынужденных переселенцев.</w:t>
      </w:r>
    </w:p>
    <w:p w14:paraId="59289378" w14:textId="77777777" w:rsidR="00F135A9" w:rsidRDefault="00FC60F6">
      <w:pPr>
        <w:pStyle w:val="SingleTxt"/>
      </w:pPr>
      <w:r>
        <w:t>27.</w:t>
      </w:r>
      <w:r>
        <w:tab/>
        <w:t>За отчетный период анализ по результатам проведенного в 2000 году обследования положения ангольских женщин, мужчин и молодежи, ставших вынужденными переселенцами или иным образом затронутых войной, был представлен на проходившем в Бразилии совещании Международного союза по изучению проблем народонаселения. Был выпущен иллюстрированный двуязычный (англо-португальский) текст доклада, который будет распространяться на международном уровне среди других партнеров по развитию, публичных библиотек, профессорско-преподавательского состава, фондов и доноров. Он будет одним из первых опубликованных исследований по проблемам репродуктивного здоровья и насилия в семье среди вынужденных переселенцев. Еще одно всеобъемлющее обследование было проведено среди кенийцев, ставших вынужденными переселенцами в результате засухи. В настоящее время завершается работа над докладом по результатам этого исследования. С целью повышения уровня осведомленности о таких программах был подготовлен краткий видеоматериал о профилактике ВИЧ и демобилизации в Эфиопии. В своей информационно-пропагандистской работе в связи с необходимостью профилактики ВИЧ-инфицирования в постконфликтных ситуациях Департамент операций по поддержанию мира (ДОПМ) использует материалы, снятые в Эфиопии.</w:t>
      </w:r>
    </w:p>
    <w:p w14:paraId="04AE50AB" w14:textId="77777777" w:rsidR="00F135A9" w:rsidRDefault="00F135A9">
      <w:pPr>
        <w:pStyle w:val="SingleTxt"/>
        <w:spacing w:after="0" w:line="120" w:lineRule="exact"/>
        <w:rPr>
          <w:sz w:val="10"/>
        </w:rPr>
      </w:pPr>
    </w:p>
    <w:p w14:paraId="2E595D14" w14:textId="77777777" w:rsidR="00F135A9" w:rsidRDefault="00FC60F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Сбор и анализ данных и обобщение информации</w:t>
      </w:r>
    </w:p>
    <w:p w14:paraId="3554A182" w14:textId="77777777" w:rsidR="00F135A9" w:rsidRDefault="00F135A9">
      <w:pPr>
        <w:pStyle w:val="SingleTxt"/>
        <w:spacing w:after="0" w:line="120" w:lineRule="exact"/>
        <w:rPr>
          <w:sz w:val="10"/>
        </w:rPr>
      </w:pPr>
    </w:p>
    <w:p w14:paraId="0AC4B885" w14:textId="77777777" w:rsidR="00F135A9" w:rsidRDefault="00FC60F6">
      <w:pPr>
        <w:pStyle w:val="SingleTxt"/>
      </w:pPr>
      <w:r>
        <w:t>28.</w:t>
      </w:r>
      <w:r>
        <w:tab/>
        <w:t>Руководя работой МУРГ, ЮНФПА помогает укреплять базу знаний о репродуктивном здоровье в кризисных ситуациях и активизирует работу по программированию и чрезвычайному планированию в этой ключевой области гуманитарной помощи.</w:t>
      </w:r>
    </w:p>
    <w:p w14:paraId="37E773F3" w14:textId="77777777" w:rsidR="00F135A9" w:rsidRDefault="00FC60F6">
      <w:pPr>
        <w:pStyle w:val="SingleTxt"/>
      </w:pPr>
      <w:r>
        <w:t>29.</w:t>
      </w:r>
      <w:r>
        <w:tab/>
        <w:t>ЮНФПА предоставил поддержку Международному центру по вопросам миграции и здравоохранения (НПО со штаб-квартирой в Женеве) в подготовке всеобъемлющей оценки вопросов репродуктивного здоровья в контексте вынужденной миграции. Оценка включала: анализ имеющейся информации о населении, затронутом вынужденной миграцией, вопросов здравоохранения и условий, в которых проходит миграция, и ее последствий для репродуктивного здоровья; выявление конкретных имеющихся данных по вопросам, касающимся репродуктивного здоровья, включая ВИЧ и другие заболевания, передаваемые половым путем (ЗППП), исходы беременности и насилие на сексуальной почве; и определение мер, принимаемых национальными правительствами, международными учреждениями, НПО и другими структурами для решения этой проблемы. При содействии ЮНФПА Объединение американских благотворительных обществ (ОАБО) в настоящее время работает с университетом Эмори над изучением письменных материалов, содержащих информацию о партнерстве в условиях чрезвычайных ситуаций и стратегиях, принимаемых в условиях таких ситуаций.</w:t>
      </w:r>
    </w:p>
    <w:p w14:paraId="4557FC81" w14:textId="77777777" w:rsidR="00F135A9" w:rsidRDefault="00FC60F6">
      <w:pPr>
        <w:pStyle w:val="SingleTxt"/>
      </w:pPr>
      <w:r>
        <w:t>30.</w:t>
      </w:r>
      <w:r>
        <w:tab/>
        <w:t>ЮНФПА предоставил технические средства МКС для изучения и внедрения систем сбора данных в лагерях беженцев в Объединенной Республике Танзании, Руанде и Уганде с целью содействия проведению сравнительных исследований. В рамках проекта, осуществляемого на средства Бельгии в Бурунди, Колумбии и Демократической Республике Конго, будут собираться сведения о моделях поведения вынужденных переселенцев и рисках, которым подвергаются эти группы населения, особенно подростки, и об их доступе к услугам и информации в области репродуктивного здоровья. Эти данные вместе с анализом материалов, касающихся статистики в сфере услуг, обследований, переписей населения и других источников, будут использоваться ЮНФПА для дальнейшего совершенствования руководящих указаний относительно действий в чрезвычайных ситуациях с уделением особого внимания молодым беженцам и вынужденным переселенцам.</w:t>
      </w:r>
    </w:p>
    <w:p w14:paraId="5B7EC8CA" w14:textId="77777777" w:rsidR="00F135A9" w:rsidRDefault="00FC60F6">
      <w:pPr>
        <w:pStyle w:val="SingleTxt"/>
      </w:pPr>
      <w:r>
        <w:t>31.</w:t>
      </w:r>
      <w:r>
        <w:tab/>
        <w:t>В 2001 году наряду с проведением всеобъемлющего исследования последствий для репродуктивного здоровья пастушеских племен в Кении засухи, выявившей потоки вынужденных переселенцев, ЮНФПА предоставил поддержку МСИ в проведении технико-экономического обоснования, касающегося сбыта женских презервативов в Анголе; изучения уровня осведомленности сомалийских беженцев в Йемене в вопросах охраны здоровья; и исследования, касающегося качественных аспектов потребностей молодежи Сьерра-Леоне в области репродуктивного здоровья.</w:t>
      </w:r>
    </w:p>
    <w:p w14:paraId="29E9C4C0" w14:textId="77777777" w:rsidR="00F135A9" w:rsidRDefault="00F135A9">
      <w:pPr>
        <w:pStyle w:val="SingleTxt"/>
        <w:spacing w:after="0" w:line="120" w:lineRule="exact"/>
        <w:rPr>
          <w:sz w:val="10"/>
        </w:rPr>
      </w:pPr>
    </w:p>
    <w:p w14:paraId="082DCBA6" w14:textId="77777777" w:rsidR="00F135A9" w:rsidRDefault="00FC60F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Межучережденческая координация и планирование программ</w:t>
      </w:r>
    </w:p>
    <w:p w14:paraId="5FEA673C" w14:textId="77777777" w:rsidR="00F135A9" w:rsidRDefault="00F135A9">
      <w:pPr>
        <w:pStyle w:val="SingleTxt"/>
        <w:spacing w:after="0" w:line="120" w:lineRule="exact"/>
        <w:rPr>
          <w:sz w:val="10"/>
        </w:rPr>
      </w:pPr>
    </w:p>
    <w:p w14:paraId="3E875106" w14:textId="77777777" w:rsidR="00F135A9" w:rsidRDefault="00FC60F6">
      <w:pPr>
        <w:pStyle w:val="SingleTxt"/>
      </w:pPr>
      <w:r>
        <w:t>32.</w:t>
      </w:r>
      <w:r>
        <w:tab/>
        <w:t>С 2000 года ЮНФПА является членом Межучережденческого постоянного комитета по гуманитарным вопросам и постоянно принимает участие в процессе призывов к совместным действиям. В 2001 году ЮНФПА достиг особенно больших успехов в мобилизации средств и получении объявлений о взносах на помощь Афганистану, Анголе, Демократической Республике Конго и Эритрее. В 2001 году ЮНФПА продолжал тесно взаимодействовать с Управлением по координации гуманитарных вопросов (УКГВ) и МУПК в рамках различных рабочих групп, в том числе по ВИЧ и чрезвычайным ситуациям. Фонд продолжал сотрудничать с УВКБ в реализации совместных программ и разработке механизмов профессиональной подготовки. ЮНФПА продолжал также тесно сотрудничать с ЮНИФЕМ в деле экспертной оценки положения женщин в условиях конфликтов, с ДОПМ — в оценке и подготовке кадров по вопросам профилактики ВИЧ в конфликтных ситуациях и с ВОЗ — в связи с инициативами по реагированию в условиях чрезвычайных ситуаций. В 2001 году ЮНФПА активно участвовал в инициативах Группы Организации Объединенных Наций по вопросам развития (ГООНВР), касающихся чрезвычайных ситуаций. Эта работа охватывала участие в подготовке Плана действий ГООНВР в области миростроительства, который был одобрен Совместным исполнительным комитетом ГООНВР, Исполнительным комитетом по гуманитарным вопросам (ИКГВ) и Исполнительным комитетом по вопросам мира и безопасности (ИКМБ). ЮНФПА также участвовал в подготовке справочных записок ГООНВР, посвященных включению вопросов предотвращения конфликтов в общую страновую оценку (ОСО) Организации Объединенных Наций и осуществление Рамочной программы Организации Объединенных Наций по оказанию помощи в целях развития (РПООНПР).</w:t>
      </w:r>
    </w:p>
    <w:p w14:paraId="683C200E" w14:textId="77777777" w:rsidR="00F135A9" w:rsidRDefault="00FC60F6">
      <w:pPr>
        <w:pStyle w:val="SingleTxt"/>
      </w:pPr>
      <w:r>
        <w:t>33.</w:t>
      </w:r>
      <w:r>
        <w:tab/>
        <w:t>Учреждения Организации Объединенных Наций, международные НПО и государственные должностные лица, а также НПО из Центральной Азии и Европы участвовали в региональном консультативном совещании по вопросам положения женщин в условиях конфликтов, организованном ЮНФПА в ноябре 2001 года в Братиславе, Словакия. На этом совещании основное внимание было уделено практическому учету гендерных аспектов при разработке программ в условиях чрезвычайных ситуаций. После встречи Директора-исполнителя ЮНФПА и Генерального секретаря МФККП в 2001 году Фонд пересмотрел Меморандум о взаимопонимании между этими двумя учреждениями, сделав больший акцент на тесное сотрудничество и взаимодействие в условиях чрезвычайных ситуаций и подчеркнув важность программ подготовки кадров по вопросам предоставления услуг в области репродуктивного здоровья и вопросам, касающимся ВИЧ/СПИДа.</w:t>
      </w:r>
    </w:p>
    <w:p w14:paraId="65A6A0DC" w14:textId="77777777" w:rsidR="00F135A9" w:rsidRDefault="00FC60F6">
      <w:pPr>
        <w:pStyle w:val="SingleTxt"/>
      </w:pPr>
      <w:r>
        <w:t>34.</w:t>
      </w:r>
      <w:r>
        <w:tab/>
        <w:t>Другими примерами сотрудничества являются взаимодействие с ДСИ и Американским комитетом по делам беженцев (АКД) в оценке материально-технического обеспечения, подготовке кадров и руководстве программой АКБ по профилактике ВИЧ в Южном Судане; партнерство с ЮНИФЕМ в осуществлении программ в Либерии и Сьерра-Леоне; сотрудничество между МСИ и ЮНФПА в разработке программ для сомалийских беженцев в Йемене; партнерство с ОАБО и АРБЕФ (филиал МФПР в Руанде) в деле распространения услуг по планированию семьи на семьи, члены которых стали вынужденными переселенцами в результате войны; и сотрудничество с либерийским Красным Крестом.</w:t>
      </w:r>
    </w:p>
    <w:p w14:paraId="447607B7" w14:textId="77777777" w:rsidR="00F135A9" w:rsidRDefault="00F135A9">
      <w:pPr>
        <w:pStyle w:val="SingleTxt"/>
        <w:spacing w:after="0" w:line="120" w:lineRule="exact"/>
        <w:rPr>
          <w:sz w:val="10"/>
        </w:rPr>
      </w:pPr>
    </w:p>
    <w:p w14:paraId="7F12D19E" w14:textId="77777777" w:rsidR="00F135A9" w:rsidRDefault="00FC60F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Разработка механизмов</w:t>
      </w:r>
    </w:p>
    <w:p w14:paraId="100087F2" w14:textId="77777777" w:rsidR="00F135A9" w:rsidRDefault="00F135A9">
      <w:pPr>
        <w:pStyle w:val="SingleTxt"/>
        <w:spacing w:after="0" w:line="120" w:lineRule="exact"/>
        <w:rPr>
          <w:sz w:val="10"/>
        </w:rPr>
      </w:pPr>
    </w:p>
    <w:p w14:paraId="7F6C17F7" w14:textId="77777777" w:rsidR="00F135A9" w:rsidRDefault="00FC60F6">
      <w:pPr>
        <w:pStyle w:val="SingleTxt"/>
      </w:pPr>
      <w:r>
        <w:t>35.</w:t>
      </w:r>
      <w:r>
        <w:tab/>
        <w:t>В 2001 году ЮНФПА координировал проводившийся членами МУРГ обзор минимального пакета базовых услуг; обзор комплектов, предназначенных для охраны репродуктивного здоровья в чрезвычайных ситуациях; и работу, связанную с пересмотром и переводом прилагаемого к комплектам, предназначенным для охраны репродуктивного здоровья в чрезвычайных ситуациях, руководства по их использованию. Кроме того, ЮНФПА оказал поддержку в переводе (на испанский, португальский, русский и французский языки) и издании пособия “Reproductive Health in Refugee Situations: an Inter-agency Field Manual” («Охрана репродуктивного здоровья в ситуациях, связанных с беженцами: межучрежденческое руководство для работы на местах»). В настоящее время МСИ работает над монографией по наилучшим видам практики с использованием опыта осуществления программ на местах. При участии ЮНФПА ОАБО разработало ряд руководящих принципов партнерства в чрезвычайных ситуациях. Эти руководящие принципы служат инструментом оценки стратегического планирования, управления людскими ресурсами и финансового управления для учреждений, работающих на местах.</w:t>
      </w:r>
    </w:p>
    <w:p w14:paraId="70E062C0" w14:textId="77777777" w:rsidR="00F135A9" w:rsidRDefault="00F135A9">
      <w:pPr>
        <w:pStyle w:val="SingleTxt"/>
        <w:spacing w:after="0" w:line="120" w:lineRule="exact"/>
        <w:rPr>
          <w:sz w:val="10"/>
        </w:rPr>
      </w:pPr>
    </w:p>
    <w:p w14:paraId="6B39620C" w14:textId="77777777" w:rsidR="00F135A9" w:rsidRDefault="00FC60F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Разработка проектов</w:t>
      </w:r>
    </w:p>
    <w:p w14:paraId="137361C5" w14:textId="77777777" w:rsidR="00F135A9" w:rsidRDefault="00F135A9">
      <w:pPr>
        <w:pStyle w:val="SingleTxt"/>
        <w:spacing w:after="0" w:line="120" w:lineRule="exact"/>
        <w:rPr>
          <w:sz w:val="10"/>
        </w:rPr>
      </w:pPr>
    </w:p>
    <w:p w14:paraId="4C7A7C56" w14:textId="77777777" w:rsidR="00F135A9" w:rsidRDefault="00FC60F6">
      <w:pPr>
        <w:pStyle w:val="SingleTxt"/>
      </w:pPr>
      <w:r>
        <w:t>36.</w:t>
      </w:r>
      <w:r>
        <w:tab/>
        <w:t>Наряду с вышеупомянутой деятельностью ЮНФПА оказал поддержку в разработке: a) чрезвычайной программы поддержки репродуктивного здоровья для Афганистана и соседних стран; b) двух проектов в Демократической Республике Конго, посвященных предоставлению услуг в области репродуктивного здоровья и образованию молодежи, а также экстренному акушерскому уходу; c) инициативы по использованию женских презервативов и программы предоставления услуг молодежи в области репродуктивного здоровья и профилактики ВИЧ в Сьерра-Леоне; d) проекта профилактики ВИЧ для вынужденных переселенцев из числа молодежи в Либерии; и e) программы подготовки медицинского персонала миротворческих операций в гендерной области и по проблемам ВИЧ.</w:t>
      </w:r>
    </w:p>
    <w:p w14:paraId="1200CACF" w14:textId="77777777" w:rsidR="00F135A9" w:rsidRDefault="00F135A9">
      <w:pPr>
        <w:pStyle w:val="SingleTxt"/>
        <w:spacing w:after="0" w:line="120" w:lineRule="exact"/>
        <w:rPr>
          <w:sz w:val="10"/>
        </w:rPr>
      </w:pPr>
    </w:p>
    <w:p w14:paraId="43711954" w14:textId="77777777" w:rsidR="00F135A9" w:rsidRDefault="00FC60F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Наличие ресурсов</w:t>
      </w:r>
    </w:p>
    <w:p w14:paraId="64E572D8" w14:textId="77777777" w:rsidR="00F135A9" w:rsidRDefault="00F135A9">
      <w:pPr>
        <w:pStyle w:val="SingleTxt"/>
        <w:spacing w:after="0" w:line="120" w:lineRule="exact"/>
        <w:rPr>
          <w:sz w:val="10"/>
        </w:rPr>
      </w:pPr>
    </w:p>
    <w:p w14:paraId="5173C5AC" w14:textId="77777777" w:rsidR="00F135A9" w:rsidRDefault="00FC60F6">
      <w:pPr>
        <w:pStyle w:val="SingleTxt"/>
      </w:pPr>
      <w:r>
        <w:t>37.</w:t>
      </w:r>
      <w:r>
        <w:tab/>
        <w:t>В 2000 году Исполнительный совет одобрил создание фонда быстрого реагирования, который позволяет ЮНФПА выделять до 1 млн. долл. США в год из регулярных ресурсов через возобновляемый фонд. Фонд быстрого реагирования может гибко использовать средства в случае, когда донорская поддержка на компонент ЮНФПА в рамках процесса призывов к совместным действиям обещана, но еще не получена ЮНФПА. Со времени создания фонда быстрого реагирования помощь в реализации ряда проектов оказали правительства Австралии, Австрии, Бельгии, Германии, Италии, Канады, Люксембурга, Нидерландов, Норвегии, Соединенного Королевства, Соединенных Штатов Америки и Чешской Республики. Кроме того, поддержка была предоставлена Фондом Организации Объединенных Наций, Фондом Дэйвида и Люсиль Пакард, компанией «Шеврон» и Комитетом США по ЮНФПА.</w:t>
      </w:r>
    </w:p>
    <w:p w14:paraId="61734554" w14:textId="77777777" w:rsidR="00F135A9" w:rsidRDefault="00FC60F6">
      <w:pPr>
        <w:pStyle w:val="SingleTxt"/>
      </w:pPr>
      <w:r>
        <w:t>38.</w:t>
      </w:r>
      <w:r>
        <w:tab/>
        <w:t>В связи с кризисом в Афганистане ЮНФПА мобилизовал более 10 млн. долл. США. В 2001 году с помощью прямых донорских взносов или путем использования других ресурсов на чрезвычайные цели ЮНФПА удалось поддержать мероприятия в рамках процесса призывов к совместным действиям в Анголе, Афганистане, Бурунди, Демократической Республике Конго, Западной Африке, Индонезии (Малукский кризис), Корейской Народно-Демократической Республике, Российской Федерации (Северный Кавказ), Сомали, Сьерра-Леоне, Таджикистане, Уганде, Эритрее и Юго-Восточной Европе. Серьезную поддержку оказали Нидерланды, Люксембург, Бельгия и Италия. Эти средства использовались для спасения человеческих жизней, в том числе путем предоставления беженцам и вынужденным переселенцам экстренного акушерского ухода и услуг по охране репродуктивного здоровья.</w:t>
      </w:r>
    </w:p>
    <w:p w14:paraId="1E378C4C" w14:textId="77777777" w:rsidR="00F135A9" w:rsidRDefault="00FC60F6">
      <w:pPr>
        <w:pStyle w:val="SingleTxt"/>
      </w:pPr>
      <w:r>
        <w:t>39.</w:t>
      </w:r>
      <w:r>
        <w:tab/>
        <w:t>ЮНФПА разработал также проекты для процесса призывов к совместным действиям на 2002 год в следующих странах: Ангола, Афганистан, Бурунди, Гвинея, Демократическая Республика Конго, Индонезия, Корейская Народно-Демократическая Республика, Либерия, Сомали, Судан, Сьерра-Леоне, Таджикистан, Эритрея и Эфиопия.</w:t>
      </w:r>
    </w:p>
    <w:p w14:paraId="540DFED9" w14:textId="77777777" w:rsidR="00F135A9" w:rsidRDefault="00F135A9">
      <w:pPr>
        <w:pStyle w:val="SingleTxt"/>
        <w:spacing w:after="0" w:line="120" w:lineRule="exact"/>
        <w:rPr>
          <w:sz w:val="10"/>
        </w:rPr>
      </w:pPr>
    </w:p>
    <w:p w14:paraId="37F6B05C" w14:textId="77777777" w:rsidR="00F135A9" w:rsidRDefault="00FC60F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Извлеченные уроки</w:t>
      </w:r>
    </w:p>
    <w:p w14:paraId="0DD897FC" w14:textId="77777777" w:rsidR="00F135A9" w:rsidRDefault="00F135A9">
      <w:pPr>
        <w:pStyle w:val="SingleTxt"/>
        <w:spacing w:after="0" w:line="120" w:lineRule="exact"/>
        <w:rPr>
          <w:sz w:val="10"/>
        </w:rPr>
      </w:pPr>
    </w:p>
    <w:p w14:paraId="494B5ADD" w14:textId="77777777" w:rsidR="00F135A9" w:rsidRDefault="00FC60F6">
      <w:pPr>
        <w:pStyle w:val="SingleTxt"/>
      </w:pPr>
      <w:r>
        <w:t>40.</w:t>
      </w:r>
      <w:r>
        <w:tab/>
        <w:t>Главный урок заключается в том, что прямая поддержка средствами охраны репродуктивного здоровья, например предоставление комплектов, предназначенных для охраны репродуктивного здоровья в чрезвычайных ситуациях, не только спасает человеческие жизни, но и содействует благополучию матерей и новорожденных; помогает в деле профилактики ЗППП, включая ВИЧ/СПИД; и освобождает органы здравоохранения правительств стран-получателей от необходимости выделения дополнительных ресурсов из их и без того напряженных бюджетов. Осуществляемые ЮНФПА поставки средств охраны репродуктивного здоровья высоко ценят как доноры и правительства стран-получателей, так и другие партнеры по развитию, которые опираются на поставки ЮНФПА в вопросах предоставления услуг, повышения качества услуг по охране репродуктивного здоровья и обеспечения их доступности для групп населения, не получающих надлежащие услуги.</w:t>
      </w:r>
    </w:p>
    <w:p w14:paraId="6AE9B297" w14:textId="77777777" w:rsidR="00F135A9" w:rsidRDefault="00207644">
      <w:pPr>
        <w:pStyle w:val="SingleTxt"/>
        <w:spacing w:after="0" w:line="240" w:lineRule="auto"/>
      </w:pPr>
      <w:r>
        <w:rPr>
          <w:noProof/>
          <w:w w:val="100"/>
        </w:rPr>
        <w:pict w14:anchorId="04D97DB9">
          <v:line id="_x0000_s2050" style="position:absolute;left:0;text-align:left;z-index:251657216;mso-position-horizontal:absolute;mso-position-horizontal-relative:text;mso-position-vertical:absolute;mso-position-vertical-relative:text" from="210.25pt,30pt" to="282.25pt,30pt" o:allowincell="f" strokeweight=".25pt">
            <w10:wrap type="topAndBottom"/>
          </v:line>
        </w:pict>
      </w:r>
      <w:r w:rsidR="00FC60F6">
        <w:t>41.</w:t>
      </w:r>
      <w:r w:rsidR="00FC60F6">
        <w:tab/>
        <w:t>ЮНФПА достиг больших успехов в расширении своих операций по реагированию в условиях чрезвычайных ситуаций. С его стороны потребовались серьезные усилия по оценке потребностей в области репродуктивного здоровья, оказанию технической помощи в восстановлении базовых услуг и услуг в области охраны репродуктивного здоровья, усилия по чрезвычайным поставкам, подготовке специалистов в области безопасного родоразрешения, укреплению потенциала, научной работе и информационно-пропагандистской деятельности, прежде чем партнеры по развитию и широкая общественность поняли исключительную важность вопросов охраны репродуктивного здоровья в условиях чрезвычайных ситуаций и преодоления последствий стихийных бедствий. Эти успехи содействовали также достижению общей цели ЮНФПА по подведению институциональной и оперативной базы под усилия по охране репродуктивного здоровья в чрезвычайных ситуациях.</w:t>
      </w:r>
    </w:p>
    <w:p w14:paraId="227530AF" w14:textId="27A8ED82" w:rsidR="00F135A9" w:rsidRDefault="00207644">
      <w:pPr>
        <w:pStyle w:val="SingleTxt"/>
        <w:spacing w:after="0" w:line="240" w:lineRule="auto"/>
        <w:rPr>
          <w:lang w:val="en-US"/>
        </w:rPr>
      </w:pPr>
      <w:r>
        <w:rPr>
          <w:noProof/>
          <w:w w:val="100"/>
        </w:rPr>
        <w:pict w14:anchorId="26B8D503">
          <v:line id="_x0000_s2051" style="position:absolute;left:0;text-align:left;z-index:251658240;mso-position-horizontal:absolute;mso-position-horizontal-relative:text;mso-position-vertical:absolute;mso-position-vertical-relative:text" from="210.25pt,30pt" to="282.25pt,30pt" o:allowincell="f" strokeweight=".25pt">
            <w10:wrap type="topAndBottom"/>
          </v:line>
        </w:pict>
      </w:r>
      <w:bookmarkStart w:id="1" w:name="_GoBack"/>
      <w:bookmarkEnd w:id="1"/>
    </w:p>
    <w:sectPr w:rsidR="00F135A9">
      <w:endnotePr>
        <w:numFmt w:val="decimal"/>
      </w:endnotePr>
      <w:type w:val="continuous"/>
      <w:pgSz w:w="12240" w:h="15840" w:code="1"/>
      <w:pgMar w:top="1742" w:right="1195" w:bottom="1898" w:left="1195" w:header="576" w:footer="1030" w:gutter="0"/>
      <w:pgNumType w:start="1"/>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tart" w:initials="Start">
    <w:p w14:paraId="1BD08D6A" w14:textId="77777777" w:rsidR="00F135A9" w:rsidRDefault="00FC60F6">
      <w:pPr>
        <w:pStyle w:val="ac"/>
      </w:pPr>
      <w:r>
        <w:fldChar w:fldCharType="begin"/>
      </w:r>
      <w:r>
        <w:instrText>PAGE \# "'Page: '#'</w:instrText>
      </w:r>
      <w:r>
        <w:br/>
        <w:instrText>'"</w:instrText>
      </w:r>
      <w:r>
        <w:rPr>
          <w:rStyle w:val="a4"/>
        </w:rPr>
        <w:instrText xml:space="preserve">  </w:instrText>
      </w:r>
      <w:r>
        <w:fldChar w:fldCharType="end"/>
      </w:r>
      <w:r>
        <w:rPr>
          <w:rStyle w:val="a4"/>
        </w:rPr>
        <w:annotationRef/>
      </w:r>
      <w:r>
        <w:t>&lt;&lt;ODS JOB NO&gt;&gt;N0239628R&lt;&lt;ODS JOB NO&gt;&gt;</w:t>
      </w:r>
    </w:p>
    <w:p w14:paraId="2ACDCD43" w14:textId="77777777" w:rsidR="00F135A9" w:rsidRDefault="00FC60F6">
      <w:pPr>
        <w:pStyle w:val="ac"/>
      </w:pPr>
      <w:r>
        <w:t>&lt;&lt;ODS DOC SYMBOL1&gt;&gt;DP/FPA/2002/4 (Part III)&lt;&lt;ODS DOC SYMBOL1&gt;&gt;</w:t>
      </w:r>
    </w:p>
    <w:p w14:paraId="34484E32" w14:textId="77777777" w:rsidR="00F135A9" w:rsidRDefault="00FC60F6">
      <w:pPr>
        <w:pStyle w:val="ac"/>
      </w:pPr>
      <w:r>
        <w:t>&lt;&lt;ODS DOC SYMBOL2&gt;&gt;&lt;&lt;ODS DOC SYMBOL2&gt;&gt;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484E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962D8" w14:textId="77777777" w:rsidR="00F135A9" w:rsidRDefault="00FC60F6">
      <w:pPr>
        <w:spacing w:line="240" w:lineRule="auto"/>
      </w:pPr>
      <w:r>
        <w:separator/>
      </w:r>
    </w:p>
  </w:endnote>
  <w:endnote w:type="continuationSeparator" w:id="0">
    <w:p w14:paraId="4C96A6CA" w14:textId="77777777" w:rsidR="00F135A9" w:rsidRDefault="00FC60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de 3of9 4.6">
    <w:altName w:val="MS Gothic"/>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insideH w:val="single" w:sz="4" w:space="0" w:color="auto"/>
      </w:tblBorders>
      <w:tblLayout w:type="fixed"/>
      <w:tblLook w:val="0000" w:firstRow="0" w:lastRow="0" w:firstColumn="0" w:lastColumn="0" w:noHBand="0" w:noVBand="0"/>
    </w:tblPr>
    <w:tblGrid>
      <w:gridCol w:w="5033"/>
      <w:gridCol w:w="5033"/>
    </w:tblGrid>
    <w:tr w:rsidR="00F135A9" w14:paraId="1950D38F" w14:textId="77777777">
      <w:tc>
        <w:tcPr>
          <w:tcW w:w="5033" w:type="dxa"/>
          <w:vAlign w:val="bottom"/>
        </w:tcPr>
        <w:p w14:paraId="2D0251EB" w14:textId="77777777" w:rsidR="00F135A9" w:rsidRDefault="00FC60F6">
          <w:pPr>
            <w:pStyle w:val="a9"/>
          </w:pPr>
          <w:r>
            <w:fldChar w:fldCharType="begin"/>
          </w:r>
          <w:r>
            <w:instrText xml:space="preserve"> PAGE  \* MERGEFORMAT </w:instrText>
          </w:r>
          <w:r>
            <w:fldChar w:fldCharType="separate"/>
          </w:r>
          <w:r>
            <w:t>12</w:t>
          </w:r>
          <w:r>
            <w:fldChar w:fldCharType="end"/>
          </w:r>
        </w:p>
      </w:tc>
      <w:tc>
        <w:tcPr>
          <w:tcW w:w="5033" w:type="dxa"/>
          <w:vAlign w:val="bottom"/>
        </w:tcPr>
        <w:p w14:paraId="4D0D7BBD" w14:textId="77777777" w:rsidR="00F135A9" w:rsidRDefault="00F135A9">
          <w:pPr>
            <w:pStyle w:val="a9"/>
            <w:jc w:val="right"/>
          </w:pPr>
        </w:p>
      </w:tc>
    </w:tr>
  </w:tbl>
  <w:p w14:paraId="4CD0DCE1" w14:textId="77777777" w:rsidR="00F135A9" w:rsidRDefault="00F135A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insideH w:val="single" w:sz="4" w:space="0" w:color="auto"/>
      </w:tblBorders>
      <w:tblLayout w:type="fixed"/>
      <w:tblLook w:val="0000" w:firstRow="0" w:lastRow="0" w:firstColumn="0" w:lastColumn="0" w:noHBand="0" w:noVBand="0"/>
    </w:tblPr>
    <w:tblGrid>
      <w:gridCol w:w="5033"/>
      <w:gridCol w:w="5033"/>
    </w:tblGrid>
    <w:tr w:rsidR="00F135A9" w14:paraId="6511766C" w14:textId="77777777">
      <w:tc>
        <w:tcPr>
          <w:tcW w:w="5033" w:type="dxa"/>
          <w:vAlign w:val="bottom"/>
        </w:tcPr>
        <w:p w14:paraId="0D244F9C" w14:textId="77777777" w:rsidR="00F135A9" w:rsidRDefault="00F135A9">
          <w:pPr>
            <w:pStyle w:val="a9"/>
          </w:pPr>
        </w:p>
      </w:tc>
      <w:tc>
        <w:tcPr>
          <w:tcW w:w="5033" w:type="dxa"/>
          <w:vAlign w:val="bottom"/>
        </w:tcPr>
        <w:p w14:paraId="450ED516" w14:textId="77777777" w:rsidR="00F135A9" w:rsidRDefault="00FC60F6">
          <w:pPr>
            <w:pStyle w:val="a9"/>
            <w:jc w:val="right"/>
          </w:pPr>
          <w:r>
            <w:fldChar w:fldCharType="begin"/>
          </w:r>
          <w:r>
            <w:instrText xml:space="preserve"> PAGE  \* MERGEFORMAT </w:instrText>
          </w:r>
          <w:r>
            <w:fldChar w:fldCharType="separate"/>
          </w:r>
          <w:r>
            <w:t>13</w:t>
          </w:r>
          <w:r>
            <w:fldChar w:fldCharType="end"/>
          </w:r>
        </w:p>
      </w:tc>
    </w:tr>
  </w:tbl>
  <w:p w14:paraId="69F8E75F" w14:textId="77777777" w:rsidR="00F135A9" w:rsidRDefault="00F135A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D5839" w14:textId="77777777" w:rsidR="00F135A9" w:rsidRDefault="00F135A9">
    <w:pPr>
      <w:pStyle w:val="a9"/>
    </w:pPr>
  </w:p>
  <w:p w14:paraId="70EE71F9" w14:textId="77777777" w:rsidR="00F135A9" w:rsidRDefault="00FC60F6">
    <w:pPr>
      <w:pStyle w:val="a9"/>
      <w:rPr>
        <w:b w:val="0"/>
        <w:sz w:val="20"/>
      </w:rPr>
    </w:pPr>
    <w:r>
      <w:rPr>
        <w:b w:val="0"/>
        <w:sz w:val="20"/>
      </w:rPr>
      <w:t>02-39628 (R)    110602    120602</w:t>
    </w:r>
  </w:p>
  <w:p w14:paraId="0697539F" w14:textId="77777777" w:rsidR="00F135A9" w:rsidRDefault="00FC60F6">
    <w:pPr>
      <w:pStyle w:val="a9"/>
      <w:spacing w:before="60" w:line="200" w:lineRule="exact"/>
      <w:rPr>
        <w:rFonts w:ascii="Code 3of9 4.6" w:hAnsi="Code 3of9 4.6"/>
        <w:b w:val="0"/>
        <w:sz w:val="20"/>
      </w:rPr>
    </w:pPr>
    <w:r>
      <w:rPr>
        <w:rFonts w:ascii="Code 3of9 4.6" w:hAnsi="Code 3of9 4.6"/>
        <w:b w:val="0"/>
        <w:sz w:val="20"/>
      </w:rPr>
      <w:t>*0239628*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FF1DD" w14:textId="77777777" w:rsidR="00F135A9" w:rsidRDefault="00FC60F6">
      <w:pPr>
        <w:pStyle w:val="a9"/>
        <w:spacing w:after="80"/>
        <w:ind w:left="792"/>
        <w:rPr>
          <w:sz w:val="16"/>
        </w:rPr>
      </w:pPr>
      <w:r>
        <w:rPr>
          <w:sz w:val="16"/>
        </w:rPr>
        <w:t>__________________</w:t>
      </w:r>
    </w:p>
  </w:footnote>
  <w:footnote w:type="continuationSeparator" w:id="0">
    <w:p w14:paraId="4BFDA174" w14:textId="77777777" w:rsidR="00F135A9" w:rsidRDefault="00FC60F6">
      <w:pPr>
        <w:pStyle w:val="a9"/>
        <w:spacing w:after="80"/>
        <w:ind w:left="792"/>
        <w:rPr>
          <w:sz w:val="16"/>
        </w:rPr>
      </w:pPr>
      <w:r>
        <w:rPr>
          <w:sz w:val="16"/>
        </w:rPr>
        <w:t>__________________</w:t>
      </w:r>
    </w:p>
  </w:footnote>
  <w:footnote w:id="1">
    <w:p w14:paraId="533D985E" w14:textId="77777777" w:rsidR="00F135A9" w:rsidRDefault="00FC60F6">
      <w:pPr>
        <w:pStyle w:val="a7"/>
        <w:tabs>
          <w:tab w:val="clear" w:pos="418"/>
          <w:tab w:val="right" w:pos="1195"/>
          <w:tab w:val="left" w:pos="1267"/>
          <w:tab w:val="left" w:pos="1742"/>
          <w:tab w:val="left" w:pos="2218"/>
          <w:tab w:val="left" w:pos="2693"/>
        </w:tabs>
        <w:ind w:left="1267" w:right="1260" w:hanging="432"/>
      </w:pPr>
      <w:r>
        <w:tab/>
      </w:r>
      <w:r>
        <w:rPr>
          <w:rStyle w:val="a5"/>
        </w:rPr>
        <w:t>*</w:t>
      </w:r>
      <w:r>
        <w:tab/>
        <w:t>Настоящий документ представлен с опозданием в связи со сбором и анализом последних данных, необходимых Исполнительному совету, для того чтобы он мог располагать самой свежей информацией.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6A37A" w14:textId="77777777" w:rsidR="00F135A9" w:rsidRDefault="00207644">
    <w:pPr>
      <w:pStyle w:val="aa"/>
    </w:pPr>
    <w:r>
      <w:pict w14:anchorId="0AED86A0">
        <v:shapetype id="_x0000_t202" coordsize="21600,21600" o:spt="202" path="m,l,21600r21600,l21600,xe">
          <v:stroke joinstyle="miter"/>
          <v:path gradientshapeok="t" o:connecttype="rect"/>
        </v:shapetype>
        <v:shape id="_x0000_s1026" type="#_x0000_t202" style="position:absolute;margin-left:-5.75pt;margin-top:0;width:7in;height:50.4pt;z-index:251658240;mso-position-horizontal:absolute;mso-position-horizontal-relative:text;mso-position-vertical:absolute;mso-position-vertical-relative:text" o:allowincell="f" stroked="f">
          <v:textbox style="mso-rotate-with-shape:t" inset="0,0,0,0">
            <w:txbxContent>
              <w:tbl>
                <w:tblPr>
                  <w:tblW w:w="0" w:type="auto"/>
                  <w:tblInd w:w="108"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47"/>
                </w:tblGrid>
                <w:tr w:rsidR="00F135A9" w14:paraId="0F5E062F" w14:textId="77777777">
                  <w:trPr>
                    <w:trHeight w:hRule="exact" w:val="864"/>
                  </w:trPr>
                  <w:tc>
                    <w:tcPr>
                      <w:tcW w:w="4838" w:type="dxa"/>
                      <w:vAlign w:val="bottom"/>
                    </w:tcPr>
                    <w:p w14:paraId="56C7FF61" w14:textId="77777777" w:rsidR="00F135A9" w:rsidRDefault="00FC60F6">
                      <w:pPr>
                        <w:pStyle w:val="aa"/>
                        <w:spacing w:after="80"/>
                        <w:rPr>
                          <w:b/>
                        </w:rPr>
                      </w:pPr>
                      <w:r>
                        <w:rPr>
                          <w:b/>
                        </w:rPr>
                        <w:t>DP/FPA/2002/4 (Part III)</w:t>
                      </w:r>
                    </w:p>
                  </w:tc>
                  <w:tc>
                    <w:tcPr>
                      <w:tcW w:w="5047" w:type="dxa"/>
                      <w:vAlign w:val="bottom"/>
                    </w:tcPr>
                    <w:p w14:paraId="519D01E1" w14:textId="77777777" w:rsidR="00F135A9" w:rsidRDefault="00F135A9">
                      <w:pPr>
                        <w:pStyle w:val="aa"/>
                      </w:pPr>
                    </w:p>
                  </w:tc>
                </w:tr>
              </w:tbl>
              <w:p w14:paraId="251FECB4" w14:textId="77777777" w:rsidR="00F135A9" w:rsidRDefault="00F135A9"/>
            </w:txbxContent>
          </v:textbox>
          <w10:wrap type="topAndBotto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DBF9C" w14:textId="77777777" w:rsidR="00F135A9" w:rsidRDefault="00207644">
    <w:pPr>
      <w:pStyle w:val="aa"/>
    </w:pPr>
    <w:r>
      <w:pict w14:anchorId="5552596D">
        <v:shapetype id="_x0000_t202" coordsize="21600,21600" o:spt="202" path="m,l,21600r21600,l21600,xe">
          <v:stroke joinstyle="miter"/>
          <v:path gradientshapeok="t" o:connecttype="rect"/>
        </v:shapetype>
        <v:shape id="_x0000_s1025" type="#_x0000_t202" style="position:absolute;margin-left:-5.75pt;margin-top:0;width:7in;height:50.4pt;z-index:251657216;mso-position-horizontal:absolute;mso-position-horizontal-relative:text;mso-position-vertical:absolute;mso-position-vertical-relative:text" o:allowincell="f" stroked="f">
          <v:textbox style="mso-rotate-with-shape:t" inset="0,0,0,0">
            <w:txbxContent>
              <w:tbl>
                <w:tblPr>
                  <w:tblW w:w="0" w:type="auto"/>
                  <w:tblInd w:w="108"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47"/>
                </w:tblGrid>
                <w:tr w:rsidR="00F135A9" w14:paraId="7EF92628" w14:textId="77777777">
                  <w:trPr>
                    <w:trHeight w:hRule="exact" w:val="864"/>
                  </w:trPr>
                  <w:tc>
                    <w:tcPr>
                      <w:tcW w:w="4838" w:type="dxa"/>
                      <w:vAlign w:val="bottom"/>
                    </w:tcPr>
                    <w:p w14:paraId="30A23FBB" w14:textId="77777777" w:rsidR="00F135A9" w:rsidRDefault="00F135A9">
                      <w:pPr>
                        <w:pStyle w:val="aa"/>
                      </w:pPr>
                    </w:p>
                  </w:tc>
                  <w:tc>
                    <w:tcPr>
                      <w:tcW w:w="5047" w:type="dxa"/>
                      <w:vAlign w:val="bottom"/>
                    </w:tcPr>
                    <w:p w14:paraId="5B73A7CC" w14:textId="77777777" w:rsidR="00F135A9" w:rsidRDefault="00FC60F6">
                      <w:pPr>
                        <w:pStyle w:val="aa"/>
                        <w:spacing w:after="80"/>
                        <w:jc w:val="right"/>
                        <w:rPr>
                          <w:b/>
                        </w:rPr>
                      </w:pPr>
                      <w:r>
                        <w:rPr>
                          <w:b/>
                        </w:rPr>
                        <w:t>DP/FPA/2002/4 (Part III)</w:t>
                      </w:r>
                    </w:p>
                  </w:tc>
                </w:tr>
              </w:tbl>
              <w:p w14:paraId="3739BFB2" w14:textId="77777777" w:rsidR="00F135A9" w:rsidRDefault="00F135A9"/>
            </w:txbxContent>
          </v:textbox>
          <w10:wrap type="topAndBottom"/>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7"/>
      <w:gridCol w:w="3154"/>
      <w:gridCol w:w="245"/>
      <w:gridCol w:w="1828"/>
      <w:gridCol w:w="245"/>
      <w:gridCol w:w="3140"/>
    </w:tblGrid>
    <w:tr w:rsidR="00F135A9" w14:paraId="45FEE138" w14:textId="77777777">
      <w:trPr>
        <w:cantSplit/>
        <w:trHeight w:hRule="exact" w:val="864"/>
      </w:trPr>
      <w:tc>
        <w:tcPr>
          <w:tcW w:w="4421" w:type="dxa"/>
          <w:gridSpan w:val="2"/>
          <w:tcBorders>
            <w:top w:val="nil"/>
            <w:left w:val="nil"/>
            <w:bottom w:val="nil"/>
            <w:right w:val="nil"/>
          </w:tcBorders>
          <w:vAlign w:val="bottom"/>
        </w:tcPr>
        <w:p w14:paraId="4C21A95B" w14:textId="77777777" w:rsidR="00F135A9" w:rsidRDefault="00FC60F6">
          <w:pPr>
            <w:pStyle w:val="HCh"/>
            <w:spacing w:after="80"/>
            <w:rPr>
              <w:b w:val="0"/>
              <w:spacing w:val="2"/>
              <w:w w:val="96"/>
            </w:rPr>
          </w:pPr>
          <w:r>
            <w:rPr>
              <w:b w:val="0"/>
              <w:spacing w:val="2"/>
              <w:w w:val="96"/>
            </w:rPr>
            <w:t>Организация Объединенных Наций</w:t>
          </w:r>
        </w:p>
      </w:tc>
      <w:tc>
        <w:tcPr>
          <w:tcW w:w="245" w:type="dxa"/>
          <w:tcBorders>
            <w:top w:val="nil"/>
            <w:left w:val="nil"/>
            <w:bottom w:val="nil"/>
            <w:right w:val="nil"/>
          </w:tcBorders>
          <w:vAlign w:val="bottom"/>
        </w:tcPr>
        <w:p w14:paraId="426AD7C8" w14:textId="77777777" w:rsidR="00F135A9" w:rsidRDefault="00F135A9">
          <w:pPr>
            <w:pStyle w:val="aa"/>
            <w:spacing w:after="120"/>
          </w:pPr>
        </w:p>
      </w:tc>
      <w:tc>
        <w:tcPr>
          <w:tcW w:w="5213" w:type="dxa"/>
          <w:gridSpan w:val="3"/>
          <w:tcBorders>
            <w:top w:val="nil"/>
            <w:left w:val="nil"/>
            <w:bottom w:val="nil"/>
            <w:right w:val="nil"/>
          </w:tcBorders>
          <w:vAlign w:val="bottom"/>
        </w:tcPr>
        <w:p w14:paraId="17E4F7B0" w14:textId="77777777" w:rsidR="00F135A9" w:rsidRDefault="00FC60F6">
          <w:pPr>
            <w:pStyle w:val="aa"/>
            <w:spacing w:after="20"/>
            <w:jc w:val="right"/>
            <w:rPr>
              <w:sz w:val="20"/>
            </w:rPr>
          </w:pPr>
          <w:r>
            <w:rPr>
              <w:sz w:val="40"/>
            </w:rPr>
            <w:t>DP</w:t>
          </w:r>
          <w:r>
            <w:rPr>
              <w:sz w:val="20"/>
            </w:rPr>
            <w:t>/FPA/2002/4 (Part III)</w:t>
          </w:r>
        </w:p>
      </w:tc>
    </w:tr>
    <w:tr w:rsidR="00F135A9" w14:paraId="16AA69A3" w14:textId="77777777">
      <w:trPr>
        <w:trHeight w:hRule="exact" w:val="2880"/>
      </w:trPr>
      <w:tc>
        <w:tcPr>
          <w:tcW w:w="1267" w:type="dxa"/>
          <w:tcBorders>
            <w:left w:val="nil"/>
            <w:bottom w:val="single" w:sz="12" w:space="0" w:color="auto"/>
            <w:right w:val="nil"/>
          </w:tcBorders>
        </w:tcPr>
        <w:p w14:paraId="5E1309B8" w14:textId="77777777" w:rsidR="00F135A9" w:rsidRDefault="00FC60F6">
          <w:pPr>
            <w:pStyle w:val="aa"/>
            <w:spacing w:before="109"/>
          </w:pPr>
          <w:r>
            <w:t xml:space="preserve"> </w:t>
          </w:r>
          <w:r w:rsidR="00207644">
            <w:pict w14:anchorId="312D7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6.5pt" fillcolor="window">
                <v:imagedata r:id="rId1" o:title="_unlogo"/>
              </v:shape>
            </w:pict>
          </w:r>
        </w:p>
        <w:p w14:paraId="1B68B2A9" w14:textId="77777777" w:rsidR="00F135A9" w:rsidRDefault="00F135A9">
          <w:pPr>
            <w:pStyle w:val="aa"/>
            <w:spacing w:before="109"/>
          </w:pPr>
        </w:p>
      </w:tc>
      <w:tc>
        <w:tcPr>
          <w:tcW w:w="5227" w:type="dxa"/>
          <w:gridSpan w:val="3"/>
          <w:tcBorders>
            <w:left w:val="nil"/>
            <w:bottom w:val="single" w:sz="12" w:space="0" w:color="auto"/>
            <w:right w:val="nil"/>
          </w:tcBorders>
        </w:tcPr>
        <w:p w14:paraId="1A9AB691" w14:textId="77777777" w:rsidR="00F135A9" w:rsidRDefault="00FC60F6">
          <w:pPr>
            <w:pStyle w:val="XLarge"/>
            <w:spacing w:before="109" w:line="330" w:lineRule="exact"/>
            <w:rPr>
              <w:sz w:val="34"/>
            </w:rPr>
          </w:pPr>
          <w:r>
            <w:rPr>
              <w:sz w:val="34"/>
            </w:rPr>
            <w:t>Исполнительный совет Программы развития Организации Объединенных Наций и Фонда Организации Объединенных Наций в области народонаселения</w:t>
          </w:r>
        </w:p>
      </w:tc>
      <w:tc>
        <w:tcPr>
          <w:tcW w:w="245" w:type="dxa"/>
          <w:tcBorders>
            <w:left w:val="nil"/>
            <w:bottom w:val="single" w:sz="12" w:space="0" w:color="auto"/>
            <w:right w:val="nil"/>
          </w:tcBorders>
        </w:tcPr>
        <w:p w14:paraId="3C5AA2DB" w14:textId="77777777" w:rsidR="00F135A9" w:rsidRDefault="00F135A9">
          <w:pPr>
            <w:pStyle w:val="aa"/>
            <w:spacing w:before="109"/>
          </w:pPr>
        </w:p>
      </w:tc>
      <w:tc>
        <w:tcPr>
          <w:tcW w:w="3140" w:type="dxa"/>
          <w:tcBorders>
            <w:left w:val="nil"/>
            <w:bottom w:val="single" w:sz="12" w:space="0" w:color="auto"/>
            <w:right w:val="nil"/>
          </w:tcBorders>
        </w:tcPr>
        <w:p w14:paraId="7C267EA7" w14:textId="77777777" w:rsidR="00F135A9" w:rsidRDefault="00FC60F6">
          <w:pPr>
            <w:spacing w:before="240"/>
          </w:pPr>
          <w:r>
            <w:t>Distr.: General</w:t>
          </w:r>
        </w:p>
        <w:p w14:paraId="6BD5B75D" w14:textId="77777777" w:rsidR="00F135A9" w:rsidRDefault="00FC60F6">
          <w:r>
            <w:t>22 May 2002</w:t>
          </w:r>
        </w:p>
        <w:p w14:paraId="00E85DCE" w14:textId="77777777" w:rsidR="00F135A9" w:rsidRDefault="00FC60F6">
          <w:r>
            <w:t>Russian</w:t>
          </w:r>
        </w:p>
        <w:p w14:paraId="6D63546A" w14:textId="77777777" w:rsidR="00F135A9" w:rsidRDefault="00FC60F6">
          <w:pPr>
            <w:rPr>
              <w:lang w:val="en-US"/>
            </w:rPr>
          </w:pPr>
          <w:r>
            <w:t xml:space="preserve">Original: </w:t>
          </w:r>
          <w:r>
            <w:rPr>
              <w:lang w:val="en-US"/>
            </w:rPr>
            <w:t>English</w:t>
          </w:r>
        </w:p>
      </w:tc>
    </w:tr>
  </w:tbl>
  <w:p w14:paraId="22A34C49" w14:textId="77777777" w:rsidR="00F135A9" w:rsidRDefault="00F135A9">
    <w:pPr>
      <w:pStyle w:val="aa"/>
      <w:spacing w:line="20" w:lineRule="exac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59CADF2"/>
    <w:lvl w:ilvl="0">
      <w:start w:val="1"/>
      <w:numFmt w:val="decimal"/>
      <w:pStyle w:val="5"/>
      <w:lvlText w:val="%1."/>
      <w:lvlJc w:val="left"/>
      <w:pPr>
        <w:tabs>
          <w:tab w:val="num" w:pos="1492"/>
        </w:tabs>
        <w:ind w:left="1492" w:hanging="360"/>
      </w:pPr>
    </w:lvl>
  </w:abstractNum>
  <w:abstractNum w:abstractNumId="1">
    <w:nsid w:val="FFFFFF7D"/>
    <w:multiLevelType w:val="singleLevel"/>
    <w:tmpl w:val="5372B834"/>
    <w:lvl w:ilvl="0">
      <w:start w:val="1"/>
      <w:numFmt w:val="decimal"/>
      <w:pStyle w:val="4"/>
      <w:lvlText w:val="%1."/>
      <w:lvlJc w:val="left"/>
      <w:pPr>
        <w:tabs>
          <w:tab w:val="num" w:pos="1209"/>
        </w:tabs>
        <w:ind w:left="1209" w:hanging="360"/>
      </w:pPr>
    </w:lvl>
  </w:abstractNum>
  <w:abstractNum w:abstractNumId="2">
    <w:nsid w:val="FFFFFF7E"/>
    <w:multiLevelType w:val="singleLevel"/>
    <w:tmpl w:val="A3CEA354"/>
    <w:lvl w:ilvl="0">
      <w:start w:val="1"/>
      <w:numFmt w:val="decimal"/>
      <w:pStyle w:val="3"/>
      <w:lvlText w:val="%1."/>
      <w:lvlJc w:val="left"/>
      <w:pPr>
        <w:tabs>
          <w:tab w:val="num" w:pos="926"/>
        </w:tabs>
        <w:ind w:left="926" w:hanging="360"/>
      </w:pPr>
    </w:lvl>
  </w:abstractNum>
  <w:abstractNum w:abstractNumId="3">
    <w:nsid w:val="FFFFFF7F"/>
    <w:multiLevelType w:val="singleLevel"/>
    <w:tmpl w:val="93C2E390"/>
    <w:lvl w:ilvl="0">
      <w:start w:val="1"/>
      <w:numFmt w:val="decimal"/>
      <w:pStyle w:val="2"/>
      <w:lvlText w:val="%1."/>
      <w:lvlJc w:val="left"/>
      <w:pPr>
        <w:tabs>
          <w:tab w:val="num" w:pos="643"/>
        </w:tabs>
        <w:ind w:left="643" w:hanging="360"/>
      </w:pPr>
    </w:lvl>
  </w:abstractNum>
  <w:abstractNum w:abstractNumId="4">
    <w:nsid w:val="FFFFFF88"/>
    <w:multiLevelType w:val="singleLevel"/>
    <w:tmpl w:val="A450318C"/>
    <w:lvl w:ilvl="0">
      <w:start w:val="1"/>
      <w:numFmt w:val="decimal"/>
      <w:pStyle w:val="a"/>
      <w:lvlText w:val="%1."/>
      <w:lvlJc w:val="left"/>
      <w:pPr>
        <w:tabs>
          <w:tab w:val="num" w:pos="360"/>
        </w:tabs>
        <w:ind w:left="360" w:hanging="360"/>
      </w:pPr>
    </w:lvl>
  </w:abstractNum>
  <w:abstractNum w:abstractNumId="5">
    <w:nsid w:val="0A69135B"/>
    <w:multiLevelType w:val="singleLevel"/>
    <w:tmpl w:val="08090013"/>
    <w:lvl w:ilvl="0">
      <w:start w:val="1"/>
      <w:numFmt w:val="upperRoman"/>
      <w:lvlText w:val="%1."/>
      <w:lvlJc w:val="left"/>
      <w:pPr>
        <w:tabs>
          <w:tab w:val="num" w:pos="720"/>
        </w:tabs>
        <w:ind w:left="720" w:hanging="720"/>
      </w:pPr>
    </w:lvl>
  </w:abstractNum>
  <w:abstractNum w:abstractNumId="6">
    <w:nsid w:val="16130D3B"/>
    <w:multiLevelType w:val="multilevel"/>
    <w:tmpl w:val="A9D838F4"/>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7">
    <w:nsid w:val="34DC129E"/>
    <w:multiLevelType w:val="singleLevel"/>
    <w:tmpl w:val="03EE3166"/>
    <w:lvl w:ilvl="0">
      <w:start w:val="1"/>
      <w:numFmt w:val="decimal"/>
      <w:pStyle w:val="20"/>
      <w:lvlText w:val="%1."/>
      <w:lvlJc w:val="right"/>
      <w:pPr>
        <w:tabs>
          <w:tab w:val="num" w:pos="792"/>
        </w:tabs>
        <w:ind w:left="792" w:hanging="317"/>
      </w:pPr>
      <w:rPr>
        <w:rFonts w:hint="default"/>
      </w:rPr>
    </w:lvl>
  </w:abstractNum>
  <w:abstractNum w:abstractNumId="8">
    <w:nsid w:val="470A0FB6"/>
    <w:multiLevelType w:val="multilevel"/>
    <w:tmpl w:val="14D241AC"/>
    <w:name w:val="TOC2"/>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9">
    <w:nsid w:val="61A822B5"/>
    <w:multiLevelType w:val="multilevel"/>
    <w:tmpl w:val="14D241AC"/>
    <w:name w:val="TOC22"/>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num w:numId="1">
    <w:abstractNumId w:val="7"/>
  </w:num>
  <w:num w:numId="2">
    <w:abstractNumId w:val="4"/>
  </w:num>
  <w:num w:numId="3">
    <w:abstractNumId w:val="4"/>
  </w:num>
  <w:num w:numId="4">
    <w:abstractNumId w:val="3"/>
  </w:num>
  <w:num w:numId="5">
    <w:abstractNumId w:val="3"/>
  </w:num>
  <w:num w:numId="6">
    <w:abstractNumId w:val="2"/>
  </w:num>
  <w:num w:numId="7">
    <w:abstractNumId w:val="2"/>
  </w:num>
  <w:num w:numId="8">
    <w:abstractNumId w:val="1"/>
  </w:num>
  <w:num w:numId="9">
    <w:abstractNumId w:val="1"/>
  </w:num>
  <w:num w:numId="10">
    <w:abstractNumId w:val="0"/>
  </w:num>
  <w:num w:numId="11">
    <w:abstractNumId w:val="0"/>
  </w:num>
  <w:num w:numId="12">
    <w:abstractNumId w:val="6"/>
  </w:num>
  <w:num w:numId="13">
    <w:abstractNumId w:val="5"/>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activeWritingStyle w:appName="MSWord" w:lang="ru-RU" w:vendorID="1" w:dllVersion="512" w:checkStyle="1"/>
  <w:revisionView w:markup="0"/>
  <w:doNotTrackMoves/>
  <w:doNotTrackFormatting/>
  <w:defaultTabStop w:val="475"/>
  <w:autoHyphenation/>
  <w:hyphenationZone w:val="220"/>
  <w:doNotHyphenateCaps/>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1"/>
    </o:shapelayout>
  </w:hdrShapeDefaults>
  <w:footnotePr>
    <w:footnote w:id="-1"/>
    <w:footnote w:id="0"/>
  </w:footnotePr>
  <w:endnotePr>
    <w:numFmt w:val="decimal"/>
    <w:endnote w:id="-1"/>
    <w:endnote w:id="0"/>
  </w:endnotePr>
  <w:compat>
    <w:noColumnBalance/>
    <w:printColBlack/>
    <w:showBreaksInFrames/>
    <w:suppressBottomSpacing/>
    <w:suppressTopSpacing/>
    <w:suppressTopSpacingWP/>
    <w:suppressSpBfAfterPgBrk/>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reationDt" w:val="12/06/2002 3:35: PM"/>
    <w:docVar w:name="DocCategory" w:val="Doc"/>
    <w:docVar w:name="DocType" w:val="Final"/>
    <w:docVar w:name="JobNo" w:val="0239628R"/>
    <w:docVar w:name="OandT" w:val=" "/>
    <w:docVar w:name="Symbol1" w:val="DP/FPA/2002/4 (Part III)"/>
    <w:docVar w:name="Symbol2" w:val="-"/>
  </w:docVars>
  <w:rsids>
    <w:rsidRoot w:val="00FC60F6"/>
    <w:rsid w:val="00207644"/>
    <w:rsid w:val="00F135A9"/>
    <w:rsid w:val="00FC6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4F2D78C"/>
  <w15:chartTrackingRefBased/>
  <w15:docId w15:val="{BF907DF6-EFB0-4BC3-85C2-5E6E604C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240" w:lineRule="exact"/>
    </w:pPr>
    <w:rPr>
      <w:spacing w:val="4"/>
      <w:w w:val="103"/>
      <w:kern w:val="1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3">
    <w:name w:val="No List"/>
    <w:uiPriority w:val="99"/>
    <w:semiHidden/>
    <w:unhideWhenUsed/>
  </w:style>
  <w:style w:type="paragraph" w:customStyle="1" w:styleId="HM">
    <w:name w:val="_ H __M"/>
    <w:basedOn w:val="a0"/>
    <w:next w:val="a0"/>
    <w:pPr>
      <w:keepNext/>
      <w:keepLines/>
      <w:suppressAutoHyphens/>
      <w:spacing w:line="360" w:lineRule="exact"/>
      <w:outlineLvl w:val="0"/>
    </w:pPr>
    <w:rPr>
      <w:b/>
      <w:spacing w:val="-3"/>
      <w:w w:val="99"/>
      <w:sz w:val="34"/>
    </w:rPr>
  </w:style>
  <w:style w:type="paragraph" w:customStyle="1" w:styleId="H1">
    <w:name w:val="_ H_1"/>
    <w:basedOn w:val="a0"/>
    <w:next w:val="a0"/>
    <w:pPr>
      <w:suppressAutoHyphens/>
      <w:spacing w:line="270" w:lineRule="exact"/>
      <w:outlineLvl w:val="0"/>
    </w:pPr>
    <w:rPr>
      <w:b/>
      <w:sz w:val="24"/>
    </w:rPr>
  </w:style>
  <w:style w:type="paragraph" w:customStyle="1" w:styleId="HCh">
    <w:name w:val="_ H _Ch"/>
    <w:basedOn w:val="H1"/>
    <w:next w:val="a0"/>
    <w:pPr>
      <w:keepNext/>
      <w:keepLines/>
      <w:spacing w:line="300" w:lineRule="exact"/>
    </w:pPr>
    <w:rPr>
      <w:spacing w:val="-2"/>
      <w:sz w:val="28"/>
    </w:rPr>
  </w:style>
  <w:style w:type="paragraph" w:customStyle="1" w:styleId="H23">
    <w:name w:val="_ H_2/3"/>
    <w:basedOn w:val="H1"/>
    <w:next w:val="SingleTxt"/>
    <w:pPr>
      <w:keepNext/>
      <w:keepLines/>
      <w:spacing w:line="240" w:lineRule="exact"/>
      <w:outlineLvl w:val="1"/>
    </w:pPr>
    <w:rPr>
      <w:spacing w:val="2"/>
      <w:sz w:val="20"/>
    </w:rPr>
  </w:style>
  <w:style w:type="paragraph" w:customStyle="1" w:styleId="H4">
    <w:name w:val="_ H_4"/>
    <w:basedOn w:val="a0"/>
    <w:next w:val="a0"/>
    <w:pPr>
      <w:keepNext/>
      <w:keepLines/>
      <w:tabs>
        <w:tab w:val="right" w:pos="360"/>
      </w:tabs>
      <w:suppressAutoHyphens/>
      <w:outlineLvl w:val="3"/>
    </w:pPr>
    <w:rPr>
      <w:i/>
      <w:spacing w:val="3"/>
    </w:rPr>
  </w:style>
  <w:style w:type="paragraph" w:customStyle="1" w:styleId="H56">
    <w:name w:val="_ H_5/6"/>
    <w:basedOn w:val="a0"/>
    <w:next w:val="a0"/>
    <w:pPr>
      <w:keepNext/>
      <w:keepLines/>
      <w:tabs>
        <w:tab w:val="right" w:pos="360"/>
      </w:tabs>
      <w:suppressAutoHyphens/>
      <w:outlineLvl w:val="4"/>
    </w:pPr>
  </w:style>
  <w:style w:type="paragraph" w:customStyle="1" w:styleId="DualTxt">
    <w:name w:val="__Dual Txt"/>
    <w:basedOn w:val="a0"/>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a0"/>
    <w:next w:val="a0"/>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a0"/>
    <w:pPr>
      <w:spacing w:line="540" w:lineRule="exact"/>
    </w:pPr>
    <w:rPr>
      <w:spacing w:val="-8"/>
      <w:w w:val="96"/>
      <w:sz w:val="57"/>
    </w:rPr>
  </w:style>
  <w:style w:type="paragraph" w:customStyle="1" w:styleId="SS">
    <w:name w:val="__S_S"/>
    <w:basedOn w:val="HCh"/>
    <w:next w:val="a0"/>
    <w:pPr>
      <w:ind w:left="1267" w:right="1267"/>
    </w:pPr>
  </w:style>
  <w:style w:type="paragraph" w:customStyle="1" w:styleId="SingleTxt">
    <w:name w:val="__Single Txt"/>
    <w:basedOn w:val="a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character" w:styleId="a4">
    <w:name w:val="annotation reference"/>
    <w:basedOn w:val="a1"/>
    <w:semiHidden/>
    <w:rPr>
      <w:sz w:val="6"/>
    </w:rPr>
  </w:style>
  <w:style w:type="character" w:styleId="a5">
    <w:name w:val="footnote reference"/>
    <w:basedOn w:val="a1"/>
    <w:semiHidden/>
    <w:rPr>
      <w:spacing w:val="-5"/>
      <w:w w:val="130"/>
      <w:position w:val="-4"/>
      <w:vertAlign w:val="superscript"/>
    </w:rPr>
  </w:style>
  <w:style w:type="character" w:styleId="a6">
    <w:name w:val="endnote reference"/>
    <w:basedOn w:val="a5"/>
    <w:semiHidden/>
    <w:rPr>
      <w:spacing w:val="-5"/>
      <w:w w:val="130"/>
      <w:position w:val="-4"/>
      <w:vertAlign w:val="superscript"/>
    </w:rPr>
  </w:style>
  <w:style w:type="paragraph" w:styleId="a7">
    <w:name w:val="footnote text"/>
    <w:basedOn w:val="a0"/>
    <w:semiHidden/>
    <w:pPr>
      <w:widowControl w:val="0"/>
      <w:tabs>
        <w:tab w:val="right" w:pos="418"/>
      </w:tabs>
      <w:suppressAutoHyphens/>
      <w:spacing w:line="210" w:lineRule="exact"/>
      <w:ind w:left="475" w:hanging="475"/>
    </w:pPr>
    <w:rPr>
      <w:spacing w:val="5"/>
      <w:w w:val="104"/>
      <w:sz w:val="17"/>
    </w:rPr>
  </w:style>
  <w:style w:type="paragraph" w:styleId="a8">
    <w:name w:val="endnote text"/>
    <w:basedOn w:val="a7"/>
    <w:semiHidden/>
  </w:style>
  <w:style w:type="paragraph" w:styleId="a9">
    <w:name w:val="footer"/>
    <w:semiHidden/>
    <w:pPr>
      <w:tabs>
        <w:tab w:val="center" w:pos="4320"/>
        <w:tab w:val="right" w:pos="8640"/>
      </w:tabs>
    </w:pPr>
    <w:rPr>
      <w:b/>
      <w:noProof/>
      <w:sz w:val="17"/>
    </w:rPr>
  </w:style>
  <w:style w:type="paragraph" w:styleId="aa">
    <w:name w:val="header"/>
    <w:semiHidden/>
    <w:pPr>
      <w:tabs>
        <w:tab w:val="center" w:pos="4320"/>
        <w:tab w:val="right" w:pos="8640"/>
      </w:tabs>
    </w:pPr>
    <w:rPr>
      <w:noProof/>
      <w:sz w:val="17"/>
    </w:rPr>
  </w:style>
  <w:style w:type="character" w:styleId="ab">
    <w:name w:val="line number"/>
    <w:basedOn w:val="a1"/>
    <w:semiHidden/>
    <w:rPr>
      <w:sz w:val="14"/>
    </w:rPr>
  </w:style>
  <w:style w:type="paragraph" w:styleId="20">
    <w:name w:val="List Continue 2"/>
    <w:basedOn w:val="a0"/>
    <w:next w:val="a0"/>
    <w:semiHidden/>
    <w:pPr>
      <w:numPr>
        <w:numId w:val="1"/>
      </w:numPr>
      <w:spacing w:after="120"/>
    </w:pPr>
  </w:style>
  <w:style w:type="paragraph" w:styleId="a">
    <w:name w:val="List Number"/>
    <w:basedOn w:val="H1"/>
    <w:next w:val="a0"/>
    <w:semiHidden/>
    <w:pPr>
      <w:numPr>
        <w:numId w:val="3"/>
      </w:numPr>
      <w:tabs>
        <w:tab w:val="clear" w:pos="360"/>
        <w:tab w:val="num" w:pos="792"/>
      </w:tabs>
      <w:ind w:left="792" w:hanging="317"/>
    </w:pPr>
  </w:style>
  <w:style w:type="paragraph" w:styleId="2">
    <w:name w:val="List Number 2"/>
    <w:basedOn w:val="H23"/>
    <w:next w:val="a0"/>
    <w:semiHidden/>
    <w:pPr>
      <w:numPr>
        <w:numId w:val="5"/>
      </w:numPr>
      <w:tabs>
        <w:tab w:val="clear" w:pos="643"/>
        <w:tab w:val="num" w:pos="792"/>
      </w:tabs>
      <w:ind w:left="792" w:hanging="317"/>
    </w:pPr>
  </w:style>
  <w:style w:type="paragraph" w:styleId="3">
    <w:name w:val="List Number 3"/>
    <w:basedOn w:val="H23"/>
    <w:next w:val="a0"/>
    <w:semiHidden/>
    <w:pPr>
      <w:numPr>
        <w:numId w:val="7"/>
      </w:numPr>
      <w:tabs>
        <w:tab w:val="clear" w:pos="926"/>
        <w:tab w:val="num" w:pos="792"/>
      </w:tabs>
      <w:ind w:left="792" w:hanging="317"/>
    </w:pPr>
  </w:style>
  <w:style w:type="paragraph" w:styleId="4">
    <w:name w:val="List Number 4"/>
    <w:basedOn w:val="H4"/>
    <w:next w:val="a0"/>
    <w:semiHidden/>
    <w:pPr>
      <w:numPr>
        <w:numId w:val="9"/>
      </w:numPr>
      <w:tabs>
        <w:tab w:val="clear" w:pos="1209"/>
        <w:tab w:val="num" w:pos="792"/>
      </w:tabs>
      <w:ind w:left="792" w:hanging="317"/>
    </w:pPr>
  </w:style>
  <w:style w:type="paragraph" w:styleId="5">
    <w:name w:val="List Number 5"/>
    <w:basedOn w:val="a0"/>
    <w:next w:val="a0"/>
    <w:semiHidden/>
    <w:pPr>
      <w:numPr>
        <w:numId w:val="11"/>
      </w:numPr>
      <w:tabs>
        <w:tab w:val="clear" w:pos="1492"/>
        <w:tab w:val="num" w:pos="792"/>
      </w:tabs>
      <w:ind w:left="792" w:hanging="317"/>
    </w:pPr>
  </w:style>
  <w:style w:type="paragraph" w:customStyle="1" w:styleId="Small">
    <w:name w:val="Small"/>
    <w:basedOn w:val="a0"/>
    <w:next w:val="a0"/>
    <w:pPr>
      <w:tabs>
        <w:tab w:val="right" w:pos="9965"/>
      </w:tabs>
      <w:spacing w:line="210" w:lineRule="exact"/>
    </w:pPr>
    <w:rPr>
      <w:spacing w:val="5"/>
      <w:w w:val="104"/>
      <w:sz w:val="17"/>
    </w:rPr>
  </w:style>
  <w:style w:type="paragraph" w:customStyle="1" w:styleId="SmallX">
    <w:name w:val="SmallX"/>
    <w:basedOn w:val="Small"/>
    <w:next w:val="a0"/>
    <w:pPr>
      <w:spacing w:line="180" w:lineRule="exact"/>
      <w:jc w:val="right"/>
    </w:pPr>
    <w:rPr>
      <w:spacing w:val="6"/>
      <w:w w:val="106"/>
      <w:sz w:val="14"/>
    </w:rPr>
  </w:style>
  <w:style w:type="paragraph" w:customStyle="1" w:styleId="XLarge">
    <w:name w:val="XLarge"/>
    <w:basedOn w:val="HM"/>
    <w:pPr>
      <w:tabs>
        <w:tab w:val="right" w:leader="dot" w:pos="360"/>
      </w:tabs>
      <w:spacing w:line="390" w:lineRule="exact"/>
    </w:pPr>
    <w:rPr>
      <w:spacing w:val="-4"/>
      <w:w w:val="98"/>
      <w:sz w:val="40"/>
    </w:rPr>
  </w:style>
  <w:style w:type="paragraph" w:styleId="ac">
    <w:name w:val="annotation text"/>
    <w:basedOn w:val="a0"/>
    <w:semiHidden/>
  </w:style>
  <w:style w:type="paragraph" w:styleId="ad">
    <w:name w:val="Balloon Text"/>
    <w:basedOn w:val="a0"/>
    <w:link w:val="ae"/>
    <w:uiPriority w:val="99"/>
    <w:semiHidden/>
    <w:unhideWhenUsed/>
    <w:rsid w:val="00FC60F6"/>
    <w:pPr>
      <w:spacing w:line="240" w:lineRule="auto"/>
    </w:pPr>
    <w:rPr>
      <w:rFonts w:ascii="Segoe UI" w:hAnsi="Segoe UI" w:cs="Segoe UI"/>
      <w:sz w:val="18"/>
      <w:szCs w:val="18"/>
    </w:rPr>
  </w:style>
  <w:style w:type="character" w:customStyle="1" w:styleId="ae">
    <w:name w:val="Текст у виносці Знак"/>
    <w:basedOn w:val="a1"/>
    <w:link w:val="ad"/>
    <w:uiPriority w:val="99"/>
    <w:semiHidden/>
    <w:rsid w:val="00FC60F6"/>
    <w:rPr>
      <w:rFonts w:ascii="Segoe UI" w:hAnsi="Segoe UI" w:cs="Segoe UI"/>
      <w:spacing w:val="4"/>
      <w:w w:val="103"/>
      <w:kern w:val="1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5540</Words>
  <Characters>31580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lpstr>
    </vt:vector>
  </TitlesOfParts>
  <Company>United Nations</Company>
  <LinksUpToDate>false</LinksUpToDate>
  <CharactersWithSpaces>37046</CharactersWithSpaces>
  <SharedDoc>false</SharedDoc>
  <HLinks>
    <vt:vector size="6" baseType="variant">
      <vt:variant>
        <vt:i4>4522087</vt:i4>
      </vt:variant>
      <vt:variant>
        <vt:i4>75984</vt:i4>
      </vt:variant>
      <vt:variant>
        <vt:i4>1025</vt:i4>
      </vt:variant>
      <vt:variant>
        <vt:i4>1</vt:i4>
      </vt:variant>
      <vt:variant>
        <vt:lpwstr>C:\Program Files\Microsoft Office\WordMacros\_unlogo.wpg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DGAACS User</dc:creator>
  <cp:keywords/>
  <dc:description/>
  <cp:lastModifiedBy>Irina</cp:lastModifiedBy>
  <cp:revision>2</cp:revision>
  <cp:lastPrinted>2002-06-12T12:49:00Z</cp:lastPrinted>
  <dcterms:created xsi:type="dcterms:W3CDTF">2014-07-19T20:38:00Z</dcterms:created>
  <dcterms:modified xsi:type="dcterms:W3CDTF">2014-07-19T20:38:00Z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0239628</vt:lpwstr>
  </property>
  <property fmtid="{D5CDD505-2E9C-101B-9397-08002B2CF9AE}" pid="3" name="Symbol1">
    <vt:lpwstr>DP/FPA/2002/4 (Part III)</vt:lpwstr>
  </property>
  <property fmtid="{D5CDD505-2E9C-101B-9397-08002B2CF9AE}" pid="4" name="Symbol2">
    <vt:lpwstr/>
  </property>
  <property fmtid="{D5CDD505-2E9C-101B-9397-08002B2CF9AE}" pid="5" name="Translator">
    <vt:lpwstr/>
  </property>
  <property fmtid="{D5CDD505-2E9C-101B-9397-08002B2CF9AE}" pid="6" name="Comment">
    <vt:lpwstr/>
  </property>
  <property fmtid="{D5CDD505-2E9C-101B-9397-08002B2CF9AE}" pid="7" name="DraftPages">
    <vt:lpwstr> 13</vt:lpwstr>
  </property>
  <property fmtid="{D5CDD505-2E9C-101B-9397-08002B2CF9AE}" pid="8" name="Operator">
    <vt:lpwstr>Shibanova</vt:lpwstr>
  </property>
</Properties>
</file>